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ACD19">
      <w:pPr>
        <w:spacing w:before="120" w:after="80"/>
        <w:jc w:val="center"/>
      </w:pPr>
      <w:r>
        <w:rPr>
          <w:rFonts w:ascii="微软雅黑" w:hAnsi="微软雅黑" w:eastAsia="微软雅黑"/>
          <w:b/>
          <w:i w:val="0"/>
          <w:color w:val="222222"/>
          <w:sz w:val="38"/>
        </w:rPr>
        <w:t>第二周研究进展报告</w:t>
      </w:r>
    </w:p>
    <w:p w14:paraId="4C44D43D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4D4D4D"/>
          <w:sz w:val="22"/>
        </w:rPr>
        <w:t>零售行业数据资产估值与收益分配研究——以全渠道智能补货为例</w:t>
      </w:r>
    </w:p>
    <w:p w14:paraId="56E5C7FE">
      <w:pPr>
        <w:spacing w:after="240"/>
        <w:jc w:val="center"/>
      </w:pPr>
      <w:r>
        <w:rPr>
          <w:rFonts w:ascii="宋体" w:hAnsi="宋体" w:eastAsia="宋体"/>
          <w:b w:val="0"/>
          <w:i w:val="0"/>
          <w:color w:val="666666"/>
          <w:sz w:val="18"/>
        </w:rPr>
        <w:t>作者：刘子豪</w:t>
      </w:r>
      <w:bookmarkStart w:id="0" w:name="_GoBack"/>
      <w:bookmarkEnd w:id="0"/>
    </w:p>
    <w:p w14:paraId="6E6F47EC">
      <w:pPr>
        <w:pBdr>
          <w:bottom w:val="single" w:color="808080" w:sz="6" w:space="1"/>
        </w:pBdr>
        <w:spacing w:after="160"/>
      </w:pPr>
    </w:p>
    <w:p w14:paraId="60C94C05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1. 研究范围与问题</w:t>
      </w:r>
    </w:p>
    <w:p w14:paraId="1912F0DB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本研究聚焦全渠道智能补货服务。该场景将交易、库存、供应、履约和外部环境数据转化为需求预测、补货建议和供应协同结果。研究关注数据资产如何形成服务、服务价值如何估计，以及多方参与时收益如何讨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D11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D6F2D5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研究问题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5B208A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本周材料</w:t>
            </w:r>
          </w:p>
        </w:tc>
        <w:tc>
          <w:tcPr>
            <w:tcW w:w="32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09D1A1E">
            <w:pPr>
              <w:spacing w:before="0" w:after="0" w:line="26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i w:val="0"/>
                <w:sz w:val="18"/>
                <w:lang w:val="en-US" w:eastAsia="zh-CN"/>
              </w:rPr>
              <w:t>下周补充</w:t>
            </w:r>
          </w:p>
        </w:tc>
      </w:tr>
      <w:tr w14:paraId="3670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84067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关键数据由谁掌握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1D07C3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数据资产地图；主体与权利边界表</w:t>
            </w:r>
          </w:p>
        </w:tc>
        <w:tc>
          <w:tcPr>
            <w:tcW w:w="32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A122F2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合同条款、接口权限和授权链</w:t>
            </w:r>
          </w:p>
        </w:tc>
      </w:tr>
      <w:tr w14:paraId="21B1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0DC5C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数据如何成为服务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B67421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全球蛙、瓴羊和京东案例</w:t>
            </w:r>
          </w:p>
        </w:tc>
        <w:tc>
          <w:tcPr>
            <w:tcW w:w="32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63AEE2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计费单位、报价或招投标材料</w:t>
            </w:r>
          </w:p>
        </w:tc>
      </w:tr>
      <w:tr w14:paraId="6B04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6B7A8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价值如何估计和分配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103591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场景收益与成本扣除模型；五项贡献变量</w:t>
            </w:r>
          </w:p>
        </w:tc>
        <w:tc>
          <w:tcPr>
            <w:tcW w:w="32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78933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经营参数、访谈或专家校准</w:t>
            </w:r>
          </w:p>
        </w:tc>
      </w:tr>
    </w:tbl>
    <w:p w14:paraId="7A9768FE">
      <w:pPr>
        <w:spacing w:after="20"/>
      </w:pPr>
    </w:p>
    <w:p w14:paraId="63136914">
      <w:pPr>
        <w:spacing w:after="20"/>
      </w:pPr>
    </w:p>
    <w:p w14:paraId="131A390F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2. 数据资产与权利边界</w:t>
      </w:r>
    </w:p>
    <w:p w14:paraId="6062BC1F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智能补货所使用的数据主要来自零售商、供应商、仓配服务商、平台和公共数据方。可估值的对外输出通常是补货建议、接口、模型结果、联合分析或持续服务。对涉及个人信息的数据，应在合法授权、最小必要和可撤回等规则下处理。[2][9]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2E6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7A82A4A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数据类别</w:t>
            </w:r>
          </w:p>
        </w:tc>
        <w:tc>
          <w:tcPr>
            <w:tcW w:w="187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7E2DA0D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主要控制方</w:t>
            </w:r>
          </w:p>
        </w:tc>
        <w:tc>
          <w:tcPr>
            <w:tcW w:w="266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40F06F7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补货中的作用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AF39629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需要关注的问题</w:t>
            </w:r>
          </w:p>
        </w:tc>
      </w:tr>
      <w:tr w14:paraId="67F5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CE96DB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交易与需求数据</w:t>
            </w:r>
          </w:p>
        </w:tc>
        <w:tc>
          <w:tcPr>
            <w:tcW w:w="187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2164E0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零售商、平台</w:t>
            </w:r>
          </w:p>
        </w:tc>
        <w:tc>
          <w:tcPr>
            <w:tcW w:w="266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679F11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预测需求、识别促销影响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362BD4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授权范围、平台规则、最小必要</w:t>
            </w:r>
          </w:p>
        </w:tc>
      </w:tr>
      <w:tr w14:paraId="55B3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F05964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库存与供给数据</w:t>
            </w:r>
          </w:p>
        </w:tc>
        <w:tc>
          <w:tcPr>
            <w:tcW w:w="187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BF9740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零售商、供应商</w:t>
            </w:r>
          </w:p>
        </w:tc>
        <w:tc>
          <w:tcPr>
            <w:tcW w:w="266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FAFBFD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制定补货数量和供给计划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91028A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共享条款、更新频率、真实性</w:t>
            </w:r>
          </w:p>
        </w:tc>
      </w:tr>
      <w:tr w14:paraId="6696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61B5B3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履约与运营数据</w:t>
            </w:r>
          </w:p>
        </w:tc>
        <w:tc>
          <w:tcPr>
            <w:tcW w:w="187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87B4BE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仓配方、零售商</w:t>
            </w:r>
          </w:p>
        </w:tc>
        <w:tc>
          <w:tcPr>
            <w:tcW w:w="266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B8679C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判断到货节奏、周转和人效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053910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接口规范、服务责任、数据质量</w:t>
            </w:r>
          </w:p>
        </w:tc>
      </w:tr>
      <w:tr w14:paraId="173B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24C1C2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外部辅助数据</w:t>
            </w:r>
          </w:p>
        </w:tc>
        <w:tc>
          <w:tcPr>
            <w:tcW w:w="187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A5E1B1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公共数据方、第三方</w:t>
            </w:r>
          </w:p>
        </w:tc>
        <w:tc>
          <w:tcPr>
            <w:tcW w:w="266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0122B5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校正天气、节假日、商圈等影响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2D341A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授权运营边界、用途限制</w:t>
            </w:r>
          </w:p>
        </w:tc>
      </w:tr>
    </w:tbl>
    <w:p w14:paraId="066072FA">
      <w:pPr>
        <w:spacing w:after="20"/>
      </w:pPr>
    </w:p>
    <w:p w14:paraId="541CCBAF">
      <w:pPr>
        <w:jc w:val="center"/>
      </w:pPr>
      <w:r>
        <w:drawing>
          <wp:inline distT="0" distB="0" distL="114300" distR="114300">
            <wp:extent cx="5543550" cy="215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448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330A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666666"/>
          <w:sz w:val="17"/>
        </w:rPr>
        <w:t>图 1  全渠道智能补货中的主要数据资产与参与方</w:t>
      </w:r>
    </w:p>
    <w:p w14:paraId="5B1006B9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3. 数据服务形成过程</w:t>
      </w:r>
    </w:p>
    <w:p w14:paraId="1F139453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数据并不直接等于可交易服务。实际过程通常包括数据接入、清洗和权限管理、预测或补货计算、门店与供应协同、业务结果记录，以及基于结果的成本和收益测算。可信数据空间、权限控制和审计记录会增加成本，但也是多方协作和责任追溯的条件。[5]</w:t>
      </w:r>
    </w:p>
    <w:p w14:paraId="0872A6D2">
      <w:pPr>
        <w:jc w:val="center"/>
      </w:pPr>
    </w:p>
    <w:p w14:paraId="68F63C08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4. 案例资料与证据边界</w:t>
      </w:r>
    </w:p>
    <w:p w14:paraId="2C9F2B84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三个案例分别承担不同用途。全球蛙是智能补货和供应链协同的主案例；瓴羊用于观察多源数据服务的产品化与持续服务模式；京东库存配置论文用于补货算法的工程效果对照。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CBB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844F6A1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案例</w:t>
            </w:r>
          </w:p>
        </w:tc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400FE55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数据/产品形态</w:t>
            </w:r>
          </w:p>
        </w:tc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2C0E7698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公开披露的结果</w:t>
            </w:r>
          </w:p>
        </w:tc>
        <w:tc>
          <w:tcPr>
            <w:tcW w:w="260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4A3433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本研究用途</w:t>
            </w:r>
          </w:p>
        </w:tc>
      </w:tr>
      <w:tr w14:paraId="7322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ED1302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全球蛙</w:t>
            </w:r>
          </w:p>
        </w:tc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7913BC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消费行为、库存、物流、价格和销售数据；补货、洞察、协同服务</w:t>
            </w:r>
          </w:p>
        </w:tc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70F31D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转化率 +15pct；销售额 +15%；库存周转 +30%；库存成本节省约 2000 万元。[6]</w:t>
            </w:r>
          </w:p>
        </w:tc>
        <w:tc>
          <w:tcPr>
            <w:tcW w:w="260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13911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主案例：将业务结果连接到收益法估值</w:t>
            </w:r>
          </w:p>
        </w:tc>
      </w:tr>
      <w:tr w14:paraId="45FB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C9EC52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瓴羊天攻智投</w:t>
            </w:r>
          </w:p>
        </w:tc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74D73D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户外广告、线下售点、电商行为；圈选、投放、投后分析</w:t>
            </w:r>
          </w:p>
        </w:tc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7023B4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户外广告投放效果 +41%；采用“自营+平台”模式。[7]</w:t>
            </w:r>
          </w:p>
        </w:tc>
        <w:tc>
          <w:tcPr>
            <w:tcW w:w="260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CBAFA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对照案例：观察数据、模型和持续服务的组合</w:t>
            </w:r>
          </w:p>
        </w:tc>
      </w:tr>
      <w:tr w14:paraId="2B20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BC9729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京东库存配置</w:t>
            </w:r>
          </w:p>
        </w:tc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743298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库存、订单和配送网络数据；选品和库存分配算法</w:t>
            </w:r>
          </w:p>
        </w:tc>
        <w:tc>
          <w:tcPr>
            <w:tcW w:w="232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7F9892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本地履约率 +0.54%；FDC 需求满足率 +1.05%。[8]</w:t>
            </w:r>
          </w:p>
        </w:tc>
        <w:tc>
          <w:tcPr>
            <w:tcW w:w="260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39DEC5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工程对照：用于敏感性分析的效果参数参考</w:t>
            </w:r>
          </w:p>
        </w:tc>
      </w:tr>
    </w:tbl>
    <w:p w14:paraId="30897183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54A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3C82BB1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证据类别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2642DE6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当前可使用的材料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2498296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不应直接写成事实的内容</w:t>
            </w:r>
          </w:p>
        </w:tc>
      </w:tr>
      <w:tr w14:paraId="4F3D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0974E0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直接证据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E8F320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政策规则、案例中的产品形态、公开量化成效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DF8B22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  <w:tr w14:paraId="29B7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A59D98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合理推断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252C9D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服务可能采用订阅、项目或持续运营等收费方式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BDE09B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具体价格、具体分成比例</w:t>
            </w:r>
          </w:p>
        </w:tc>
      </w:tr>
      <w:tr w14:paraId="34FF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F6E67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  <w:tc>
          <w:tcPr>
            <w:tcW w:w="396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DBB89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估值参数、五项贡献权重</w:t>
            </w:r>
          </w:p>
        </w:tc>
        <w:tc>
          <w:tcPr>
            <w:tcW w:w="36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9B527E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行业通行比例、真实合同条款</w:t>
            </w:r>
          </w:p>
        </w:tc>
      </w:tr>
    </w:tbl>
    <w:p w14:paraId="3897470A">
      <w:pPr>
        <w:spacing w:after="20"/>
      </w:pPr>
    </w:p>
    <w:p w14:paraId="0537DA98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5. 交易与收费逻辑</w:t>
      </w:r>
    </w:p>
    <w:p w14:paraId="71EDECE2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公开资料通常会披露适用范围、更新频率、计费方式或业务成效，但较少公开合同金额。深圳数据交易规则要求数据产品、数据服务和数据工具披露相关信息，并探索从数据质量、计算贡献和业务应用等维度开展价值评估。[4] 因此，本周重点记录收费逻辑而非编造市场报价。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BB1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6FC9D7D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服务形态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C5B90F6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可能的计费依据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32695865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在本研究中的作用</w:t>
            </w:r>
          </w:p>
        </w:tc>
      </w:tr>
      <w:tr w14:paraId="6809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B32E5E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订阅或持续服务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56A536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门店数、SKU 规模、服务周期、用户数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E5765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用于估计服务成本和续费逻辑</w:t>
            </w:r>
          </w:p>
        </w:tc>
      </w:tr>
      <w:tr w14:paraId="18C9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5474D2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项目制实施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103087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接入复杂度、数据治理范围、交付阶段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B377BB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用于区分一次性治理成本</w:t>
            </w:r>
          </w:p>
        </w:tc>
      </w:tr>
      <w:tr w14:paraId="59CD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32D8A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接口或调用服务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20A281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调用量、覆盖范围、更新频率、服务次数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BF55AF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用于标准化产品的市场校准</w:t>
            </w:r>
          </w:p>
        </w:tc>
      </w:tr>
      <w:tr w14:paraId="659D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5F5DE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效果相关安排</w:t>
            </w:r>
          </w:p>
        </w:tc>
        <w:tc>
          <w:tcPr>
            <w:tcW w:w="345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294C7E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可归因的增收、降本或效率改善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0495A4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用于讨论收益法和可分配净收益</w:t>
            </w:r>
          </w:p>
        </w:tc>
      </w:tr>
    </w:tbl>
    <w:p w14:paraId="6A57ACC2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5DB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5110D70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估值层次</w:t>
            </w:r>
          </w:p>
        </w:tc>
        <w:tc>
          <w:tcPr>
            <w:tcW w:w="19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F1A7E7C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方法</w:t>
            </w:r>
          </w:p>
        </w:tc>
        <w:tc>
          <w:tcPr>
            <w:tcW w:w="56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515B169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用途</w:t>
            </w:r>
          </w:p>
        </w:tc>
      </w:tr>
      <w:tr w14:paraId="09CB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A7761D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基础投入</w:t>
            </w:r>
          </w:p>
        </w:tc>
        <w:tc>
          <w:tcPr>
            <w:tcW w:w="19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AF9635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成本法</w:t>
            </w:r>
          </w:p>
        </w:tc>
        <w:tc>
          <w:tcPr>
            <w:tcW w:w="56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832558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记录采集、治理、脱敏、接口和合规审查等投入。</w:t>
            </w:r>
          </w:p>
        </w:tc>
      </w:tr>
      <w:tr w14:paraId="5F8E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E26CC4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市场校准</w:t>
            </w:r>
          </w:p>
        </w:tc>
        <w:tc>
          <w:tcPr>
            <w:tcW w:w="19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AEEBFB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市场法或类比法</w:t>
            </w:r>
          </w:p>
        </w:tc>
        <w:tc>
          <w:tcPr>
            <w:tcW w:w="56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0D7B4E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为标准化 API、指数、报告或同类服务提供参考。</w:t>
            </w:r>
          </w:p>
        </w:tc>
      </w:tr>
      <w:tr w14:paraId="26F9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3CC5D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场景增益</w:t>
            </w:r>
          </w:p>
        </w:tc>
        <w:tc>
          <w:tcPr>
            <w:tcW w:w="19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7A07C9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收益法</w:t>
            </w:r>
          </w:p>
        </w:tc>
        <w:tc>
          <w:tcPr>
            <w:tcW w:w="56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CB61BA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把缺货改善、库存下降、损耗降低和人效改善转为可归因收益。</w:t>
            </w:r>
          </w:p>
        </w:tc>
      </w:tr>
    </w:tbl>
    <w:p w14:paraId="4A9827A5">
      <w:pPr>
        <w:spacing w:after="20"/>
      </w:pPr>
    </w:p>
    <w:p w14:paraId="092E873D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6. 估值与收益分配原型</w:t>
      </w:r>
    </w:p>
    <w:p w14:paraId="4E0ABBE2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原型采用“场景总收益—成本扣除—贡献分配”的顺序。场景总收益由新增毛利、库存成本节约、损耗减少和人效改善构成；扣除服务、合规和基础设施成本后形成可分配净收益。此处的数字和权重只用于说明计算结构。[3][5]</w:t>
      </w:r>
    </w:p>
    <w:p w14:paraId="392D3322">
      <w:pPr>
        <w:jc w:val="center"/>
      </w:pPr>
      <w:r>
        <w:drawing>
          <wp:inline distT="0" distB="0" distL="114300" distR="114300">
            <wp:extent cx="5543550" cy="1285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15317" b="2506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F543">
      <w:pPr>
        <w:spacing w:after="80"/>
        <w:jc w:val="center"/>
      </w:pPr>
      <w:r>
        <w:rPr>
          <w:rFonts w:ascii="宋体" w:hAnsi="宋体" w:eastAsia="宋体"/>
          <w:b w:val="0"/>
          <w:i w:val="0"/>
          <w:color w:val="666666"/>
          <w:sz w:val="17"/>
        </w:rPr>
        <w:t xml:space="preserve">图 </w:t>
      </w:r>
      <w:r>
        <w:rPr>
          <w:rFonts w:hint="eastAsia"/>
          <w:b w:val="0"/>
          <w:i w:val="0"/>
          <w:color w:val="666666"/>
          <w:sz w:val="17"/>
          <w:lang w:val="en-US" w:eastAsia="zh-CN"/>
        </w:rPr>
        <w:t>2</w:t>
      </w:r>
      <w:r>
        <w:rPr>
          <w:rFonts w:ascii="宋体" w:hAnsi="宋体" w:eastAsia="宋体"/>
          <w:b w:val="0"/>
          <w:i w:val="0"/>
          <w:color w:val="666666"/>
          <w:sz w:val="17"/>
        </w:rPr>
        <w:t xml:space="preserve">  场景收益、净收益和初始分配的关系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D75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0BE6EF55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演示变量（单月）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6ADDDA9D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示例数值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7BD2A855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说明</w:t>
            </w:r>
          </w:p>
        </w:tc>
      </w:tr>
      <w:tr w14:paraId="36FF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488930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月销售额基数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DB7D69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3000 万元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A66842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100 家门店的总销售（研究假设）</w:t>
            </w:r>
          </w:p>
        </w:tc>
      </w:tr>
      <w:tr w14:paraId="228B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206CE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缺货改善 / 平均毛利率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048E8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3pct / 22%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A9A4E4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恢复销售 90 万元，新增毛利 19.8 万元</w:t>
            </w:r>
          </w:p>
        </w:tc>
      </w:tr>
      <w:tr w14:paraId="5E37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7B9B6D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平均库存下降 / 年化成本率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47C3A0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300 万元 / 10%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ECC8E7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月度库存成本节约 2.5 万元</w:t>
            </w:r>
          </w:p>
        </w:tc>
      </w:tr>
      <w:tr w14:paraId="4493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29583B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损耗与人效改善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46236E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 万元 / 3.5 万元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3DFBB7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研究假设</w:t>
            </w:r>
          </w:p>
        </w:tc>
      </w:tr>
      <w:tr w14:paraId="4534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E06207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可分配净收益</w:t>
            </w:r>
          </w:p>
        </w:tc>
        <w:tc>
          <w:tcPr>
            <w:tcW w:w="249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6E41D8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21.8 万元</w:t>
            </w:r>
          </w:p>
        </w:tc>
        <w:tc>
          <w:tcPr>
            <w:tcW w:w="3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E9A1BC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扣除服务、合规和基础设施成本后</w:t>
            </w:r>
          </w:p>
        </w:tc>
      </w:tr>
    </w:tbl>
    <w:p w14:paraId="0F56F7FF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9EBD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F2F2F2"/>
            <w:vAlign w:val="center"/>
          </w:tcPr>
          <w:p w14:paraId="00B008F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555555"/>
                <w:sz w:val="18"/>
              </w:rPr>
              <w:t>注：初始分配比例为：零售商 32.0%、供应商 14.5%、平台/数商 37.5%、可信流通或基础设施方 16.0%。该比例是研究假设，第三周需要用合同样本、经营数据或访谈校准。</w:t>
            </w:r>
          </w:p>
        </w:tc>
      </w:tr>
    </w:tbl>
    <w:p w14:paraId="7C4C3938">
      <w:pPr>
        <w:spacing w:after="20"/>
      </w:pPr>
    </w:p>
    <w:p w14:paraId="4ABE9907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7. 证据状态与</w:t>
      </w:r>
      <w:r>
        <w:rPr>
          <w:rFonts w:hint="eastAsia" w:ascii="微软雅黑" w:hAnsi="微软雅黑" w:eastAsia="微软雅黑"/>
          <w:b/>
          <w:i w:val="0"/>
          <w:color w:val="222222"/>
          <w:sz w:val="26"/>
          <w:lang w:val="en-US" w:eastAsia="zh-CN"/>
        </w:rPr>
        <w:t>下周</w:t>
      </w:r>
      <w:r>
        <w:rPr>
          <w:rFonts w:ascii="微软雅黑" w:hAnsi="微软雅黑" w:eastAsia="微软雅黑"/>
          <w:b/>
          <w:i w:val="0"/>
          <w:color w:val="222222"/>
          <w:sz w:val="26"/>
        </w:rPr>
        <w:t>工作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E4E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2C20347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问题</w:t>
            </w:r>
          </w:p>
        </w:tc>
        <w:tc>
          <w:tcPr>
            <w:tcW w:w="153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3EDE3DE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当前状态</w:t>
            </w:r>
          </w:p>
        </w:tc>
        <w:tc>
          <w:tcPr>
            <w:tcW w:w="317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1519048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报告中的写法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6E6E6"/>
            <w:vAlign w:val="center"/>
          </w:tcPr>
          <w:p w14:paraId="4AD0E812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下一步</w:t>
            </w:r>
          </w:p>
        </w:tc>
      </w:tr>
      <w:tr w14:paraId="2771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08408F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智能补货是否有可量化收益</w:t>
            </w:r>
          </w:p>
        </w:tc>
        <w:tc>
          <w:tcPr>
            <w:tcW w:w="153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B13E72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较充分</w:t>
            </w:r>
          </w:p>
        </w:tc>
        <w:tc>
          <w:tcPr>
            <w:tcW w:w="317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543CE8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限于具体案例，不外推为行业平均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CD62D2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补充 1-2 个同类案例</w:t>
            </w:r>
          </w:p>
        </w:tc>
      </w:tr>
      <w:tr w14:paraId="2A72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217CDE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多方收益是否可按贡献讨论</w:t>
            </w:r>
          </w:p>
        </w:tc>
        <w:tc>
          <w:tcPr>
            <w:tcW w:w="153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E54988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较充分</w:t>
            </w:r>
          </w:p>
        </w:tc>
        <w:tc>
          <w:tcPr>
            <w:tcW w:w="317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85A74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提出研究框架，不称为行业标准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6875E1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访谈或专家评分校准权重</w:t>
            </w:r>
          </w:p>
        </w:tc>
      </w:tr>
      <w:tr w14:paraId="5963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D76362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服务价格与真实分成比例</w:t>
            </w:r>
          </w:p>
        </w:tc>
        <w:tc>
          <w:tcPr>
            <w:tcW w:w="153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31C36D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不足</w:t>
            </w:r>
          </w:p>
        </w:tc>
        <w:tc>
          <w:tcPr>
            <w:tcW w:w="317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3B8D57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只讨论计费逻辑和研究假设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601B24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收集报价页、招投标或合同样本</w:t>
            </w:r>
          </w:p>
        </w:tc>
      </w:tr>
      <w:tr w14:paraId="6339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CD4DDA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估值参数的现实区间</w:t>
            </w:r>
          </w:p>
        </w:tc>
        <w:tc>
          <w:tcPr>
            <w:tcW w:w="153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81D6D6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部分具备</w:t>
            </w:r>
          </w:p>
        </w:tc>
        <w:tc>
          <w:tcPr>
            <w:tcW w:w="317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EF5E8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明确标注示例参数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02C212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收集毛利率、库存成本、缺货率和损耗率资料</w:t>
            </w:r>
          </w:p>
        </w:tc>
      </w:tr>
    </w:tbl>
    <w:p w14:paraId="2F531764">
      <w:pPr>
        <w:spacing w:after="20"/>
      </w:pPr>
    </w:p>
    <w:p w14:paraId="1C7AD0CC">
      <w:pPr>
        <w:spacing w:before="180" w:after="80"/>
      </w:pPr>
      <w:r>
        <w:rPr>
          <w:rFonts w:ascii="微软雅黑" w:hAnsi="微软雅黑" w:eastAsia="微软雅黑"/>
          <w:b/>
          <w:i w:val="0"/>
          <w:color w:val="222222"/>
          <w:sz w:val="26"/>
        </w:rPr>
        <w:t>参考资料</w:t>
      </w:r>
    </w:p>
    <w:p w14:paraId="0A2F5623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[1] 数据要素价格实验室实习任务（用户提供材料）。</w:t>
      </w:r>
    </w:p>
    <w:p w14:paraId="39596A34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[2] 《中共中央 国务院关于构建数据基础制度更好发挥数据要素作用的意见》（“数据二十条”）。</w:t>
      </w:r>
    </w:p>
    <w:p w14:paraId="7F9A3B02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[3] 财政部：《关于加强数据资产管理的指导意见》。</w:t>
      </w:r>
    </w:p>
    <w:p w14:paraId="72788B4D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[4] 深圳市发展和改革委员会：《深圳市数据交易管理暂行办法》。</w:t>
      </w:r>
    </w:p>
    <w:p w14:paraId="56293F2B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[5] 国家数据局：《可信数据空间发展行动计划（2024-2028年）》。</w:t>
      </w:r>
    </w:p>
    <w:p w14:paraId="3164360B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[6] 国家数据局：第二批“数据要素×”典型案例之六——海量消费数据赋能传统零售业转型升级（全球蛙）。</w:t>
      </w:r>
    </w:p>
    <w:p w14:paraId="7FFCA828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[7] 国家数据局：2024年“数据要素×”大赛优秀项目案例——瓴羊天攻智投。</w:t>
      </w:r>
    </w:p>
    <w:p w14:paraId="224334C3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[8] JD.com Improves Fulfillment Efficiency with Data-driven Integrated Assortment Planning and Inventory Allocation, arXiv。</w:t>
      </w:r>
    </w:p>
    <w:p w14:paraId="1C024ECD">
      <w:pPr>
        <w:spacing w:after="80" w:line="298" w:lineRule="auto"/>
      </w:pPr>
      <w:r>
        <w:rPr>
          <w:rFonts w:ascii="宋体" w:hAnsi="宋体" w:eastAsia="宋体"/>
          <w:b w:val="0"/>
          <w:i w:val="0"/>
          <w:sz w:val="21"/>
        </w:rPr>
        <w:t>[9] 《中华人民共和国个人信息保护法》。</w:t>
      </w:r>
    </w:p>
    <w:sectPr>
      <w:headerReference r:id="rId5" w:type="default"/>
      <w:footerReference r:id="rId6" w:type="default"/>
      <w:pgSz w:w="12240" w:h="15840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76665">
    <w:pPr>
      <w:pStyle w:val="24"/>
      <w:jc w:val="center"/>
    </w:pPr>
    <w:r>
      <w:rPr>
        <w:rFonts w:ascii="宋体" w:hAnsi="宋体" w:eastAsia="宋体"/>
        <w:b w:val="0"/>
        <w:i w:val="0"/>
        <w:color w:val="6B6B6B"/>
        <w:sz w:val="16"/>
      </w:rPr>
      <w:t>刘子豪  |  2026-06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A585E">
    <w:pPr>
      <w:pStyle w:val="25"/>
      <w:spacing w:after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B37DC4"/>
    <w:rsid w:val="7F12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2450</Words>
  <Characters>2681</Characters>
  <Lines>0</Lines>
  <Paragraphs>0</Paragraphs>
  <TotalTime>5</TotalTime>
  <ScaleCrop>false</ScaleCrop>
  <LinksUpToDate>false</LinksUpToDate>
  <CharactersWithSpaces>2767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Brain</cp:lastModifiedBy>
  <dcterms:modified xsi:type="dcterms:W3CDTF">2026-06-28T07:48:11Z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eyJoZGlkIjoiMzhiZDYwNzk2MTc1NjA1ODE5ZDY5NjJiMTBiNmUwZGUiLCJ1c2VySWQiOiIyNDg4ODgyNjYifQ==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D2EF3B056AF442B98B020FD0CA01403E_12</vt:lpwstr>
  </property>
</Properties>
</file>