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C134F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002C3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002C3">
        <w:rPr>
          <w:rFonts w:ascii="Times New Roman" w:hAnsi="Times New Roman" w:cs="Times New Roman"/>
          <w:b/>
          <w:bCs/>
          <w:sz w:val="22"/>
          <w:szCs w:val="22"/>
        </w:rPr>
        <w:t xml:space="preserve"> Slide 1 – Title</w:t>
      </w:r>
    </w:p>
    <w:p w14:paraId="1EFD9B23" w14:textId="1E34C72D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Good afternoon,</w:t>
      </w:r>
      <w:r w:rsidRPr="005002C3">
        <w:rPr>
          <w:rFonts w:ascii="Times New Roman" w:hAnsi="Times New Roman" w:cs="Times New Roman"/>
          <w:sz w:val="22"/>
          <w:szCs w:val="22"/>
        </w:rPr>
        <w:br/>
        <w:t>My name is Liubov Dumarevskaya, and today I’ll be presenting our census tract–level analysis of suicide risk in Rhode Island, conducted through the Rhode Island Department of Health Workforce Acceleration Initiative.</w:t>
      </w:r>
    </w:p>
    <w:p w14:paraId="0235549A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This project integrates statistical modeling, machine learning, and GIS tools to better understand community-level drivers of suicide.</w:t>
      </w:r>
    </w:p>
    <w:p w14:paraId="0C920B09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pict w14:anchorId="6F367968">
          <v:rect id="_x0000_i1091" style="width:0;height:1.5pt" o:hralign="center" o:hrstd="t" o:hr="t" fillcolor="#a0a0a0" stroked="f"/>
        </w:pict>
      </w:r>
    </w:p>
    <w:p w14:paraId="59BE0513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002C3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002C3">
        <w:rPr>
          <w:rFonts w:ascii="Times New Roman" w:hAnsi="Times New Roman" w:cs="Times New Roman"/>
          <w:b/>
          <w:bCs/>
          <w:sz w:val="22"/>
          <w:szCs w:val="22"/>
        </w:rPr>
        <w:t xml:space="preserve"> Slide 2 – Background &amp; Motivation</w:t>
      </w:r>
    </w:p>
    <w:p w14:paraId="69D59B91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Suicide remains a major public health concern in the United States.</w:t>
      </w:r>
      <w:r w:rsidRPr="005002C3">
        <w:rPr>
          <w:rFonts w:ascii="Times New Roman" w:hAnsi="Times New Roman" w:cs="Times New Roman"/>
          <w:sz w:val="22"/>
          <w:szCs w:val="22"/>
        </w:rPr>
        <w:br/>
        <w:t>While individual-level risk factors are well studied, suicide rates vary substantially across geographic areas.</w:t>
      </w:r>
    </w:p>
    <w:p w14:paraId="42BDF892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This suggests that neighborhood-level characteristics may influence suicide risk. However, community drivers remain less understood.</w:t>
      </w:r>
    </w:p>
    <w:p w14:paraId="0CF5CC4A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Traditional surveillance systems can be costly and difficult to sustain.</w:t>
      </w:r>
      <w:r w:rsidRPr="005002C3">
        <w:rPr>
          <w:rFonts w:ascii="Times New Roman" w:hAnsi="Times New Roman" w:cs="Times New Roman"/>
          <w:sz w:val="22"/>
          <w:szCs w:val="22"/>
        </w:rPr>
        <w:br/>
        <w:t>Our goal was to create a statistically rigorous and sustainable framework to identify community risk patterns and translate findings into an interactive monitoring tool.</w:t>
      </w:r>
    </w:p>
    <w:p w14:paraId="4CAADECA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pict w14:anchorId="17DC787B">
          <v:rect id="_x0000_i1092" style="width:0;height:1.5pt" o:hralign="center" o:hrstd="t" o:hr="t" fillcolor="#a0a0a0" stroked="f"/>
        </w:pict>
      </w:r>
    </w:p>
    <w:p w14:paraId="5231D628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002C3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002C3">
        <w:rPr>
          <w:rFonts w:ascii="Times New Roman" w:hAnsi="Times New Roman" w:cs="Times New Roman"/>
          <w:b/>
          <w:bCs/>
          <w:sz w:val="22"/>
          <w:szCs w:val="22"/>
        </w:rPr>
        <w:t xml:space="preserve"> Slide 3 – Study Objectives</w:t>
      </w:r>
    </w:p>
    <w:p w14:paraId="5CF19026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The objectives of this study were threefold:</w:t>
      </w:r>
    </w:p>
    <w:p w14:paraId="3A33F6EB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First, to identify and evaluate census tract–level characteristics associated with suicide counts.</w:t>
      </w:r>
      <w:r w:rsidRPr="005002C3">
        <w:rPr>
          <w:rFonts w:ascii="Times New Roman" w:hAnsi="Times New Roman" w:cs="Times New Roman"/>
          <w:sz w:val="22"/>
          <w:szCs w:val="22"/>
        </w:rPr>
        <w:br/>
        <w:t>Second, to determine which predictors are independently associated with suicide burden.</w:t>
      </w:r>
      <w:r w:rsidRPr="005002C3">
        <w:rPr>
          <w:rFonts w:ascii="Times New Roman" w:hAnsi="Times New Roman" w:cs="Times New Roman"/>
          <w:sz w:val="22"/>
          <w:szCs w:val="22"/>
        </w:rPr>
        <w:br/>
        <w:t>And third, to develop an interactive monitoring dashboard to support data-driven public health decision-making.</w:t>
      </w:r>
    </w:p>
    <w:p w14:paraId="76946B89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pict w14:anchorId="0006B72B">
          <v:rect id="_x0000_i1093" style="width:0;height:1.5pt" o:hralign="center" o:hrstd="t" o:hr="t" fillcolor="#a0a0a0" stroked="f"/>
        </w:pict>
      </w:r>
    </w:p>
    <w:p w14:paraId="36EE62A0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002C3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002C3">
        <w:rPr>
          <w:rFonts w:ascii="Times New Roman" w:hAnsi="Times New Roman" w:cs="Times New Roman"/>
          <w:b/>
          <w:bCs/>
          <w:sz w:val="22"/>
          <w:szCs w:val="22"/>
        </w:rPr>
        <w:t xml:space="preserve"> Slide 4 – Project Overview</w:t>
      </w:r>
    </w:p>
    <w:p w14:paraId="724A77B4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Our study included 199 Rhode Island census tracts.</w:t>
      </w:r>
      <w:r w:rsidRPr="005002C3">
        <w:rPr>
          <w:rFonts w:ascii="Times New Roman" w:hAnsi="Times New Roman" w:cs="Times New Roman"/>
          <w:sz w:val="22"/>
          <w:szCs w:val="22"/>
        </w:rPr>
        <w:br/>
        <w:t>Tracts with boundary or GEOID changes were excluded to ensure geographic consistency.</w:t>
      </w:r>
    </w:p>
    <w:p w14:paraId="2DDF1D97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The study period covered 2019 through 2023.</w:t>
      </w:r>
    </w:p>
    <w:p w14:paraId="637F0497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The outcome variable was suicide count per tract.</w:t>
      </w:r>
      <w:r w:rsidRPr="005002C3">
        <w:rPr>
          <w:rFonts w:ascii="Times New Roman" w:hAnsi="Times New Roman" w:cs="Times New Roman"/>
          <w:sz w:val="22"/>
          <w:szCs w:val="22"/>
        </w:rPr>
        <w:br/>
        <w:t>We used tract population as an offset to properly model rates.</w:t>
      </w:r>
    </w:p>
    <w:p w14:paraId="1AE013C9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Risk factor groups included demographic, socioeconomic, employment, housing, household structure, and social vulnerability indicators from the American Community Survey.</w:t>
      </w:r>
    </w:p>
    <w:p w14:paraId="2163D452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pict w14:anchorId="1CAD8DBE">
          <v:rect id="_x0000_i1094" style="width:0;height:1.5pt" o:hralign="center" o:hrstd="t" o:hr="t" fillcolor="#a0a0a0" stroked="f"/>
        </w:pict>
      </w:r>
    </w:p>
    <w:p w14:paraId="0DD52083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002C3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002C3">
        <w:rPr>
          <w:rFonts w:ascii="Times New Roman" w:hAnsi="Times New Roman" w:cs="Times New Roman"/>
          <w:b/>
          <w:bCs/>
          <w:sz w:val="22"/>
          <w:szCs w:val="22"/>
        </w:rPr>
        <w:t xml:space="preserve"> Slide 5 – Model Selection &amp; Distribution Assessment</w:t>
      </w:r>
    </w:p>
    <w:p w14:paraId="444D0972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Suicide counts followed a right-skewed count distribution.</w:t>
      </w:r>
    </w:p>
    <w:p w14:paraId="5A703BAB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The mean was approximately 2.78 and the variance was 3.25, which suggested no substantial overdispersion.</w:t>
      </w:r>
    </w:p>
    <w:p w14:paraId="1EAE067C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We compared linear regression, negative binomial, and Poisson models.</w:t>
      </w:r>
    </w:p>
    <w:p w14:paraId="153B8416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Linear regression showed poor fit.</w:t>
      </w:r>
      <w:r w:rsidRPr="005002C3">
        <w:rPr>
          <w:rFonts w:ascii="Times New Roman" w:hAnsi="Times New Roman" w:cs="Times New Roman"/>
          <w:sz w:val="22"/>
          <w:szCs w:val="22"/>
        </w:rPr>
        <w:br/>
        <w:t>Negative binomial did not improve fit because overdispersion was not present.</w:t>
      </w:r>
    </w:p>
    <w:p w14:paraId="27470CF2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Poisson regression had the lowest AIC and best diagnostic performance.</w:t>
      </w:r>
    </w:p>
    <w:p w14:paraId="6BC8684B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Deviance divided by degrees of freedom was approximately 0.91, and Pearson dispersion was 0.78 — both supporting the Poisson assumption.</w:t>
      </w:r>
    </w:p>
    <w:p w14:paraId="0255F0EC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Speak confidently here — this is your strongest technical section.</w:t>
      </w:r>
    </w:p>
    <w:p w14:paraId="360841F6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pict w14:anchorId="49237071">
          <v:rect id="_x0000_i1095" style="width:0;height:1.5pt" o:hralign="center" o:hrstd="t" o:hr="t" fillcolor="#a0a0a0" stroked="f"/>
        </w:pict>
      </w:r>
    </w:p>
    <w:p w14:paraId="75D744FF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002C3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002C3">
        <w:rPr>
          <w:rFonts w:ascii="Times New Roman" w:hAnsi="Times New Roman" w:cs="Times New Roman"/>
          <w:b/>
          <w:bCs/>
          <w:sz w:val="22"/>
          <w:szCs w:val="22"/>
        </w:rPr>
        <w:t xml:space="preserve"> Slide 6 – Spatial Diagnostics</w:t>
      </w:r>
    </w:p>
    <w:p w14:paraId="5E7ED82E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We also tested for residual spatial autocorrelation using Moran’s I.</w:t>
      </w:r>
    </w:p>
    <w:p w14:paraId="43384C21" w14:textId="3DC6877E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 xml:space="preserve">The </w:t>
      </w:r>
      <w:proofErr w:type="gramStart"/>
      <w:r w:rsidRPr="005002C3">
        <w:rPr>
          <w:rFonts w:ascii="Times New Roman" w:hAnsi="Times New Roman" w:cs="Times New Roman"/>
          <w:sz w:val="22"/>
          <w:szCs w:val="22"/>
        </w:rPr>
        <w:t>Moran’s I</w:t>
      </w:r>
      <w:proofErr w:type="gramEnd"/>
      <w:r w:rsidRPr="005002C3">
        <w:rPr>
          <w:rFonts w:ascii="Times New Roman" w:hAnsi="Times New Roman" w:cs="Times New Roman"/>
          <w:sz w:val="22"/>
          <w:szCs w:val="22"/>
        </w:rPr>
        <w:t xml:space="preserve"> </w:t>
      </w:r>
      <w:r w:rsidRPr="005002C3">
        <w:rPr>
          <w:rFonts w:ascii="Times New Roman" w:hAnsi="Times New Roman" w:cs="Times New Roman"/>
          <w:sz w:val="22"/>
          <w:szCs w:val="22"/>
        </w:rPr>
        <w:t>statistics were</w:t>
      </w:r>
      <w:r w:rsidRPr="005002C3">
        <w:rPr>
          <w:rFonts w:ascii="Times New Roman" w:hAnsi="Times New Roman" w:cs="Times New Roman"/>
          <w:sz w:val="22"/>
          <w:szCs w:val="22"/>
        </w:rPr>
        <w:t xml:space="preserve"> not statistically significant.</w:t>
      </w:r>
    </w:p>
    <w:p w14:paraId="61CD6BA6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This indicates that the model residuals did not show spatial clustering.</w:t>
      </w:r>
    </w:p>
    <w:p w14:paraId="20A79B18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In other words, the model sufficiently captured spatial structure, and spatial independence was confirmed.</w:t>
      </w:r>
    </w:p>
    <w:p w14:paraId="58F5AEC0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Pause.</w:t>
      </w:r>
    </w:p>
    <w:p w14:paraId="643DDD14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lastRenderedPageBreak/>
        <w:t>This is an advanced and strong validation step.</w:t>
      </w:r>
    </w:p>
    <w:p w14:paraId="34574699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pict w14:anchorId="6F9D6BED">
          <v:rect id="_x0000_i1096" style="width:0;height:1.5pt" o:hralign="center" o:hrstd="t" o:hr="t" fillcolor="#a0a0a0" stroked="f"/>
        </w:pict>
      </w:r>
    </w:p>
    <w:p w14:paraId="133C1880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002C3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002C3">
        <w:rPr>
          <w:rFonts w:ascii="Times New Roman" w:hAnsi="Times New Roman" w:cs="Times New Roman"/>
          <w:b/>
          <w:bCs/>
          <w:sz w:val="22"/>
          <w:szCs w:val="22"/>
        </w:rPr>
        <w:t xml:space="preserve"> Slide 7 – Variable Selection &amp; Multicollinearity</w:t>
      </w:r>
    </w:p>
    <w:p w14:paraId="0384B3D4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To reduce overfitting and improve model parsimony, we applied LASSO regression with k-fold cross-validation.</w:t>
      </w:r>
    </w:p>
    <w:p w14:paraId="14F390E1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All predictors were standardized.</w:t>
      </w:r>
    </w:p>
    <w:p w14:paraId="5F09B871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Variables with non-zero coefficients were retained for final Poisson modeling.</w:t>
      </w:r>
    </w:p>
    <w:p w14:paraId="12F5A371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This approach improves stability compared to traditional stepwise methods and addresses multicollinearity among correlated socioeconomic variables.</w:t>
      </w:r>
    </w:p>
    <w:p w14:paraId="748BD81A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pict w14:anchorId="05424AE1">
          <v:rect id="_x0000_i1097" style="width:0;height:1.5pt" o:hralign="center" o:hrstd="t" o:hr="t" fillcolor="#a0a0a0" stroked="f"/>
        </w:pict>
      </w:r>
    </w:p>
    <w:p w14:paraId="33EE442C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002C3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002C3">
        <w:rPr>
          <w:rFonts w:ascii="Times New Roman" w:hAnsi="Times New Roman" w:cs="Times New Roman"/>
          <w:b/>
          <w:bCs/>
          <w:sz w:val="22"/>
          <w:szCs w:val="22"/>
        </w:rPr>
        <w:t xml:space="preserve"> Slide 8 – Results &amp; Interpretation</w:t>
      </w:r>
    </w:p>
    <w:p w14:paraId="56BA2705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Three key tract-level characteristics were independently associated with suicide counts.</w:t>
      </w:r>
    </w:p>
    <w:p w14:paraId="3E77DF41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First, population density.</w:t>
      </w:r>
      <w:r w:rsidRPr="005002C3">
        <w:rPr>
          <w:rFonts w:ascii="Times New Roman" w:hAnsi="Times New Roman" w:cs="Times New Roman"/>
          <w:sz w:val="22"/>
          <w:szCs w:val="22"/>
        </w:rPr>
        <w:br/>
        <w:t>A one-standard-deviation increase in population density was associated with approximately 12% lower suicide counts.</w:t>
      </w:r>
      <w:r w:rsidRPr="005002C3">
        <w:rPr>
          <w:rFonts w:ascii="Times New Roman" w:hAnsi="Times New Roman" w:cs="Times New Roman"/>
          <w:sz w:val="22"/>
          <w:szCs w:val="22"/>
        </w:rPr>
        <w:br/>
        <w:t>This suggests more densely populated areas may have protective social or structural factors.</w:t>
      </w:r>
    </w:p>
    <w:p w14:paraId="17BCA4CC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Second, single-person household share.</w:t>
      </w:r>
      <w:r w:rsidRPr="005002C3">
        <w:rPr>
          <w:rFonts w:ascii="Times New Roman" w:hAnsi="Times New Roman" w:cs="Times New Roman"/>
          <w:sz w:val="22"/>
          <w:szCs w:val="22"/>
        </w:rPr>
        <w:br/>
        <w:t>Higher prevalence of single-person households was associated with increased suicide counts, which may reflect social isolation.</w:t>
      </w:r>
    </w:p>
    <w:p w14:paraId="3B0AD3F7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Third, housing occupancy share.</w:t>
      </w:r>
      <w:r w:rsidRPr="005002C3">
        <w:rPr>
          <w:rFonts w:ascii="Times New Roman" w:hAnsi="Times New Roman" w:cs="Times New Roman"/>
          <w:sz w:val="22"/>
          <w:szCs w:val="22"/>
        </w:rPr>
        <w:br/>
        <w:t xml:space="preserve">Higher levels of occupied housing — a marker of neighborhood stability — were associated with lower suicide </w:t>
      </w:r>
      <w:proofErr w:type="gramStart"/>
      <w:r w:rsidRPr="005002C3">
        <w:rPr>
          <w:rFonts w:ascii="Times New Roman" w:hAnsi="Times New Roman" w:cs="Times New Roman"/>
          <w:sz w:val="22"/>
          <w:szCs w:val="22"/>
        </w:rPr>
        <w:t>counts</w:t>
      </w:r>
      <w:proofErr w:type="gramEnd"/>
      <w:r w:rsidRPr="005002C3">
        <w:rPr>
          <w:rFonts w:ascii="Times New Roman" w:hAnsi="Times New Roman" w:cs="Times New Roman"/>
          <w:sz w:val="22"/>
          <w:szCs w:val="22"/>
        </w:rPr>
        <w:t>.</w:t>
      </w:r>
    </w:p>
    <w:p w14:paraId="29728ADD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Importantly, these findings reflect associations at the community level, not individual-level causation.</w:t>
      </w:r>
    </w:p>
    <w:p w14:paraId="2A461BD9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pict w14:anchorId="5B3F3CE1">
          <v:rect id="_x0000_i1098" style="width:0;height:1.5pt" o:hralign="center" o:hrstd="t" o:hr="t" fillcolor="#a0a0a0" stroked="f"/>
        </w:pict>
      </w:r>
    </w:p>
    <w:p w14:paraId="5EA72C52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002C3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002C3">
        <w:rPr>
          <w:rFonts w:ascii="Times New Roman" w:hAnsi="Times New Roman" w:cs="Times New Roman"/>
          <w:b/>
          <w:bCs/>
          <w:sz w:val="22"/>
          <w:szCs w:val="22"/>
        </w:rPr>
        <w:t xml:space="preserve"> Slide 9 – Interactive Dashboard</w:t>
      </w:r>
    </w:p>
    <w:p w14:paraId="4E5C337C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To translate findings into practice, we developed a web-based interactive GIS dashboard.</w:t>
      </w:r>
    </w:p>
    <w:p w14:paraId="422FF2E4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This open-source platform allows real-time visualization of suicide risk across Rhode Island census tracts.</w:t>
      </w:r>
    </w:p>
    <w:p w14:paraId="4485DC4F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The dashboard supports geographic surveillance, identification of high-risk areas, and data-driven allocation of prevention resources.</w:t>
      </w:r>
    </w:p>
    <w:p w14:paraId="5E61A77A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This ensures the modeling framework is not just academic — but operational.</w:t>
      </w:r>
    </w:p>
    <w:p w14:paraId="6362D8EC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pict w14:anchorId="240F64D9">
          <v:rect id="_x0000_i1099" style="width:0;height:1.5pt" o:hralign="center" o:hrstd="t" o:hr="t" fillcolor="#a0a0a0" stroked="f"/>
        </w:pict>
      </w:r>
    </w:p>
    <w:p w14:paraId="6228BB43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002C3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002C3">
        <w:rPr>
          <w:rFonts w:ascii="Times New Roman" w:hAnsi="Times New Roman" w:cs="Times New Roman"/>
          <w:b/>
          <w:bCs/>
          <w:sz w:val="22"/>
          <w:szCs w:val="22"/>
        </w:rPr>
        <w:t xml:space="preserve"> Slide 10 – Conclusion</w:t>
      </w:r>
    </w:p>
    <w:p w14:paraId="4FA4D7E6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In summary, our findings suggest that neighborhood structure influences suicide risk.</w:t>
      </w:r>
    </w:p>
    <w:p w14:paraId="01FB753D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Social isolation appears to increase risk, while population density and housing stability appear protective.</w:t>
      </w:r>
    </w:p>
    <w:p w14:paraId="26CD611B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By integrating statistical modeling, penalized variable selection, and open-source GIS tools, we developed a sustainable and scalable approach to suicide surveillance.</w:t>
      </w:r>
    </w:p>
    <w:p w14:paraId="30130847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pict w14:anchorId="7D9C9BE4">
          <v:rect id="_x0000_i1100" style="width:0;height:1.5pt" o:hralign="center" o:hrstd="t" o:hr="t" fillcolor="#a0a0a0" stroked="f"/>
        </w:pict>
      </w:r>
    </w:p>
    <w:p w14:paraId="65315080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002C3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002C3">
        <w:rPr>
          <w:rFonts w:ascii="Times New Roman" w:hAnsi="Times New Roman" w:cs="Times New Roman"/>
          <w:b/>
          <w:bCs/>
          <w:sz w:val="22"/>
          <w:szCs w:val="22"/>
        </w:rPr>
        <w:t xml:space="preserve"> Recommendations</w:t>
      </w:r>
    </w:p>
    <w:p w14:paraId="2FEA2DFF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We recommend:</w:t>
      </w:r>
    </w:p>
    <w:p w14:paraId="45F34DE7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Targeting high-risk neighborhoods identified by the model.</w:t>
      </w:r>
      <w:r w:rsidRPr="005002C3">
        <w:rPr>
          <w:rFonts w:ascii="Times New Roman" w:hAnsi="Times New Roman" w:cs="Times New Roman"/>
          <w:sz w:val="22"/>
          <w:szCs w:val="22"/>
        </w:rPr>
        <w:br/>
        <w:t>Using open-source GIS tools for ongoing monitoring.</w:t>
      </w:r>
      <w:r w:rsidRPr="005002C3">
        <w:rPr>
          <w:rFonts w:ascii="Times New Roman" w:hAnsi="Times New Roman" w:cs="Times New Roman"/>
          <w:sz w:val="22"/>
          <w:szCs w:val="22"/>
        </w:rPr>
        <w:br/>
        <w:t>Integrating modeling outputs into public health workflows.</w:t>
      </w:r>
      <w:r w:rsidRPr="005002C3">
        <w:rPr>
          <w:rFonts w:ascii="Times New Roman" w:hAnsi="Times New Roman" w:cs="Times New Roman"/>
          <w:sz w:val="22"/>
          <w:szCs w:val="22"/>
        </w:rPr>
        <w:br/>
        <w:t>And prioritizing rural and underserved communities where isolation may be higher.</w:t>
      </w:r>
    </w:p>
    <w:p w14:paraId="22006E96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pict w14:anchorId="7C156978">
          <v:rect id="_x0000_i1101" style="width:0;height:1.5pt" o:hralign="center" o:hrstd="t" o:hr="t" fillcolor="#a0a0a0" stroked="f"/>
        </w:pict>
      </w:r>
    </w:p>
    <w:p w14:paraId="059F37E7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5002C3">
        <w:rPr>
          <w:rFonts w:ascii="Segoe UI Emoji" w:hAnsi="Segoe UI Emoji" w:cs="Segoe UI Emoji"/>
          <w:b/>
          <w:bCs/>
          <w:sz w:val="22"/>
          <w:szCs w:val="22"/>
        </w:rPr>
        <w:t>🟦</w:t>
      </w:r>
      <w:r w:rsidRPr="005002C3">
        <w:rPr>
          <w:rFonts w:ascii="Times New Roman" w:hAnsi="Times New Roman" w:cs="Times New Roman"/>
          <w:b/>
          <w:bCs/>
          <w:sz w:val="22"/>
          <w:szCs w:val="22"/>
        </w:rPr>
        <w:t xml:space="preserve"> Closing</w:t>
      </w:r>
    </w:p>
    <w:p w14:paraId="4830505D" w14:textId="77777777" w:rsidR="005002C3" w:rsidRPr="005002C3" w:rsidRDefault="005002C3" w:rsidP="005002C3">
      <w:pPr>
        <w:spacing w:after="0"/>
        <w:rPr>
          <w:rFonts w:ascii="Times New Roman" w:hAnsi="Times New Roman" w:cs="Times New Roman"/>
          <w:sz w:val="22"/>
          <w:szCs w:val="22"/>
        </w:rPr>
      </w:pPr>
      <w:r w:rsidRPr="005002C3">
        <w:rPr>
          <w:rFonts w:ascii="Times New Roman" w:hAnsi="Times New Roman" w:cs="Times New Roman"/>
          <w:sz w:val="22"/>
          <w:szCs w:val="22"/>
        </w:rPr>
        <w:t>Thank you for your attention.</w:t>
      </w:r>
      <w:r w:rsidRPr="005002C3">
        <w:rPr>
          <w:rFonts w:ascii="Times New Roman" w:hAnsi="Times New Roman" w:cs="Times New Roman"/>
          <w:sz w:val="22"/>
          <w:szCs w:val="22"/>
        </w:rPr>
        <w:br/>
        <w:t>I welcome your questions.</w:t>
      </w:r>
    </w:p>
    <w:p w14:paraId="4CEA7741" w14:textId="77777777" w:rsidR="005A2183" w:rsidRPr="005002C3" w:rsidRDefault="005A2183" w:rsidP="005002C3">
      <w:pPr>
        <w:spacing w:after="0"/>
        <w:rPr>
          <w:rFonts w:ascii="Times New Roman" w:hAnsi="Times New Roman" w:cs="Times New Roman"/>
          <w:sz w:val="22"/>
          <w:szCs w:val="22"/>
        </w:rPr>
      </w:pPr>
    </w:p>
    <w:sectPr w:rsidR="005A2183" w:rsidRPr="005002C3" w:rsidSect="005002C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2C3"/>
    <w:rsid w:val="003D37F5"/>
    <w:rsid w:val="005002C3"/>
    <w:rsid w:val="005A2183"/>
    <w:rsid w:val="00B51C8A"/>
    <w:rsid w:val="00D6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BA81D"/>
  <w15:chartTrackingRefBased/>
  <w15:docId w15:val="{23D0638B-717A-4DEE-ACEF-440EBF09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2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2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2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2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2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2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2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2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2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2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2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2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2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2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2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2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2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2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2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2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2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2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2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2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2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2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2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2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2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619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4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79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052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8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7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187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0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05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82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556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861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8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6471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9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3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52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9870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425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29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23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68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163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29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12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20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60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8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116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39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6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60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195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9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459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0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7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4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112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37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698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4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304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80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400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7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77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8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186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03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85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535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35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864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24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08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40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108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309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060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85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64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01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7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1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67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436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876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7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220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15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94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19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4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2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796</Words>
  <Characters>4539</Characters>
  <Application>Microsoft Office Word</Application>
  <DocSecurity>0</DocSecurity>
  <Lines>37</Lines>
  <Paragraphs>10</Paragraphs>
  <ScaleCrop>false</ScaleCrop>
  <Company/>
  <LinksUpToDate>false</LinksUpToDate>
  <CharactersWithSpaces>5325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Dumarevskaya, Liubov (RIDOH-Contractor)</dc:creator>
  <cp:keywords/>
  <dc:description/>
  <cp:lastModifiedBy>Dumarevskaya, Liubov (RIDOH-Contractor)</cp:lastModifiedBy>
  <cp:revision>1</cp:revision>
  <dcterms:created xsi:type="dcterms:W3CDTF">2026-03-03T01:49:00Z</dcterms:created>
  <dcterms:modified xsi:type="dcterms:W3CDTF">2026-03-03T01:51:00Z</dcterms:modified>
</cp:coreProperties>
</file>