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BF548" w14:textId="44516482" w:rsidR="00CF5E07" w:rsidRPr="00090CE0" w:rsidRDefault="00CF5E07" w:rsidP="00090CE0">
      <w:pPr>
        <w:rPr>
          <w:b/>
          <w:sz w:val="24"/>
          <w:szCs w:val="24"/>
          <w:u w:val="single"/>
        </w:rPr>
      </w:pPr>
      <w:r w:rsidRPr="00090CE0">
        <w:rPr>
          <w:b/>
          <w:bCs/>
          <w:sz w:val="24"/>
          <w:szCs w:val="24"/>
        </w:rPr>
        <w:t xml:space="preserve">MOTION TO TERMINATE PURSUANT TO </w:t>
      </w:r>
      <w:r w:rsidR="00C47DF0" w:rsidRPr="00090CE0">
        <w:rPr>
          <w:b/>
          <w:bCs/>
          <w:i/>
          <w:sz w:val="24"/>
          <w:szCs w:val="24"/>
          <w:u w:val="single"/>
        </w:rPr>
        <w:t>PEREIRA</w:t>
      </w:r>
      <w:r w:rsidR="00C47DF0" w:rsidRPr="00090CE0">
        <w:rPr>
          <w:b/>
          <w:bCs/>
          <w:i/>
          <w:sz w:val="24"/>
          <w:szCs w:val="24"/>
        </w:rPr>
        <w:t xml:space="preserve"> </w:t>
      </w:r>
      <w:r w:rsidR="00C47DF0" w:rsidRPr="00090CE0">
        <w:rPr>
          <w:b/>
          <w:bCs/>
          <w:sz w:val="24"/>
          <w:szCs w:val="24"/>
        </w:rPr>
        <w:t>and</w:t>
      </w:r>
      <w:r w:rsidR="00C47DF0" w:rsidRPr="00090CE0">
        <w:rPr>
          <w:b/>
          <w:bCs/>
          <w:i/>
          <w:sz w:val="24"/>
          <w:szCs w:val="24"/>
        </w:rPr>
        <w:t xml:space="preserve"> </w:t>
      </w:r>
      <w:r w:rsidR="006845FD" w:rsidRPr="00090CE0">
        <w:rPr>
          <w:b/>
          <w:bCs/>
          <w:i/>
          <w:sz w:val="24"/>
          <w:szCs w:val="24"/>
          <w:u w:val="single"/>
        </w:rPr>
        <w:t>ORTIZ-SANTIAGO</w:t>
      </w:r>
    </w:p>
    <w:p w14:paraId="7FDD988E" w14:textId="77777777" w:rsidR="00CF5E07" w:rsidRPr="00090CE0" w:rsidRDefault="00CF5E07" w:rsidP="00CF5E07">
      <w:pPr>
        <w:jc w:val="center"/>
        <w:rPr>
          <w:b/>
          <w:bCs/>
          <w:sz w:val="24"/>
          <w:szCs w:val="24"/>
        </w:rPr>
      </w:pPr>
      <w:r w:rsidRPr="00090CE0">
        <w:rPr>
          <w:b/>
          <w:bCs/>
          <w:sz w:val="24"/>
          <w:szCs w:val="24"/>
        </w:rPr>
        <w:t>Or</w:t>
      </w:r>
    </w:p>
    <w:p w14:paraId="0189AC84" w14:textId="77777777" w:rsidR="006845FD" w:rsidRPr="00090CE0" w:rsidRDefault="00CF5E07" w:rsidP="00CF5E07">
      <w:pPr>
        <w:pBdr>
          <w:bottom w:val="single" w:sz="12" w:space="1" w:color="auto"/>
        </w:pBdr>
        <w:jc w:val="center"/>
        <w:rPr>
          <w:b/>
          <w:bCs/>
          <w:sz w:val="24"/>
          <w:szCs w:val="24"/>
        </w:rPr>
      </w:pPr>
      <w:r w:rsidRPr="00090CE0">
        <w:rPr>
          <w:b/>
          <w:bCs/>
          <w:sz w:val="24"/>
          <w:szCs w:val="24"/>
        </w:rPr>
        <w:t xml:space="preserve">ALTERNATIVELY ACCEPT THE RESPONDENT’S REQUEST FOR </w:t>
      </w:r>
    </w:p>
    <w:p w14:paraId="733271C6" w14:textId="19ABFCE7" w:rsidR="00CF5E07" w:rsidRPr="00090CE0" w:rsidRDefault="00CF5E07" w:rsidP="00CF5E07">
      <w:pPr>
        <w:pBdr>
          <w:bottom w:val="single" w:sz="12" w:space="1" w:color="auto"/>
        </w:pBdr>
        <w:jc w:val="center"/>
        <w:rPr>
          <w:b/>
          <w:bCs/>
          <w:sz w:val="24"/>
          <w:szCs w:val="24"/>
        </w:rPr>
      </w:pPr>
      <w:r w:rsidRPr="00090CE0">
        <w:rPr>
          <w:b/>
          <w:bCs/>
          <w:sz w:val="24"/>
          <w:szCs w:val="24"/>
        </w:rPr>
        <w:t>NON-LPR CANCELLATION OF REMOVAL.</w:t>
      </w:r>
    </w:p>
    <w:p w14:paraId="4D19AAFF" w14:textId="77777777" w:rsidR="00CF5E07" w:rsidRPr="00090CE0" w:rsidRDefault="00CF5E07" w:rsidP="00CF5E07">
      <w:pPr>
        <w:pBdr>
          <w:bottom w:val="single" w:sz="12" w:space="1" w:color="auto"/>
        </w:pBdr>
        <w:jc w:val="center"/>
        <w:rPr>
          <w:b/>
          <w:bCs/>
          <w:sz w:val="24"/>
          <w:szCs w:val="24"/>
        </w:rPr>
      </w:pPr>
    </w:p>
    <w:p w14:paraId="37B4F560" w14:textId="77777777" w:rsidR="008A4B2E" w:rsidRPr="00090CE0" w:rsidRDefault="008A4B2E" w:rsidP="008A4B2E">
      <w:pPr>
        <w:rPr>
          <w:sz w:val="24"/>
          <w:szCs w:val="24"/>
        </w:rPr>
      </w:pPr>
    </w:p>
    <w:p w14:paraId="34364881" w14:textId="77777777" w:rsidR="008A4B2E" w:rsidRPr="00090CE0" w:rsidRDefault="008A4B2E" w:rsidP="008A4B2E">
      <w:pPr>
        <w:rPr>
          <w:sz w:val="24"/>
          <w:szCs w:val="24"/>
        </w:rPr>
      </w:pPr>
    </w:p>
    <w:p w14:paraId="21885488" w14:textId="77777777" w:rsidR="008A4B2E" w:rsidRPr="00090CE0" w:rsidRDefault="008A4B2E" w:rsidP="008A4B2E">
      <w:pPr>
        <w:rPr>
          <w:sz w:val="24"/>
          <w:szCs w:val="24"/>
        </w:rPr>
      </w:pPr>
    </w:p>
    <w:p w14:paraId="061FACD1" w14:textId="77777777" w:rsidR="008A4B2E" w:rsidRPr="00090CE0" w:rsidRDefault="008A4B2E" w:rsidP="008A4B2E">
      <w:pPr>
        <w:rPr>
          <w:sz w:val="24"/>
          <w:szCs w:val="24"/>
        </w:rPr>
      </w:pPr>
    </w:p>
    <w:p w14:paraId="08358560" w14:textId="77777777" w:rsidR="008A4B2E" w:rsidRPr="00090CE0" w:rsidRDefault="008A4B2E" w:rsidP="008A4B2E">
      <w:pPr>
        <w:rPr>
          <w:sz w:val="24"/>
          <w:szCs w:val="24"/>
        </w:rPr>
      </w:pPr>
    </w:p>
    <w:p w14:paraId="7702D55B" w14:textId="77777777" w:rsidR="001465CF" w:rsidRPr="00090CE0" w:rsidRDefault="001465CF" w:rsidP="001465CF">
      <w:pPr>
        <w:jc w:val="center"/>
        <w:rPr>
          <w:b/>
          <w:sz w:val="24"/>
          <w:szCs w:val="24"/>
          <w:u w:val="single"/>
        </w:rPr>
      </w:pPr>
    </w:p>
    <w:p w14:paraId="460160C8" w14:textId="77777777" w:rsidR="008A4B2E" w:rsidRPr="00090CE0" w:rsidRDefault="008A4B2E" w:rsidP="008A4B2E">
      <w:pPr>
        <w:rPr>
          <w:sz w:val="24"/>
          <w:szCs w:val="24"/>
        </w:rPr>
      </w:pPr>
    </w:p>
    <w:p w14:paraId="3DEAA17D" w14:textId="77777777" w:rsidR="008A4B2E" w:rsidRPr="00090CE0" w:rsidRDefault="008A4B2E" w:rsidP="008A4B2E">
      <w:pPr>
        <w:rPr>
          <w:sz w:val="24"/>
          <w:szCs w:val="24"/>
        </w:rPr>
      </w:pPr>
    </w:p>
    <w:p w14:paraId="66C81D9A" w14:textId="77777777" w:rsidR="00555EAE" w:rsidRPr="00090CE0" w:rsidRDefault="00555EAE" w:rsidP="008A4B2E">
      <w:pPr>
        <w:jc w:val="center"/>
        <w:rPr>
          <w:b/>
          <w:bCs/>
          <w:sz w:val="24"/>
          <w:szCs w:val="24"/>
        </w:rPr>
      </w:pPr>
    </w:p>
    <w:p w14:paraId="215A3B1F" w14:textId="08635BDF" w:rsidR="008A4B2E" w:rsidRPr="00090CE0" w:rsidRDefault="008A4B2E" w:rsidP="008A4B2E">
      <w:pPr>
        <w:jc w:val="center"/>
        <w:rPr>
          <w:b/>
          <w:bCs/>
          <w:sz w:val="24"/>
          <w:szCs w:val="24"/>
        </w:rPr>
      </w:pPr>
      <w:r w:rsidRPr="00090CE0">
        <w:rPr>
          <w:b/>
          <w:bCs/>
          <w:sz w:val="24"/>
          <w:szCs w:val="24"/>
        </w:rPr>
        <w:t>UNITED STATES DEPARTMENT OF JUSTICE</w:t>
      </w:r>
    </w:p>
    <w:p w14:paraId="1D9AE111" w14:textId="77777777" w:rsidR="008A4B2E" w:rsidRPr="00090CE0" w:rsidRDefault="008A4B2E" w:rsidP="008A4B2E">
      <w:pPr>
        <w:jc w:val="center"/>
        <w:rPr>
          <w:b/>
          <w:bCs/>
          <w:sz w:val="24"/>
          <w:szCs w:val="24"/>
        </w:rPr>
      </w:pPr>
      <w:r w:rsidRPr="00090CE0">
        <w:rPr>
          <w:b/>
          <w:bCs/>
          <w:sz w:val="24"/>
          <w:szCs w:val="24"/>
        </w:rPr>
        <w:t>EXECUTIVE OFFICE FOR IMMIGRATION REVIEW</w:t>
      </w:r>
    </w:p>
    <w:p w14:paraId="29CCB850" w14:textId="16603203" w:rsidR="008A4B2E" w:rsidRPr="00090CE0" w:rsidRDefault="008A4B2E" w:rsidP="008841B6">
      <w:pPr>
        <w:jc w:val="center"/>
        <w:rPr>
          <w:b/>
          <w:bCs/>
          <w:sz w:val="24"/>
          <w:szCs w:val="24"/>
        </w:rPr>
      </w:pPr>
      <w:r w:rsidRPr="00090CE0">
        <w:rPr>
          <w:b/>
          <w:bCs/>
          <w:sz w:val="24"/>
          <w:szCs w:val="24"/>
        </w:rPr>
        <w:t>CHICAGO, ILLINOIS</w:t>
      </w:r>
    </w:p>
    <w:p w14:paraId="2DC7AED4" w14:textId="77777777" w:rsidR="008A4B2E" w:rsidRPr="00090CE0" w:rsidRDefault="008A4B2E" w:rsidP="008A4B2E">
      <w:pPr>
        <w:rPr>
          <w:sz w:val="24"/>
          <w:szCs w:val="24"/>
        </w:rPr>
      </w:pPr>
    </w:p>
    <w:p w14:paraId="608AC5B8" w14:textId="77777777" w:rsidR="008A4B2E" w:rsidRPr="00090CE0" w:rsidRDefault="008A4B2E" w:rsidP="008A4B2E">
      <w:pPr>
        <w:rPr>
          <w:b/>
          <w:bCs/>
          <w:sz w:val="24"/>
          <w:szCs w:val="24"/>
        </w:rPr>
      </w:pPr>
      <w:r w:rsidRPr="00090CE0">
        <w:rPr>
          <w:sz w:val="24"/>
          <w:szCs w:val="24"/>
        </w:rPr>
        <w:t>_______________________________</w:t>
      </w:r>
    </w:p>
    <w:p w14:paraId="46D0015B" w14:textId="77777777" w:rsidR="001465CF" w:rsidRPr="00090CE0" w:rsidRDefault="001465CF" w:rsidP="001465CF">
      <w:pPr>
        <w:rPr>
          <w:sz w:val="24"/>
          <w:szCs w:val="24"/>
        </w:rPr>
      </w:pPr>
      <w:r w:rsidRPr="00090CE0">
        <w:rPr>
          <w:sz w:val="24"/>
          <w:szCs w:val="24"/>
        </w:rPr>
        <w:tab/>
      </w:r>
      <w:r w:rsidRPr="00090CE0">
        <w:rPr>
          <w:sz w:val="24"/>
          <w:szCs w:val="24"/>
        </w:rPr>
        <w:tab/>
      </w:r>
      <w:r w:rsidRPr="00090CE0">
        <w:rPr>
          <w:sz w:val="24"/>
          <w:szCs w:val="24"/>
        </w:rPr>
        <w:tab/>
      </w:r>
      <w:r w:rsidRPr="00090CE0">
        <w:rPr>
          <w:sz w:val="24"/>
          <w:szCs w:val="24"/>
        </w:rPr>
        <w:tab/>
      </w:r>
      <w:r w:rsidRPr="00090CE0">
        <w:rPr>
          <w:sz w:val="24"/>
          <w:szCs w:val="24"/>
        </w:rPr>
        <w:tab/>
        <w:t xml:space="preserve">   )</w:t>
      </w:r>
    </w:p>
    <w:p w14:paraId="34D0CDE9" w14:textId="77777777" w:rsidR="001465CF" w:rsidRPr="00090CE0" w:rsidRDefault="001465CF" w:rsidP="001465CF">
      <w:pPr>
        <w:rPr>
          <w:sz w:val="24"/>
          <w:szCs w:val="24"/>
        </w:rPr>
      </w:pPr>
      <w:r w:rsidRPr="00090CE0">
        <w:rPr>
          <w:sz w:val="24"/>
          <w:szCs w:val="24"/>
        </w:rPr>
        <w:t>In the Matter of:</w:t>
      </w:r>
      <w:r w:rsidRPr="00090CE0">
        <w:rPr>
          <w:sz w:val="24"/>
          <w:szCs w:val="24"/>
        </w:rPr>
        <w:tab/>
      </w:r>
      <w:r w:rsidRPr="00090CE0">
        <w:rPr>
          <w:sz w:val="24"/>
          <w:szCs w:val="24"/>
        </w:rPr>
        <w:tab/>
      </w:r>
      <w:r w:rsidRPr="00090CE0">
        <w:rPr>
          <w:sz w:val="24"/>
          <w:szCs w:val="24"/>
        </w:rPr>
        <w:tab/>
        <w:t xml:space="preserve"> </w:t>
      </w:r>
      <w:proofErr w:type="gramStart"/>
      <w:r w:rsidRPr="00090CE0">
        <w:rPr>
          <w:sz w:val="24"/>
          <w:szCs w:val="24"/>
        </w:rPr>
        <w:t xml:space="preserve">  )</w:t>
      </w:r>
      <w:proofErr w:type="gramEnd"/>
      <w:r w:rsidRPr="00090CE0">
        <w:rPr>
          <w:sz w:val="24"/>
          <w:szCs w:val="24"/>
        </w:rPr>
        <w:t xml:space="preserve"> </w:t>
      </w:r>
    </w:p>
    <w:p w14:paraId="497832EB" w14:textId="77777777" w:rsidR="001465CF" w:rsidRPr="00090CE0" w:rsidRDefault="001465CF" w:rsidP="001465CF">
      <w:pPr>
        <w:rPr>
          <w:sz w:val="24"/>
          <w:szCs w:val="24"/>
        </w:rPr>
      </w:pPr>
      <w:r w:rsidRPr="00090CE0">
        <w:rPr>
          <w:sz w:val="24"/>
          <w:szCs w:val="24"/>
        </w:rPr>
        <w:tab/>
      </w:r>
      <w:r w:rsidRPr="00090CE0">
        <w:rPr>
          <w:sz w:val="24"/>
          <w:szCs w:val="24"/>
        </w:rPr>
        <w:tab/>
      </w:r>
      <w:r w:rsidRPr="00090CE0">
        <w:rPr>
          <w:sz w:val="24"/>
          <w:szCs w:val="24"/>
        </w:rPr>
        <w:tab/>
      </w:r>
      <w:r w:rsidRPr="00090CE0">
        <w:rPr>
          <w:sz w:val="24"/>
          <w:szCs w:val="24"/>
        </w:rPr>
        <w:tab/>
      </w:r>
      <w:r w:rsidRPr="00090CE0">
        <w:rPr>
          <w:sz w:val="24"/>
          <w:szCs w:val="24"/>
        </w:rPr>
        <w:tab/>
        <w:t xml:space="preserve">   )</w:t>
      </w:r>
    </w:p>
    <w:p w14:paraId="33F93354" w14:textId="58663860" w:rsidR="005D6B70" w:rsidRPr="00090CE0" w:rsidRDefault="00555EAE" w:rsidP="005D6B70">
      <w:pPr>
        <w:rPr>
          <w:sz w:val="24"/>
          <w:szCs w:val="24"/>
        </w:rPr>
      </w:pPr>
      <w:r w:rsidRPr="00090CE0">
        <w:rPr>
          <w:sz w:val="24"/>
          <w:szCs w:val="24"/>
        </w:rPr>
        <w:t xml:space="preserve">HO, </w:t>
      </w:r>
      <w:proofErr w:type="spellStart"/>
      <w:r w:rsidRPr="00090CE0">
        <w:rPr>
          <w:sz w:val="24"/>
          <w:szCs w:val="24"/>
        </w:rPr>
        <w:t>Nhi</w:t>
      </w:r>
      <w:proofErr w:type="spellEnd"/>
      <w:r w:rsidRPr="00090CE0">
        <w:rPr>
          <w:sz w:val="24"/>
          <w:szCs w:val="24"/>
        </w:rPr>
        <w:t xml:space="preserve"> Thao </w:t>
      </w:r>
      <w:proofErr w:type="spellStart"/>
      <w:r w:rsidRPr="00090CE0">
        <w:rPr>
          <w:sz w:val="24"/>
          <w:szCs w:val="24"/>
        </w:rPr>
        <w:t>Thi</w:t>
      </w:r>
      <w:proofErr w:type="spellEnd"/>
      <w:r w:rsidR="009C6101" w:rsidRPr="00090CE0">
        <w:rPr>
          <w:sz w:val="24"/>
          <w:szCs w:val="24"/>
        </w:rPr>
        <w:tab/>
        <w:t xml:space="preserve">   </w:t>
      </w:r>
      <w:r w:rsidRPr="00090CE0">
        <w:rPr>
          <w:sz w:val="24"/>
          <w:szCs w:val="24"/>
        </w:rPr>
        <w:t xml:space="preserve">                      </w:t>
      </w:r>
      <w:proofErr w:type="gramStart"/>
      <w:r w:rsidRPr="00090CE0">
        <w:rPr>
          <w:sz w:val="24"/>
          <w:szCs w:val="24"/>
        </w:rPr>
        <w:t xml:space="preserve">  </w:t>
      </w:r>
      <w:r w:rsidR="009C6101" w:rsidRPr="00090CE0">
        <w:rPr>
          <w:sz w:val="24"/>
          <w:szCs w:val="24"/>
        </w:rPr>
        <w:t>)</w:t>
      </w:r>
      <w:proofErr w:type="gramEnd"/>
      <w:r w:rsidR="009C6101" w:rsidRPr="00090CE0">
        <w:rPr>
          <w:sz w:val="24"/>
          <w:szCs w:val="24"/>
        </w:rPr>
        <w:tab/>
      </w:r>
      <w:r w:rsidRPr="00090CE0">
        <w:rPr>
          <w:sz w:val="24"/>
          <w:szCs w:val="24"/>
        </w:rPr>
        <w:t>A# 201 687 251</w:t>
      </w:r>
    </w:p>
    <w:p w14:paraId="595D0CA6" w14:textId="77777777" w:rsidR="001465CF" w:rsidRPr="00090CE0" w:rsidRDefault="001465CF" w:rsidP="001465CF">
      <w:pPr>
        <w:ind w:left="1440" w:firstLine="720"/>
        <w:rPr>
          <w:sz w:val="24"/>
          <w:szCs w:val="24"/>
        </w:rPr>
      </w:pPr>
      <w:r w:rsidRPr="00090CE0">
        <w:rPr>
          <w:sz w:val="24"/>
          <w:szCs w:val="24"/>
        </w:rPr>
        <w:tab/>
      </w:r>
      <w:r w:rsidRPr="00090CE0">
        <w:rPr>
          <w:sz w:val="24"/>
          <w:szCs w:val="24"/>
        </w:rPr>
        <w:tab/>
        <w:t xml:space="preserve">   )</w:t>
      </w:r>
    </w:p>
    <w:p w14:paraId="61BB226E" w14:textId="77777777" w:rsidR="001465CF" w:rsidRPr="00090CE0" w:rsidRDefault="001465CF" w:rsidP="001465CF">
      <w:pPr>
        <w:ind w:left="1440" w:firstLine="720"/>
        <w:rPr>
          <w:sz w:val="24"/>
          <w:szCs w:val="24"/>
        </w:rPr>
      </w:pPr>
      <w:r w:rsidRPr="00090CE0">
        <w:rPr>
          <w:sz w:val="24"/>
          <w:szCs w:val="24"/>
        </w:rPr>
        <w:tab/>
      </w:r>
      <w:r w:rsidRPr="00090CE0">
        <w:rPr>
          <w:sz w:val="24"/>
          <w:szCs w:val="24"/>
        </w:rPr>
        <w:tab/>
        <w:t xml:space="preserve">   )</w:t>
      </w:r>
      <w:r w:rsidRPr="00090CE0">
        <w:rPr>
          <w:sz w:val="24"/>
          <w:szCs w:val="24"/>
        </w:rPr>
        <w:tab/>
      </w:r>
    </w:p>
    <w:p w14:paraId="6324C5E7" w14:textId="77777777" w:rsidR="001465CF" w:rsidRPr="00090CE0" w:rsidRDefault="001465CF" w:rsidP="001465CF">
      <w:pPr>
        <w:rPr>
          <w:sz w:val="24"/>
          <w:szCs w:val="24"/>
        </w:rPr>
      </w:pPr>
      <w:r w:rsidRPr="00090CE0">
        <w:rPr>
          <w:sz w:val="24"/>
          <w:szCs w:val="24"/>
        </w:rPr>
        <w:t>In removal proceedings</w:t>
      </w:r>
      <w:r w:rsidRPr="00090CE0">
        <w:rPr>
          <w:sz w:val="24"/>
          <w:szCs w:val="24"/>
        </w:rPr>
        <w:tab/>
      </w:r>
      <w:r w:rsidRPr="00090CE0">
        <w:rPr>
          <w:sz w:val="24"/>
          <w:szCs w:val="24"/>
        </w:rPr>
        <w:tab/>
        <w:t xml:space="preserve"> </w:t>
      </w:r>
      <w:proofErr w:type="gramStart"/>
      <w:r w:rsidRPr="00090CE0">
        <w:rPr>
          <w:sz w:val="24"/>
          <w:szCs w:val="24"/>
        </w:rPr>
        <w:t xml:space="preserve">  )</w:t>
      </w:r>
      <w:proofErr w:type="gramEnd"/>
    </w:p>
    <w:p w14:paraId="14C916FF" w14:textId="77777777" w:rsidR="001465CF" w:rsidRPr="00090CE0" w:rsidRDefault="001465CF" w:rsidP="001465CF">
      <w:pPr>
        <w:rPr>
          <w:sz w:val="24"/>
          <w:szCs w:val="24"/>
        </w:rPr>
      </w:pPr>
      <w:r w:rsidRPr="00090CE0">
        <w:rPr>
          <w:sz w:val="24"/>
          <w:szCs w:val="24"/>
        </w:rPr>
        <w:t>_______________________________ )</w:t>
      </w:r>
    </w:p>
    <w:p w14:paraId="6494F363" w14:textId="77777777" w:rsidR="00CF5E07" w:rsidRPr="00090CE0" w:rsidRDefault="00CF5E07" w:rsidP="00CF5E07">
      <w:pPr>
        <w:rPr>
          <w:sz w:val="24"/>
          <w:szCs w:val="24"/>
        </w:rPr>
      </w:pPr>
    </w:p>
    <w:p w14:paraId="0F7B7DEB" w14:textId="487F9CB9" w:rsidR="008A4B2E" w:rsidRPr="00090CE0" w:rsidRDefault="008A4B2E" w:rsidP="00CF5E07">
      <w:pPr>
        <w:jc w:val="center"/>
        <w:rPr>
          <w:b/>
          <w:sz w:val="24"/>
          <w:szCs w:val="24"/>
          <w:u w:val="single"/>
        </w:rPr>
      </w:pPr>
      <w:r w:rsidRPr="00090CE0">
        <w:rPr>
          <w:b/>
          <w:bCs/>
          <w:sz w:val="24"/>
          <w:szCs w:val="24"/>
        </w:rPr>
        <w:t xml:space="preserve">MOTION TO TERMINATE PURSUANT TO </w:t>
      </w:r>
      <w:r w:rsidR="006845FD" w:rsidRPr="00090CE0">
        <w:rPr>
          <w:b/>
          <w:bCs/>
          <w:i/>
          <w:sz w:val="24"/>
          <w:szCs w:val="24"/>
        </w:rPr>
        <w:t xml:space="preserve">PEREIRA </w:t>
      </w:r>
      <w:r w:rsidR="006845FD" w:rsidRPr="00090CE0">
        <w:rPr>
          <w:b/>
          <w:bCs/>
          <w:sz w:val="24"/>
          <w:szCs w:val="24"/>
        </w:rPr>
        <w:t>and</w:t>
      </w:r>
      <w:r w:rsidR="006845FD" w:rsidRPr="00090CE0">
        <w:rPr>
          <w:b/>
          <w:bCs/>
          <w:i/>
          <w:sz w:val="24"/>
          <w:szCs w:val="24"/>
        </w:rPr>
        <w:t xml:space="preserve"> </w:t>
      </w:r>
      <w:r w:rsidR="006845FD" w:rsidRPr="00090CE0">
        <w:rPr>
          <w:b/>
          <w:bCs/>
          <w:i/>
          <w:sz w:val="24"/>
          <w:szCs w:val="24"/>
          <w:u w:val="single"/>
        </w:rPr>
        <w:t>ORTIZ-SANTIAGO</w:t>
      </w:r>
    </w:p>
    <w:p w14:paraId="111D380F" w14:textId="47E5F80F" w:rsidR="00CF5E07" w:rsidRPr="00090CE0" w:rsidRDefault="00CF5E07" w:rsidP="00CF5E07">
      <w:pPr>
        <w:jc w:val="center"/>
        <w:rPr>
          <w:b/>
          <w:bCs/>
          <w:sz w:val="24"/>
          <w:szCs w:val="24"/>
        </w:rPr>
      </w:pPr>
      <w:r w:rsidRPr="00090CE0">
        <w:rPr>
          <w:b/>
          <w:bCs/>
          <w:sz w:val="24"/>
          <w:szCs w:val="24"/>
        </w:rPr>
        <w:t>Or</w:t>
      </w:r>
    </w:p>
    <w:p w14:paraId="0F9A66A8" w14:textId="62AC2E7C" w:rsidR="008A4B2E" w:rsidRPr="00090CE0" w:rsidRDefault="00CF5E07" w:rsidP="006845FD">
      <w:pPr>
        <w:pBdr>
          <w:bottom w:val="single" w:sz="12" w:space="1" w:color="auto"/>
        </w:pBdr>
        <w:jc w:val="center"/>
        <w:rPr>
          <w:b/>
          <w:bCs/>
          <w:sz w:val="24"/>
          <w:szCs w:val="24"/>
        </w:rPr>
      </w:pPr>
      <w:r w:rsidRPr="00090CE0">
        <w:rPr>
          <w:b/>
          <w:bCs/>
          <w:sz w:val="24"/>
          <w:szCs w:val="24"/>
        </w:rPr>
        <w:t>ALTERNATIVELY ACCEPT THE RESPONDENT’S REQUEST FOR NON-LPR CANCELLATION OF REMOVAL.</w:t>
      </w:r>
    </w:p>
    <w:p w14:paraId="3160FD0B" w14:textId="77777777" w:rsidR="008E4A54" w:rsidRPr="00090CE0" w:rsidRDefault="008E4A54" w:rsidP="008A4B2E">
      <w:pPr>
        <w:ind w:left="720" w:firstLine="720"/>
        <w:rPr>
          <w:rFonts w:ascii="inherit" w:hAnsi="inherit" w:hint="eastAsia"/>
          <w:b/>
          <w:i/>
          <w:iCs/>
          <w:sz w:val="24"/>
          <w:szCs w:val="24"/>
          <w:u w:val="single"/>
          <w:bdr w:val="none" w:sz="0" w:space="0" w:color="auto" w:frame="1"/>
        </w:rPr>
      </w:pPr>
    </w:p>
    <w:p w14:paraId="70D869CE" w14:textId="05A86B25" w:rsidR="008A4B2E" w:rsidRPr="00090CE0" w:rsidRDefault="008A4B2E" w:rsidP="008841B6">
      <w:pPr>
        <w:spacing w:line="360" w:lineRule="auto"/>
        <w:contextualSpacing/>
        <w:rPr>
          <w:iCs/>
          <w:sz w:val="24"/>
          <w:szCs w:val="24"/>
          <w:bdr w:val="none" w:sz="0" w:space="0" w:color="auto" w:frame="1"/>
        </w:rPr>
      </w:pPr>
      <w:r w:rsidRPr="00090CE0">
        <w:rPr>
          <w:iCs/>
          <w:sz w:val="24"/>
          <w:szCs w:val="24"/>
          <w:bdr w:val="none" w:sz="0" w:space="0" w:color="auto" w:frame="1"/>
        </w:rPr>
        <w:tab/>
        <w:t>NOW COMES, t</w:t>
      </w:r>
      <w:r w:rsidR="009C6101" w:rsidRPr="00090CE0">
        <w:rPr>
          <w:iCs/>
          <w:sz w:val="24"/>
          <w:szCs w:val="24"/>
          <w:bdr w:val="none" w:sz="0" w:space="0" w:color="auto" w:frame="1"/>
        </w:rPr>
        <w:t>he Respondent by and through his</w:t>
      </w:r>
      <w:r w:rsidRPr="00090CE0">
        <w:rPr>
          <w:iCs/>
          <w:sz w:val="24"/>
          <w:szCs w:val="24"/>
          <w:bdr w:val="none" w:sz="0" w:space="0" w:color="auto" w:frame="1"/>
        </w:rPr>
        <w:t xml:space="preserve"> attorney and submits this motion to terminate. In su</w:t>
      </w:r>
      <w:r w:rsidR="00F515F7" w:rsidRPr="00090CE0">
        <w:rPr>
          <w:iCs/>
          <w:sz w:val="24"/>
          <w:szCs w:val="24"/>
          <w:bdr w:val="none" w:sz="0" w:space="0" w:color="auto" w:frame="1"/>
        </w:rPr>
        <w:t>pport the R</w:t>
      </w:r>
      <w:r w:rsidRPr="00090CE0">
        <w:rPr>
          <w:iCs/>
          <w:sz w:val="24"/>
          <w:szCs w:val="24"/>
          <w:bdr w:val="none" w:sz="0" w:space="0" w:color="auto" w:frame="1"/>
        </w:rPr>
        <w:t>espondent states as follows:</w:t>
      </w:r>
    </w:p>
    <w:p w14:paraId="396009BC" w14:textId="77777777" w:rsidR="008A4B2E" w:rsidRPr="00090CE0" w:rsidRDefault="00727585" w:rsidP="008841B6">
      <w:pPr>
        <w:pStyle w:val="ListParagraph"/>
        <w:widowControl/>
        <w:overflowPunct/>
        <w:autoSpaceDE/>
        <w:autoSpaceDN/>
        <w:adjustRightInd/>
        <w:spacing w:line="360" w:lineRule="auto"/>
        <w:textAlignment w:val="baseline"/>
        <w:rPr>
          <w:color w:val="000000"/>
          <w:kern w:val="0"/>
          <w:sz w:val="24"/>
          <w:szCs w:val="24"/>
        </w:rPr>
      </w:pPr>
      <w:r w:rsidRPr="00090CE0">
        <w:rPr>
          <w:color w:val="000000"/>
          <w:kern w:val="0"/>
          <w:sz w:val="24"/>
          <w:szCs w:val="24"/>
        </w:rPr>
        <w:t>The R</w:t>
      </w:r>
      <w:r w:rsidR="008A4B2E" w:rsidRPr="00090CE0">
        <w:rPr>
          <w:color w:val="000000"/>
          <w:kern w:val="0"/>
          <w:sz w:val="24"/>
          <w:szCs w:val="24"/>
        </w:rPr>
        <w:t xml:space="preserve">espondent in this matter has been served with what is purported to be a “notice to </w:t>
      </w:r>
    </w:p>
    <w:p w14:paraId="34623B8D" w14:textId="2296654D" w:rsidR="00F515F7" w:rsidRPr="00090CE0" w:rsidRDefault="008A4B2E" w:rsidP="008841B6">
      <w:pPr>
        <w:widowControl/>
        <w:overflowPunct/>
        <w:autoSpaceDE/>
        <w:autoSpaceDN/>
        <w:adjustRightInd/>
        <w:spacing w:line="360" w:lineRule="auto"/>
        <w:textAlignment w:val="baseline"/>
        <w:rPr>
          <w:color w:val="000000"/>
          <w:kern w:val="0"/>
          <w:sz w:val="24"/>
          <w:szCs w:val="24"/>
        </w:rPr>
      </w:pPr>
      <w:r w:rsidRPr="00090CE0">
        <w:rPr>
          <w:color w:val="000000"/>
          <w:kern w:val="0"/>
          <w:sz w:val="24"/>
          <w:szCs w:val="24"/>
        </w:rPr>
        <w:t>appear”. In </w:t>
      </w:r>
      <w:hyperlink r:id="rId5" w:tgtFrame="_blank" w:history="1">
        <w:r w:rsidRPr="00090CE0">
          <w:rPr>
            <w:i/>
            <w:iCs/>
            <w:kern w:val="0"/>
            <w:sz w:val="24"/>
            <w:szCs w:val="24"/>
            <w:bdr w:val="none" w:sz="0" w:space="0" w:color="auto" w:frame="1"/>
          </w:rPr>
          <w:t>Pereira v. Session</w:t>
        </w:r>
        <w:r w:rsidRPr="00090CE0">
          <w:rPr>
            <w:i/>
            <w:iCs/>
            <w:color w:val="0062A0"/>
            <w:kern w:val="0"/>
            <w:sz w:val="24"/>
            <w:szCs w:val="24"/>
            <w:bdr w:val="none" w:sz="0" w:space="0" w:color="auto" w:frame="1"/>
          </w:rPr>
          <w:t>s</w:t>
        </w:r>
      </w:hyperlink>
      <w:r w:rsidRPr="00090CE0">
        <w:rPr>
          <w:color w:val="000000"/>
          <w:kern w:val="0"/>
          <w:sz w:val="24"/>
          <w:szCs w:val="24"/>
        </w:rPr>
        <w:t>, No. 17-459, --S. Ct - 2018 WL 3058276 (U.S. June 21, 2018) the Supreme Court stated that a</w:t>
      </w:r>
      <w:r w:rsidR="006845FD" w:rsidRPr="00090CE0">
        <w:rPr>
          <w:color w:val="000000"/>
          <w:kern w:val="0"/>
          <w:sz w:val="24"/>
          <w:szCs w:val="24"/>
        </w:rPr>
        <w:t>n</w:t>
      </w:r>
      <w:r w:rsidRPr="00090CE0">
        <w:rPr>
          <w:color w:val="000000"/>
          <w:kern w:val="0"/>
          <w:sz w:val="24"/>
          <w:szCs w:val="24"/>
        </w:rPr>
        <w:t xml:space="preserve"> NTA must at least state the date and time of a hearing. The question in </w:t>
      </w:r>
      <w:r w:rsidRPr="00090CE0">
        <w:rPr>
          <w:i/>
          <w:iCs/>
          <w:color w:val="000000"/>
          <w:kern w:val="0"/>
          <w:sz w:val="24"/>
          <w:szCs w:val="24"/>
          <w:u w:val="single"/>
          <w:bdr w:val="none" w:sz="0" w:space="0" w:color="auto" w:frame="1"/>
        </w:rPr>
        <w:t>Pereira</w:t>
      </w:r>
      <w:r w:rsidRPr="00090CE0">
        <w:rPr>
          <w:color w:val="000000"/>
          <w:kern w:val="0"/>
          <w:sz w:val="24"/>
          <w:szCs w:val="24"/>
          <w:u w:val="single"/>
        </w:rPr>
        <w:t> </w:t>
      </w:r>
      <w:r w:rsidRPr="00090CE0">
        <w:rPr>
          <w:color w:val="000000"/>
          <w:kern w:val="0"/>
          <w:sz w:val="24"/>
          <w:szCs w:val="24"/>
        </w:rPr>
        <w:t xml:space="preserve">was whether an NTA that does not state the time and place of the hearing triggers the stop-time rule. The Supreme Court held 8 to 1 that the plain language of the statute requires that an NTA specify where and when the hearing will take place. </w:t>
      </w:r>
    </w:p>
    <w:p w14:paraId="37936A4A" w14:textId="38BB0889" w:rsidR="002F4E61" w:rsidRPr="00090CE0" w:rsidRDefault="002F4E61" w:rsidP="008841B6">
      <w:pPr>
        <w:widowControl/>
        <w:overflowPunct/>
        <w:autoSpaceDE/>
        <w:autoSpaceDN/>
        <w:adjustRightInd/>
        <w:spacing w:line="360" w:lineRule="auto"/>
        <w:textAlignment w:val="baseline"/>
        <w:rPr>
          <w:color w:val="000000"/>
          <w:kern w:val="0"/>
          <w:sz w:val="24"/>
          <w:szCs w:val="24"/>
        </w:rPr>
      </w:pPr>
      <w:r w:rsidRPr="00090CE0">
        <w:rPr>
          <w:color w:val="000000"/>
          <w:kern w:val="0"/>
          <w:sz w:val="24"/>
          <w:szCs w:val="24"/>
        </w:rPr>
        <w:lastRenderedPageBreak/>
        <w:tab/>
        <w:t>In </w:t>
      </w:r>
      <w:r w:rsidRPr="00090CE0">
        <w:rPr>
          <w:i/>
          <w:iCs/>
          <w:color w:val="000000"/>
          <w:kern w:val="0"/>
          <w:sz w:val="24"/>
          <w:szCs w:val="24"/>
          <w:u w:val="single"/>
          <w:bdr w:val="none" w:sz="0" w:space="0" w:color="auto" w:frame="1"/>
        </w:rPr>
        <w:t>Pereira</w:t>
      </w:r>
      <w:r w:rsidRPr="00090CE0">
        <w:rPr>
          <w:color w:val="000000"/>
          <w:kern w:val="0"/>
          <w:sz w:val="24"/>
          <w:szCs w:val="24"/>
          <w:u w:val="single"/>
        </w:rPr>
        <w:t>,</w:t>
      </w:r>
      <w:r w:rsidRPr="00090CE0">
        <w:rPr>
          <w:color w:val="000000"/>
          <w:kern w:val="0"/>
          <w:sz w:val="24"/>
          <w:szCs w:val="24"/>
        </w:rPr>
        <w:t xml:space="preserve"> the Respondent had been served with an NTA that only stated the date and time of the hearing were “to be determined.” During oral argument the U.S. government admitted that under current practice it fails to specify the time, date and location of the hearing on almost 100 percent of NTAs. Writing for the majority, Justice Sotomayor stated, “A notice that does not inform a noncitizen when and where to appear for removal proceedings is not a ‘notice to appear under [the statute]’ and therefore does not trigger the stop-time rule.”</w:t>
      </w:r>
      <w:r w:rsidR="00AE1BD3" w:rsidRPr="00090CE0">
        <w:rPr>
          <w:color w:val="000000"/>
          <w:kern w:val="0"/>
          <w:sz w:val="24"/>
          <w:szCs w:val="24"/>
        </w:rPr>
        <w:t xml:space="preserve"> </w:t>
      </w:r>
    </w:p>
    <w:p w14:paraId="12498890" w14:textId="2108512E" w:rsidR="00E42C33" w:rsidRPr="00090CE0" w:rsidRDefault="005D6ED2" w:rsidP="008841B6">
      <w:pPr>
        <w:widowControl/>
        <w:overflowPunct/>
        <w:autoSpaceDE/>
        <w:autoSpaceDN/>
        <w:adjustRightInd/>
        <w:spacing w:line="360" w:lineRule="auto"/>
        <w:textAlignment w:val="baseline"/>
        <w:rPr>
          <w:color w:val="000000"/>
          <w:kern w:val="0"/>
          <w:sz w:val="24"/>
          <w:szCs w:val="24"/>
        </w:rPr>
      </w:pPr>
      <w:r w:rsidRPr="00090CE0">
        <w:rPr>
          <w:color w:val="000000"/>
          <w:kern w:val="0"/>
          <w:sz w:val="24"/>
          <w:szCs w:val="24"/>
        </w:rPr>
        <w:tab/>
        <w:t xml:space="preserve">The clear and unequivocal ruling of </w:t>
      </w:r>
      <w:r w:rsidRPr="00090CE0">
        <w:rPr>
          <w:i/>
          <w:color w:val="000000"/>
          <w:kern w:val="0"/>
          <w:sz w:val="24"/>
          <w:szCs w:val="24"/>
          <w:u w:val="single"/>
        </w:rPr>
        <w:t>Pereira</w:t>
      </w:r>
      <w:r w:rsidRPr="00090CE0">
        <w:rPr>
          <w:color w:val="000000"/>
          <w:kern w:val="0"/>
          <w:sz w:val="24"/>
          <w:szCs w:val="24"/>
        </w:rPr>
        <w:t xml:space="preserve"> is that </w:t>
      </w:r>
      <w:r w:rsidR="00E42C33" w:rsidRPr="00090CE0">
        <w:rPr>
          <w:color w:val="000000"/>
          <w:kern w:val="0"/>
          <w:sz w:val="24"/>
          <w:szCs w:val="24"/>
        </w:rPr>
        <w:t xml:space="preserve">such </w:t>
      </w:r>
      <w:r w:rsidRPr="00090CE0">
        <w:rPr>
          <w:color w:val="000000"/>
          <w:kern w:val="0"/>
          <w:sz w:val="24"/>
          <w:szCs w:val="24"/>
        </w:rPr>
        <w:t xml:space="preserve">an NTA </w:t>
      </w:r>
      <w:r w:rsidR="00E42C33" w:rsidRPr="00090CE0">
        <w:rPr>
          <w:color w:val="000000"/>
          <w:kern w:val="0"/>
          <w:sz w:val="24"/>
          <w:szCs w:val="24"/>
        </w:rPr>
        <w:t>does not vest</w:t>
      </w:r>
      <w:r w:rsidRPr="00090CE0">
        <w:rPr>
          <w:color w:val="000000"/>
          <w:kern w:val="0"/>
          <w:sz w:val="24"/>
          <w:szCs w:val="24"/>
        </w:rPr>
        <w:t xml:space="preserve"> the Immigration Court with </w:t>
      </w:r>
      <w:r w:rsidR="00347E8C" w:rsidRPr="00090CE0">
        <w:rPr>
          <w:color w:val="000000"/>
          <w:kern w:val="0"/>
          <w:sz w:val="24"/>
          <w:szCs w:val="24"/>
        </w:rPr>
        <w:t>jurisdiction</w:t>
      </w:r>
      <w:r w:rsidRPr="00090CE0">
        <w:rPr>
          <w:color w:val="000000"/>
          <w:kern w:val="0"/>
          <w:sz w:val="24"/>
          <w:szCs w:val="24"/>
        </w:rPr>
        <w:t xml:space="preserve"> over a matter. If the NTA is inherently defective</w:t>
      </w:r>
      <w:r w:rsidR="00E42C33" w:rsidRPr="00090CE0">
        <w:rPr>
          <w:color w:val="000000"/>
          <w:kern w:val="0"/>
          <w:sz w:val="24"/>
          <w:szCs w:val="24"/>
        </w:rPr>
        <w:t>,</w:t>
      </w:r>
      <w:r w:rsidRPr="00090CE0">
        <w:rPr>
          <w:color w:val="000000"/>
          <w:kern w:val="0"/>
          <w:sz w:val="24"/>
          <w:szCs w:val="24"/>
        </w:rPr>
        <w:t xml:space="preserve"> then any p</w:t>
      </w:r>
      <w:r w:rsidR="00E42C33" w:rsidRPr="00090CE0">
        <w:rPr>
          <w:color w:val="000000"/>
          <w:kern w:val="0"/>
          <w:sz w:val="24"/>
          <w:szCs w:val="24"/>
        </w:rPr>
        <w:t>roceedings developing after it</w:t>
      </w:r>
      <w:r w:rsidRPr="00090CE0">
        <w:rPr>
          <w:color w:val="000000"/>
          <w:kern w:val="0"/>
          <w:sz w:val="24"/>
          <w:szCs w:val="24"/>
        </w:rPr>
        <w:t xml:space="preserve"> is defective. The Court simply has no </w:t>
      </w:r>
      <w:r w:rsidR="00347E8C" w:rsidRPr="00090CE0">
        <w:rPr>
          <w:color w:val="000000"/>
          <w:kern w:val="0"/>
          <w:sz w:val="24"/>
          <w:szCs w:val="24"/>
        </w:rPr>
        <w:t>jurisdiction</w:t>
      </w:r>
      <w:r w:rsidR="00E42C33" w:rsidRPr="00090CE0">
        <w:rPr>
          <w:color w:val="000000"/>
          <w:kern w:val="0"/>
          <w:sz w:val="24"/>
          <w:szCs w:val="24"/>
        </w:rPr>
        <w:t xml:space="preserve"> over </w:t>
      </w:r>
      <w:r w:rsidRPr="00090CE0">
        <w:rPr>
          <w:color w:val="000000"/>
          <w:kern w:val="0"/>
          <w:sz w:val="24"/>
          <w:szCs w:val="24"/>
        </w:rPr>
        <w:t xml:space="preserve">the subject matter and parties involved. </w:t>
      </w:r>
      <w:r w:rsidR="006845FD" w:rsidRPr="00090CE0">
        <w:rPr>
          <w:color w:val="000000"/>
          <w:kern w:val="0"/>
          <w:sz w:val="24"/>
          <w:szCs w:val="24"/>
        </w:rPr>
        <w:t>This was further affirmed by the 7</w:t>
      </w:r>
      <w:r w:rsidR="006845FD" w:rsidRPr="00090CE0">
        <w:rPr>
          <w:color w:val="000000"/>
          <w:kern w:val="0"/>
          <w:sz w:val="24"/>
          <w:szCs w:val="24"/>
          <w:vertAlign w:val="superscript"/>
        </w:rPr>
        <w:t>th</w:t>
      </w:r>
      <w:r w:rsidR="006845FD" w:rsidRPr="00090CE0">
        <w:rPr>
          <w:color w:val="000000"/>
          <w:kern w:val="0"/>
          <w:sz w:val="24"/>
          <w:szCs w:val="24"/>
        </w:rPr>
        <w:t xml:space="preserve"> Circuit court’s more recent ruling in </w:t>
      </w:r>
      <w:r w:rsidR="00F52605" w:rsidRPr="00090CE0">
        <w:rPr>
          <w:i/>
          <w:color w:val="000000"/>
          <w:kern w:val="0"/>
          <w:sz w:val="24"/>
          <w:szCs w:val="24"/>
          <w:u w:val="single"/>
        </w:rPr>
        <w:t>Ortiz-Santia</w:t>
      </w:r>
      <w:r w:rsidR="006845FD" w:rsidRPr="00090CE0">
        <w:rPr>
          <w:i/>
          <w:color w:val="000000"/>
          <w:kern w:val="0"/>
          <w:sz w:val="24"/>
          <w:szCs w:val="24"/>
          <w:u w:val="single"/>
        </w:rPr>
        <w:t>go v. Barr</w:t>
      </w:r>
      <w:r w:rsidR="00420920" w:rsidRPr="00090CE0">
        <w:rPr>
          <w:color w:val="000000"/>
          <w:kern w:val="0"/>
          <w:sz w:val="24"/>
          <w:szCs w:val="24"/>
        </w:rPr>
        <w:t>, where the court states that the client must show that he was prejudiced by the NTA</w:t>
      </w:r>
      <w:r w:rsidR="006845FD" w:rsidRPr="00090CE0">
        <w:rPr>
          <w:color w:val="000000"/>
          <w:kern w:val="0"/>
          <w:sz w:val="24"/>
          <w:szCs w:val="24"/>
        </w:rPr>
        <w:t xml:space="preserve">. </w:t>
      </w:r>
    </w:p>
    <w:p w14:paraId="39527C61" w14:textId="0D300527" w:rsidR="00E22532" w:rsidRPr="00090CE0" w:rsidRDefault="009C6101" w:rsidP="008841B6">
      <w:pPr>
        <w:widowControl/>
        <w:overflowPunct/>
        <w:autoSpaceDE/>
        <w:autoSpaceDN/>
        <w:adjustRightInd/>
        <w:spacing w:line="360" w:lineRule="auto"/>
        <w:textAlignment w:val="baseline"/>
        <w:rPr>
          <w:color w:val="000000"/>
          <w:kern w:val="0"/>
          <w:sz w:val="24"/>
          <w:szCs w:val="24"/>
        </w:rPr>
      </w:pPr>
      <w:r w:rsidRPr="00090CE0">
        <w:rPr>
          <w:color w:val="000000"/>
          <w:kern w:val="0"/>
          <w:sz w:val="24"/>
          <w:szCs w:val="24"/>
        </w:rPr>
        <w:tab/>
        <w:t>In the present case, there is no doubt that the Respondent has been prejudiced by the NTA</w:t>
      </w:r>
      <w:r w:rsidR="00E22532" w:rsidRPr="00090CE0">
        <w:rPr>
          <w:color w:val="000000"/>
          <w:kern w:val="0"/>
          <w:sz w:val="24"/>
          <w:szCs w:val="24"/>
        </w:rPr>
        <w:t xml:space="preserve">, as required by </w:t>
      </w:r>
      <w:r w:rsidR="00E22532" w:rsidRPr="00090CE0">
        <w:rPr>
          <w:i/>
          <w:color w:val="000000"/>
          <w:kern w:val="0"/>
          <w:sz w:val="24"/>
          <w:szCs w:val="24"/>
          <w:u w:val="single"/>
        </w:rPr>
        <w:t>Ortiz</w:t>
      </w:r>
      <w:r w:rsidRPr="00090CE0">
        <w:rPr>
          <w:color w:val="000000"/>
          <w:kern w:val="0"/>
          <w:sz w:val="24"/>
          <w:szCs w:val="24"/>
        </w:rPr>
        <w:t xml:space="preserve">. The NTA </w:t>
      </w:r>
      <w:r w:rsidR="00657197" w:rsidRPr="00090CE0">
        <w:rPr>
          <w:color w:val="000000"/>
          <w:kern w:val="0"/>
          <w:sz w:val="24"/>
          <w:szCs w:val="24"/>
        </w:rPr>
        <w:t xml:space="preserve">issued on </w:t>
      </w:r>
      <w:r w:rsidR="00555EAE" w:rsidRPr="00090CE0">
        <w:rPr>
          <w:color w:val="000000"/>
          <w:kern w:val="0"/>
          <w:sz w:val="24"/>
          <w:szCs w:val="24"/>
        </w:rPr>
        <w:t>March 1, 2019</w:t>
      </w:r>
      <w:r w:rsidR="008841B6" w:rsidRPr="00090CE0">
        <w:rPr>
          <w:color w:val="000000"/>
          <w:kern w:val="0"/>
          <w:sz w:val="24"/>
          <w:szCs w:val="24"/>
        </w:rPr>
        <w:t xml:space="preserve">. </w:t>
      </w:r>
      <w:r w:rsidR="00E22532" w:rsidRPr="00090CE0">
        <w:rPr>
          <w:color w:val="000000"/>
          <w:kern w:val="0"/>
          <w:sz w:val="24"/>
          <w:szCs w:val="24"/>
        </w:rPr>
        <w:t>As such, there can be no doubt that this Respondent was prejudiced</w:t>
      </w:r>
      <w:r w:rsidR="007447AD" w:rsidRPr="00090CE0">
        <w:rPr>
          <w:color w:val="000000"/>
          <w:kern w:val="0"/>
          <w:sz w:val="24"/>
          <w:szCs w:val="24"/>
        </w:rPr>
        <w:t xml:space="preserve"> by the faulty NTA and this case should be terminated</w:t>
      </w:r>
      <w:r w:rsidR="00E22532" w:rsidRPr="00090CE0">
        <w:rPr>
          <w:color w:val="000000"/>
          <w:kern w:val="0"/>
          <w:sz w:val="24"/>
          <w:szCs w:val="24"/>
        </w:rPr>
        <w:t xml:space="preserve">. </w:t>
      </w:r>
    </w:p>
    <w:p w14:paraId="617936E0" w14:textId="15261FCA" w:rsidR="00F52605" w:rsidRPr="00090CE0" w:rsidRDefault="00E22532" w:rsidP="008841B6">
      <w:pPr>
        <w:widowControl/>
        <w:overflowPunct/>
        <w:autoSpaceDE/>
        <w:autoSpaceDN/>
        <w:adjustRightInd/>
        <w:spacing w:line="360" w:lineRule="auto"/>
        <w:ind w:firstLine="720"/>
        <w:textAlignment w:val="baseline"/>
        <w:rPr>
          <w:color w:val="000000"/>
          <w:kern w:val="0"/>
          <w:sz w:val="24"/>
          <w:szCs w:val="24"/>
        </w:rPr>
      </w:pPr>
      <w:r w:rsidRPr="00090CE0">
        <w:rPr>
          <w:color w:val="000000"/>
          <w:kern w:val="0"/>
          <w:sz w:val="24"/>
          <w:szCs w:val="24"/>
        </w:rPr>
        <w:t>Further, t</w:t>
      </w:r>
      <w:r w:rsidR="005D6ED2" w:rsidRPr="00090CE0">
        <w:rPr>
          <w:color w:val="000000"/>
          <w:kern w:val="0"/>
          <w:sz w:val="24"/>
          <w:szCs w:val="24"/>
        </w:rPr>
        <w:t>he Board</w:t>
      </w:r>
      <w:r w:rsidR="00F52605" w:rsidRPr="00090CE0">
        <w:rPr>
          <w:color w:val="000000"/>
          <w:kern w:val="0"/>
          <w:sz w:val="24"/>
          <w:szCs w:val="24"/>
        </w:rPr>
        <w:t xml:space="preserve"> of Immigration Appeals</w:t>
      </w:r>
      <w:r w:rsidR="005D6ED2" w:rsidRPr="00090CE0">
        <w:rPr>
          <w:color w:val="000000"/>
          <w:kern w:val="0"/>
          <w:sz w:val="24"/>
          <w:szCs w:val="24"/>
        </w:rPr>
        <w:t xml:space="preserve"> issued a decision claiming that a defecti</w:t>
      </w:r>
      <w:r w:rsidR="00347E8C" w:rsidRPr="00090CE0">
        <w:rPr>
          <w:color w:val="000000"/>
          <w:kern w:val="0"/>
          <w:sz w:val="24"/>
          <w:szCs w:val="24"/>
        </w:rPr>
        <w:t>ve NTA can be cured by the issuance</w:t>
      </w:r>
      <w:r w:rsidR="005D6ED2" w:rsidRPr="00090CE0">
        <w:rPr>
          <w:color w:val="000000"/>
          <w:kern w:val="0"/>
          <w:sz w:val="24"/>
          <w:szCs w:val="24"/>
        </w:rPr>
        <w:t xml:space="preserve"> of a notice of hearing by the court which spells out the</w:t>
      </w:r>
      <w:r w:rsidR="00347E8C" w:rsidRPr="00090CE0">
        <w:rPr>
          <w:color w:val="000000"/>
          <w:kern w:val="0"/>
          <w:sz w:val="24"/>
          <w:szCs w:val="24"/>
        </w:rPr>
        <w:t xml:space="preserve"> date, time and place from court</w:t>
      </w:r>
      <w:r w:rsidR="005D6ED2" w:rsidRPr="00090CE0">
        <w:rPr>
          <w:color w:val="000000"/>
          <w:kern w:val="0"/>
          <w:sz w:val="24"/>
          <w:szCs w:val="24"/>
        </w:rPr>
        <w:t xml:space="preserve"> immigration court </w:t>
      </w:r>
      <w:r w:rsidR="00347E8C" w:rsidRPr="00090CE0">
        <w:rPr>
          <w:color w:val="000000"/>
          <w:kern w:val="0"/>
          <w:sz w:val="24"/>
          <w:szCs w:val="24"/>
        </w:rPr>
        <w:t xml:space="preserve">jurisdiction. </w:t>
      </w:r>
      <w:r w:rsidR="00347E8C" w:rsidRPr="00090CE0">
        <w:rPr>
          <w:i/>
          <w:color w:val="000000"/>
          <w:kern w:val="0"/>
          <w:sz w:val="24"/>
          <w:szCs w:val="24"/>
          <w:u w:val="single"/>
        </w:rPr>
        <w:t>Bermudez-Cota,</w:t>
      </w:r>
      <w:r w:rsidR="00347E8C" w:rsidRPr="00090CE0">
        <w:rPr>
          <w:color w:val="000000"/>
          <w:kern w:val="0"/>
          <w:sz w:val="24"/>
          <w:szCs w:val="24"/>
        </w:rPr>
        <w:t xml:space="preserve"> 27 I&amp;N Dec. 441 (BIA 2018). </w:t>
      </w:r>
      <w:r w:rsidR="00C55568" w:rsidRPr="00090CE0">
        <w:rPr>
          <w:color w:val="000000"/>
          <w:kern w:val="0"/>
          <w:sz w:val="24"/>
          <w:szCs w:val="24"/>
        </w:rPr>
        <w:t>However,</w:t>
      </w:r>
      <w:r w:rsidR="00347E8C" w:rsidRPr="00090CE0">
        <w:rPr>
          <w:color w:val="000000"/>
          <w:kern w:val="0"/>
          <w:sz w:val="24"/>
          <w:szCs w:val="24"/>
        </w:rPr>
        <w:t xml:space="preserve"> this conclusion of the Board is fundamentally flawed. The Board is stating that the court itself can correct the jurisdictional failing of the Department of Homeland Security by sending out a notice of hearing. </w:t>
      </w:r>
      <w:r w:rsidR="00E42C33" w:rsidRPr="00090CE0">
        <w:rPr>
          <w:color w:val="000000"/>
          <w:kern w:val="0"/>
          <w:sz w:val="24"/>
          <w:szCs w:val="24"/>
        </w:rPr>
        <w:t>This is simply not the case. It is essentially</w:t>
      </w:r>
      <w:r w:rsidR="00347E8C" w:rsidRPr="00090CE0">
        <w:rPr>
          <w:color w:val="000000"/>
          <w:kern w:val="0"/>
          <w:sz w:val="24"/>
          <w:szCs w:val="24"/>
        </w:rPr>
        <w:t xml:space="preserve"> putting the cart before the horse. </w:t>
      </w:r>
    </w:p>
    <w:p w14:paraId="023B96F2" w14:textId="63A9CA74" w:rsidR="00C55568" w:rsidRPr="00090CE0" w:rsidRDefault="00347E8C" w:rsidP="008841B6">
      <w:pPr>
        <w:widowControl/>
        <w:overflowPunct/>
        <w:autoSpaceDE/>
        <w:autoSpaceDN/>
        <w:adjustRightInd/>
        <w:spacing w:line="360" w:lineRule="auto"/>
        <w:ind w:firstLine="720"/>
        <w:textAlignment w:val="baseline"/>
        <w:rPr>
          <w:color w:val="000000"/>
          <w:kern w:val="0"/>
          <w:sz w:val="24"/>
          <w:szCs w:val="24"/>
        </w:rPr>
      </w:pPr>
      <w:r w:rsidRPr="00090CE0">
        <w:rPr>
          <w:color w:val="000000"/>
          <w:kern w:val="0"/>
          <w:sz w:val="24"/>
          <w:szCs w:val="24"/>
        </w:rPr>
        <w:t xml:space="preserve">If the Court has no jurisdiction at the moment the NTA is filed, it has no jurisdiction to undertake any action on the matter at all. The Court has no authority to send out any notice whatsoever, because it has no jurisdiction based on the defective NTA. A simply principle of basic civil procedure is that a Court must have jurisdiction over a matter in order for the court to be able to do any function on that matter. The Board’s faulty decision in essence states that the immigration court can cure and correct a material defect </w:t>
      </w:r>
      <w:r w:rsidR="00C55568" w:rsidRPr="00090CE0">
        <w:rPr>
          <w:color w:val="000000"/>
          <w:kern w:val="0"/>
          <w:sz w:val="24"/>
          <w:szCs w:val="24"/>
        </w:rPr>
        <w:t xml:space="preserve">dealing with its very jurisdiction, which it simply does not have if the NTA is faulty. </w:t>
      </w:r>
      <w:r w:rsidR="00E42C33" w:rsidRPr="00090CE0">
        <w:rPr>
          <w:color w:val="000000"/>
          <w:kern w:val="0"/>
          <w:sz w:val="24"/>
          <w:szCs w:val="24"/>
        </w:rPr>
        <w:t>Basically, t</w:t>
      </w:r>
      <w:r w:rsidR="00C55568" w:rsidRPr="00090CE0">
        <w:rPr>
          <w:color w:val="000000"/>
          <w:kern w:val="0"/>
          <w:sz w:val="24"/>
          <w:szCs w:val="24"/>
        </w:rPr>
        <w:t xml:space="preserve">he ruling in </w:t>
      </w:r>
      <w:r w:rsidR="00C55568" w:rsidRPr="00090CE0">
        <w:rPr>
          <w:i/>
          <w:color w:val="000000"/>
          <w:kern w:val="0"/>
          <w:sz w:val="24"/>
          <w:szCs w:val="24"/>
          <w:u w:val="single"/>
        </w:rPr>
        <w:t>Bermudez-Cota</w:t>
      </w:r>
      <w:r w:rsidR="00C55568" w:rsidRPr="00090CE0">
        <w:rPr>
          <w:color w:val="000000"/>
          <w:kern w:val="0"/>
          <w:sz w:val="24"/>
          <w:szCs w:val="24"/>
        </w:rPr>
        <w:t xml:space="preserve"> defies law school 101. </w:t>
      </w:r>
      <w:r w:rsidR="00E22532" w:rsidRPr="00090CE0">
        <w:rPr>
          <w:color w:val="000000"/>
          <w:kern w:val="0"/>
          <w:sz w:val="24"/>
          <w:szCs w:val="24"/>
        </w:rPr>
        <w:t>Finally</w:t>
      </w:r>
      <w:r w:rsidR="00AB3914" w:rsidRPr="00090CE0">
        <w:rPr>
          <w:color w:val="000000"/>
          <w:kern w:val="0"/>
          <w:sz w:val="24"/>
          <w:szCs w:val="24"/>
        </w:rPr>
        <w:t>,</w:t>
      </w:r>
      <w:r w:rsidR="00E22532" w:rsidRPr="00090CE0">
        <w:rPr>
          <w:color w:val="000000"/>
          <w:kern w:val="0"/>
          <w:sz w:val="24"/>
          <w:szCs w:val="24"/>
        </w:rPr>
        <w:t xml:space="preserve"> there can be no doubt that the Respondent </w:t>
      </w:r>
      <w:r w:rsidR="00281220" w:rsidRPr="00090CE0">
        <w:rPr>
          <w:color w:val="000000"/>
          <w:kern w:val="0"/>
          <w:sz w:val="24"/>
          <w:szCs w:val="24"/>
        </w:rPr>
        <w:t xml:space="preserve">was prejudiced by this NTA. </w:t>
      </w:r>
    </w:p>
    <w:p w14:paraId="0AA3E11D" w14:textId="179D6C2E" w:rsidR="008A4B2E" w:rsidRPr="00090CE0" w:rsidRDefault="00380E9E" w:rsidP="008841B6">
      <w:pPr>
        <w:widowControl/>
        <w:overflowPunct/>
        <w:autoSpaceDE/>
        <w:autoSpaceDN/>
        <w:adjustRightInd/>
        <w:spacing w:line="360" w:lineRule="auto"/>
        <w:textAlignment w:val="baseline"/>
        <w:rPr>
          <w:color w:val="000000"/>
          <w:kern w:val="0"/>
          <w:sz w:val="24"/>
          <w:szCs w:val="24"/>
        </w:rPr>
      </w:pPr>
      <w:r w:rsidRPr="00090CE0">
        <w:rPr>
          <w:color w:val="000000"/>
          <w:kern w:val="0"/>
          <w:sz w:val="24"/>
          <w:szCs w:val="24"/>
        </w:rPr>
        <w:lastRenderedPageBreak/>
        <w:tab/>
        <w:t>Based on this we would ask that the proceedings be terminated in this matter based on the defective NTA and Court’s lack of jurisdiction. Alternatively</w:t>
      </w:r>
      <w:r w:rsidR="00E42C33" w:rsidRPr="00090CE0">
        <w:rPr>
          <w:color w:val="000000"/>
          <w:kern w:val="0"/>
          <w:sz w:val="24"/>
          <w:szCs w:val="24"/>
        </w:rPr>
        <w:t>,</w:t>
      </w:r>
      <w:r w:rsidRPr="00090CE0">
        <w:rPr>
          <w:color w:val="000000"/>
          <w:kern w:val="0"/>
          <w:sz w:val="24"/>
          <w:szCs w:val="24"/>
        </w:rPr>
        <w:t xml:space="preserve"> if the government’s opinion is that the ruling in Pereira only applies to the stop time rule then we ask this Court to consider the respondent’s request for non-LPR c</w:t>
      </w:r>
      <w:r w:rsidR="00B46C94" w:rsidRPr="00090CE0">
        <w:rPr>
          <w:color w:val="000000"/>
          <w:kern w:val="0"/>
          <w:sz w:val="24"/>
          <w:szCs w:val="24"/>
        </w:rPr>
        <w:t xml:space="preserve">ancellation of removal. </w:t>
      </w:r>
      <w:r w:rsidR="002F4E61" w:rsidRPr="00090CE0">
        <w:rPr>
          <w:color w:val="000000"/>
          <w:kern w:val="0"/>
          <w:sz w:val="24"/>
          <w:szCs w:val="24"/>
        </w:rPr>
        <w:t xml:space="preserve">Thus, based on the ruling in </w:t>
      </w:r>
      <w:r w:rsidR="002F4E61" w:rsidRPr="00090CE0">
        <w:rPr>
          <w:i/>
          <w:color w:val="000000"/>
          <w:kern w:val="0"/>
          <w:sz w:val="24"/>
          <w:szCs w:val="24"/>
          <w:u w:val="single"/>
        </w:rPr>
        <w:t>Pereira</w:t>
      </w:r>
      <w:r w:rsidR="00B46C94" w:rsidRPr="00090CE0">
        <w:rPr>
          <w:color w:val="000000"/>
          <w:kern w:val="0"/>
          <w:sz w:val="24"/>
          <w:szCs w:val="24"/>
        </w:rPr>
        <w:t xml:space="preserve"> and the 7</w:t>
      </w:r>
      <w:r w:rsidR="00B46C94" w:rsidRPr="00090CE0">
        <w:rPr>
          <w:color w:val="000000"/>
          <w:kern w:val="0"/>
          <w:sz w:val="24"/>
          <w:szCs w:val="24"/>
          <w:vertAlign w:val="superscript"/>
        </w:rPr>
        <w:t>th</w:t>
      </w:r>
      <w:r w:rsidR="00B46C94" w:rsidRPr="00090CE0">
        <w:rPr>
          <w:color w:val="000000"/>
          <w:kern w:val="0"/>
          <w:sz w:val="24"/>
          <w:szCs w:val="24"/>
        </w:rPr>
        <w:t xml:space="preserve"> Circuit’s subsequent ruling in </w:t>
      </w:r>
      <w:r w:rsidR="00B46C94" w:rsidRPr="00090CE0">
        <w:rPr>
          <w:i/>
          <w:color w:val="000000"/>
          <w:kern w:val="0"/>
          <w:sz w:val="24"/>
          <w:szCs w:val="24"/>
          <w:u w:val="single"/>
        </w:rPr>
        <w:t>Ortiz-Santiago</w:t>
      </w:r>
      <w:r w:rsidR="002F4E61" w:rsidRPr="00090CE0">
        <w:rPr>
          <w:color w:val="000000"/>
          <w:kern w:val="0"/>
          <w:sz w:val="24"/>
          <w:szCs w:val="24"/>
        </w:rPr>
        <w:t xml:space="preserve">, the Respondent meets the prima facie requirements for </w:t>
      </w:r>
      <w:r w:rsidR="00E42C33" w:rsidRPr="00090CE0">
        <w:rPr>
          <w:color w:val="000000"/>
          <w:kern w:val="0"/>
          <w:sz w:val="24"/>
          <w:szCs w:val="24"/>
        </w:rPr>
        <w:t xml:space="preserve">Non-LPR </w:t>
      </w:r>
      <w:r w:rsidR="002F4E61" w:rsidRPr="00090CE0">
        <w:rPr>
          <w:color w:val="000000"/>
          <w:kern w:val="0"/>
          <w:sz w:val="24"/>
          <w:szCs w:val="24"/>
        </w:rPr>
        <w:t xml:space="preserve">Cancellation of Removal.   </w:t>
      </w:r>
    </w:p>
    <w:p w14:paraId="714C8209" w14:textId="00FD69DB" w:rsidR="00E42C33" w:rsidRPr="00090CE0" w:rsidRDefault="00AE1BD3" w:rsidP="008841B6">
      <w:pPr>
        <w:widowControl/>
        <w:overflowPunct/>
        <w:autoSpaceDE/>
        <w:autoSpaceDN/>
        <w:adjustRightInd/>
        <w:spacing w:line="360" w:lineRule="auto"/>
        <w:textAlignment w:val="baseline"/>
        <w:rPr>
          <w:sz w:val="24"/>
          <w:szCs w:val="24"/>
        </w:rPr>
      </w:pPr>
      <w:r w:rsidRPr="00090CE0">
        <w:rPr>
          <w:color w:val="000000"/>
          <w:kern w:val="0"/>
          <w:sz w:val="24"/>
          <w:szCs w:val="24"/>
        </w:rPr>
        <w:tab/>
      </w:r>
      <w:r w:rsidR="002905F7" w:rsidRPr="00090CE0">
        <w:rPr>
          <w:sz w:val="24"/>
          <w:szCs w:val="24"/>
        </w:rPr>
        <w:t>WHEREFORE, the R</w:t>
      </w:r>
      <w:r w:rsidR="008A4B2E" w:rsidRPr="00090CE0">
        <w:rPr>
          <w:sz w:val="24"/>
          <w:szCs w:val="24"/>
        </w:rPr>
        <w:t>espondent requests that thi</w:t>
      </w:r>
      <w:r w:rsidR="00B46C94" w:rsidRPr="00090CE0">
        <w:rPr>
          <w:sz w:val="24"/>
          <w:szCs w:val="24"/>
        </w:rPr>
        <w:t xml:space="preserve">s matter be terminated, </w:t>
      </w:r>
      <w:r w:rsidR="002905F7" w:rsidRPr="00090CE0">
        <w:rPr>
          <w:sz w:val="24"/>
          <w:szCs w:val="24"/>
        </w:rPr>
        <w:t>or in the least</w:t>
      </w:r>
      <w:r w:rsidR="002F4E61" w:rsidRPr="00090CE0">
        <w:rPr>
          <w:sz w:val="24"/>
          <w:szCs w:val="24"/>
        </w:rPr>
        <w:t>,</w:t>
      </w:r>
      <w:r w:rsidR="002905F7" w:rsidRPr="00090CE0">
        <w:rPr>
          <w:sz w:val="24"/>
          <w:szCs w:val="24"/>
        </w:rPr>
        <w:t xml:space="preserve"> that the Respondent be </w:t>
      </w:r>
      <w:r w:rsidR="002F4E61" w:rsidRPr="00090CE0">
        <w:rPr>
          <w:sz w:val="24"/>
          <w:szCs w:val="24"/>
        </w:rPr>
        <w:t xml:space="preserve">found eligible to apply for </w:t>
      </w:r>
      <w:r w:rsidR="00E42C33" w:rsidRPr="00090CE0">
        <w:rPr>
          <w:sz w:val="24"/>
          <w:szCs w:val="24"/>
        </w:rPr>
        <w:t xml:space="preserve">non-LPR </w:t>
      </w:r>
      <w:r w:rsidR="002F4E61" w:rsidRPr="00090CE0">
        <w:rPr>
          <w:sz w:val="24"/>
          <w:szCs w:val="24"/>
        </w:rPr>
        <w:t xml:space="preserve">cancellation of removal.  </w:t>
      </w:r>
    </w:p>
    <w:p w14:paraId="2AF3A446" w14:textId="1F2586E3" w:rsidR="008A4B2E" w:rsidRPr="00090CE0" w:rsidRDefault="00CF5E07" w:rsidP="008A4B2E">
      <w:pPr>
        <w:widowControl/>
        <w:overflowPunct/>
        <w:autoSpaceDE/>
        <w:autoSpaceDN/>
        <w:adjustRightInd/>
        <w:spacing w:line="480" w:lineRule="auto"/>
        <w:textAlignment w:val="baseline"/>
        <w:rPr>
          <w:sz w:val="24"/>
          <w:szCs w:val="24"/>
        </w:rPr>
      </w:pPr>
      <w:r w:rsidRPr="00090CE0">
        <w:rPr>
          <w:sz w:val="24"/>
          <w:szCs w:val="24"/>
        </w:rPr>
        <w:tab/>
      </w:r>
      <w:r w:rsidR="008A4B2E" w:rsidRPr="00090CE0">
        <w:rPr>
          <w:sz w:val="24"/>
          <w:szCs w:val="24"/>
        </w:rPr>
        <w:tab/>
      </w:r>
      <w:r w:rsidR="008A4B2E" w:rsidRPr="00090CE0">
        <w:rPr>
          <w:sz w:val="24"/>
          <w:szCs w:val="24"/>
        </w:rPr>
        <w:tab/>
      </w:r>
      <w:r w:rsidR="008A4B2E" w:rsidRPr="00090CE0">
        <w:rPr>
          <w:sz w:val="24"/>
          <w:szCs w:val="24"/>
        </w:rPr>
        <w:tab/>
      </w:r>
      <w:r w:rsidR="008A4B2E" w:rsidRPr="00090CE0">
        <w:rPr>
          <w:sz w:val="24"/>
          <w:szCs w:val="24"/>
        </w:rPr>
        <w:tab/>
      </w:r>
      <w:r w:rsidR="008A4B2E" w:rsidRPr="00090CE0">
        <w:rPr>
          <w:sz w:val="24"/>
          <w:szCs w:val="24"/>
        </w:rPr>
        <w:tab/>
        <w:t>Respectfully Submitted</w:t>
      </w:r>
    </w:p>
    <w:p w14:paraId="5BE4A9E1" w14:textId="0EF02A9B" w:rsidR="008A4B2E" w:rsidRPr="00090CE0" w:rsidRDefault="00CF5E07" w:rsidP="008A4B2E">
      <w:pPr>
        <w:widowControl/>
        <w:overflowPunct/>
        <w:autoSpaceDE/>
        <w:autoSpaceDN/>
        <w:adjustRightInd/>
        <w:contextualSpacing/>
        <w:textAlignment w:val="baseline"/>
        <w:rPr>
          <w:sz w:val="24"/>
          <w:szCs w:val="24"/>
        </w:rPr>
      </w:pPr>
      <w:r w:rsidRPr="00090CE0">
        <w:rPr>
          <w:sz w:val="24"/>
          <w:szCs w:val="24"/>
        </w:rPr>
        <w:tab/>
      </w:r>
      <w:r w:rsidR="008A4B2E" w:rsidRPr="00090CE0">
        <w:rPr>
          <w:sz w:val="24"/>
          <w:szCs w:val="24"/>
        </w:rPr>
        <w:tab/>
      </w:r>
      <w:r w:rsidR="008A4B2E" w:rsidRPr="00090CE0">
        <w:rPr>
          <w:sz w:val="24"/>
          <w:szCs w:val="24"/>
        </w:rPr>
        <w:tab/>
      </w:r>
      <w:r w:rsidR="008A4B2E" w:rsidRPr="00090CE0">
        <w:rPr>
          <w:sz w:val="24"/>
          <w:szCs w:val="24"/>
        </w:rPr>
        <w:tab/>
      </w:r>
      <w:r w:rsidR="008A4B2E" w:rsidRPr="00090CE0">
        <w:rPr>
          <w:sz w:val="24"/>
          <w:szCs w:val="24"/>
        </w:rPr>
        <w:tab/>
      </w:r>
      <w:r w:rsidR="008A4B2E" w:rsidRPr="00090CE0">
        <w:rPr>
          <w:sz w:val="24"/>
          <w:szCs w:val="24"/>
        </w:rPr>
        <w:tab/>
        <w:t>By:</w:t>
      </w:r>
      <w:r w:rsidR="008A4B2E" w:rsidRPr="00090CE0">
        <w:rPr>
          <w:sz w:val="24"/>
          <w:szCs w:val="24"/>
        </w:rPr>
        <w:tab/>
        <w:t>_________________________</w:t>
      </w:r>
    </w:p>
    <w:p w14:paraId="6D2633FC" w14:textId="233E652E" w:rsidR="002F3603" w:rsidRPr="002D72E2" w:rsidRDefault="00AE1BD3" w:rsidP="00090CE0">
      <w:pPr>
        <w:widowControl/>
        <w:overflowPunct/>
        <w:autoSpaceDE/>
        <w:autoSpaceDN/>
        <w:adjustRightInd/>
        <w:contextualSpacing/>
        <w:textAlignment w:val="baseline"/>
        <w:rPr>
          <w:sz w:val="24"/>
          <w:szCs w:val="24"/>
        </w:rPr>
      </w:pPr>
      <w:r w:rsidRPr="00090CE0">
        <w:rPr>
          <w:sz w:val="24"/>
          <w:szCs w:val="24"/>
        </w:rPr>
        <w:tab/>
      </w:r>
      <w:r w:rsidRPr="00090CE0">
        <w:rPr>
          <w:sz w:val="24"/>
          <w:szCs w:val="24"/>
        </w:rPr>
        <w:tab/>
      </w:r>
      <w:r w:rsidRPr="00090CE0">
        <w:rPr>
          <w:sz w:val="24"/>
          <w:szCs w:val="24"/>
        </w:rPr>
        <w:tab/>
      </w:r>
      <w:r w:rsidRPr="00090CE0">
        <w:rPr>
          <w:sz w:val="24"/>
          <w:szCs w:val="24"/>
        </w:rPr>
        <w:tab/>
      </w:r>
      <w:r w:rsidRPr="00090CE0">
        <w:rPr>
          <w:sz w:val="24"/>
          <w:szCs w:val="24"/>
        </w:rPr>
        <w:tab/>
      </w:r>
      <w:r w:rsidRPr="00090CE0">
        <w:rPr>
          <w:sz w:val="24"/>
          <w:szCs w:val="24"/>
        </w:rPr>
        <w:tab/>
      </w:r>
      <w:proofErr w:type="spellStart"/>
      <w:r w:rsidR="002D72E2">
        <w:rPr>
          <w:sz w:val="24"/>
          <w:szCs w:val="24"/>
        </w:rPr>
        <w:t>Mykola</w:t>
      </w:r>
      <w:proofErr w:type="spellEnd"/>
      <w:r w:rsidR="002D72E2">
        <w:rPr>
          <w:sz w:val="24"/>
          <w:szCs w:val="24"/>
        </w:rPr>
        <w:t xml:space="preserve"> Krys</w:t>
      </w:r>
      <w:bookmarkStart w:id="0" w:name="_GoBack"/>
      <w:bookmarkEnd w:id="0"/>
    </w:p>
    <w:sectPr w:rsidR="002F3603" w:rsidRPr="002D7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25175"/>
    <w:multiLevelType w:val="hybridMultilevel"/>
    <w:tmpl w:val="32F8D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B2E"/>
    <w:rsid w:val="00024AD8"/>
    <w:rsid w:val="00047A72"/>
    <w:rsid w:val="00075953"/>
    <w:rsid w:val="00090CE0"/>
    <w:rsid w:val="00093D88"/>
    <w:rsid w:val="001465CF"/>
    <w:rsid w:val="002010AB"/>
    <w:rsid w:val="00223E44"/>
    <w:rsid w:val="00281220"/>
    <w:rsid w:val="002905F7"/>
    <w:rsid w:val="002D72E2"/>
    <w:rsid w:val="002F3603"/>
    <w:rsid w:val="002F4E61"/>
    <w:rsid w:val="00347E8C"/>
    <w:rsid w:val="00380E9E"/>
    <w:rsid w:val="00420920"/>
    <w:rsid w:val="004A05EA"/>
    <w:rsid w:val="00500306"/>
    <w:rsid w:val="00545B50"/>
    <w:rsid w:val="00555EAE"/>
    <w:rsid w:val="00594BE3"/>
    <w:rsid w:val="005D6B70"/>
    <w:rsid w:val="005D6ED2"/>
    <w:rsid w:val="00645AB0"/>
    <w:rsid w:val="00657197"/>
    <w:rsid w:val="006845FD"/>
    <w:rsid w:val="006E7B44"/>
    <w:rsid w:val="00727585"/>
    <w:rsid w:val="007447AD"/>
    <w:rsid w:val="007A5E6C"/>
    <w:rsid w:val="00844C17"/>
    <w:rsid w:val="00855B23"/>
    <w:rsid w:val="008841B6"/>
    <w:rsid w:val="008A4B2E"/>
    <w:rsid w:val="008A7023"/>
    <w:rsid w:val="008E4A54"/>
    <w:rsid w:val="00954A73"/>
    <w:rsid w:val="00974E0A"/>
    <w:rsid w:val="009B45CF"/>
    <w:rsid w:val="009C6101"/>
    <w:rsid w:val="00A365D2"/>
    <w:rsid w:val="00AB3914"/>
    <w:rsid w:val="00AE1BD3"/>
    <w:rsid w:val="00B34E0F"/>
    <w:rsid w:val="00B46C94"/>
    <w:rsid w:val="00C1518D"/>
    <w:rsid w:val="00C23860"/>
    <w:rsid w:val="00C47DF0"/>
    <w:rsid w:val="00C55568"/>
    <w:rsid w:val="00CF5E07"/>
    <w:rsid w:val="00D70ACA"/>
    <w:rsid w:val="00E110CA"/>
    <w:rsid w:val="00E22532"/>
    <w:rsid w:val="00E42C33"/>
    <w:rsid w:val="00ED4122"/>
    <w:rsid w:val="00F17ACF"/>
    <w:rsid w:val="00F515F7"/>
    <w:rsid w:val="00F52605"/>
    <w:rsid w:val="00FC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6870D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4B2E"/>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A4B2E"/>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premecourt.gov/opinions/17pdf/17-459_1o1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OFFICE 2</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ALKOLA LAWOFFICE</dc:creator>
  <cp:keywords/>
  <dc:description/>
  <cp:lastModifiedBy>Microsoft Office User</cp:lastModifiedBy>
  <cp:revision>3</cp:revision>
  <cp:lastPrinted>2019-10-06T18:27:00Z</cp:lastPrinted>
  <dcterms:created xsi:type="dcterms:W3CDTF">2020-07-28T20:41:00Z</dcterms:created>
  <dcterms:modified xsi:type="dcterms:W3CDTF">2020-08-02T09:44:00Z</dcterms:modified>
</cp:coreProperties>
</file>