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E1" w:rsidRPr="007162E1" w:rsidRDefault="007162E1" w:rsidP="007162E1">
      <w:pPr>
        <w:pStyle w:val="1"/>
        <w:spacing w:after="0" w:line="240" w:lineRule="auto"/>
        <w:rPr>
          <w:color w:val="323232"/>
          <w:sz w:val="21"/>
          <w:szCs w:val="21"/>
        </w:rPr>
      </w:pPr>
      <w:proofErr w:type="spellStart"/>
      <w:r w:rsidRPr="007162E1">
        <w:rPr>
          <w:sz w:val="21"/>
          <w:szCs w:val="21"/>
        </w:rPr>
        <w:t>DataGridView</w:t>
      </w:r>
      <w:proofErr w:type="spellEnd"/>
      <w:r w:rsidRPr="007162E1">
        <w:rPr>
          <w:rFonts w:hint="eastAsia"/>
          <w:sz w:val="21"/>
          <w:szCs w:val="21"/>
        </w:rPr>
        <w:t>动态生成</w:t>
      </w:r>
    </w:p>
    <w:p w:rsidR="00542830" w:rsidRDefault="007162E1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initDataGridView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toolStripButton_Hex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Dock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DockStyle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Fill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EditingControlShowing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DataGridViewEditingControlShowingEventHandler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dataGridView1_EditingControlShowing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OnRegisterValueChanged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registerValueChangeHandler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dataGridView_RegisterAdjust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CellEndEdit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dataGridView1_CellEndEdit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CellClick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CellValueChanged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CellMouseEnter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dataGridView1_CellMouseEnter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panel_DataGridView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Controls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DataTable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 xml:space="preserve">// automatically generate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DataGridView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 xml:space="preserve"> columns.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AutoGenerateColumns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full row select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mDataGridView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SelectionMode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DataGridViewSelectionMode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FullRowSelect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up the data source.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DataSource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DataSource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bindingNavigator1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automatically resize the visible rows.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AutoSizeRowsMode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DataGridViewAutoSizeRowsMode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DisplayedCells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AutoSizeColumnsMode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DataGridViewAutoSizeColumnsMode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Fill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disable edit by click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mDataGridView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EditMode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DataGridViewEditMode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EditProgrammatically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only vertical scroll bar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ScrollBars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ScrollBars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Vertical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hide row header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RowHeadersVisible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forbid add new rows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AllowUserToAddRows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^, 2&gt;^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^, 2&gt;{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Name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Type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Visible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_NAME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_WIDTH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_R_W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_REMARK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_SELECT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_PAGENAME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_INDEX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makeDataTable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DataGridViewColumn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CellTemplate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Style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BackColor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Color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Wheat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proofErr w:type="gram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ReadOnly</w:t>
      </w:r>
      <w:proofErr w:type="spellEnd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7162E1" w:rsidRDefault="007162E1" w:rsidP="007162E1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1661EE" w:rsidRDefault="001661EE" w:rsidP="007162E1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</w:p>
    <w:p w:rsidR="001661EE" w:rsidRDefault="001661EE" w:rsidP="001661EE">
      <w:pPr>
        <w:pStyle w:val="1"/>
        <w:spacing w:after="0" w:line="240" w:lineRule="auto"/>
        <w:rPr>
          <w:rFonts w:hint="eastAsia"/>
          <w:sz w:val="21"/>
          <w:szCs w:val="21"/>
        </w:rPr>
      </w:pPr>
      <w:r w:rsidRPr="001661EE">
        <w:rPr>
          <w:rFonts w:hint="eastAsia"/>
          <w:sz w:val="21"/>
          <w:szCs w:val="21"/>
        </w:rPr>
        <w:t>获取选择单元格的行</w:t>
      </w:r>
    </w:p>
    <w:p w:rsidR="00F60C08" w:rsidRPr="00F60C08" w:rsidRDefault="00F60C08" w:rsidP="00F60C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下面是获取当前行</w:t>
      </w:r>
    </w:p>
    <w:p w:rsidR="001661EE" w:rsidRDefault="001661EE" w:rsidP="007162E1">
      <w:pPr>
        <w:rPr>
          <w:rFonts w:ascii="NSimSun" w:hAnsi="NSimSun" w:cs="NSimSun" w:hint="eastAsia"/>
          <w:color w:val="323232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DataGridViewRow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CurrentCell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OwningRow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;</w:t>
      </w:r>
    </w:p>
    <w:p w:rsidR="0059232E" w:rsidRDefault="0059232E" w:rsidP="007162E1">
      <w:pPr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或者</w:t>
      </w:r>
    </w:p>
    <w:p w:rsidR="0059232E" w:rsidRDefault="0059232E" w:rsidP="0059232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DataGridViewRow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dataGridView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Rows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RowIndex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];</w:t>
      </w:r>
    </w:p>
    <w:p w:rsidR="009477DF" w:rsidRDefault="009477DF" w:rsidP="007162E1">
      <w:pPr>
        <w:rPr>
          <w:rFonts w:ascii="NSimSun" w:hAnsi="NSimSun" w:cs="NSimSun" w:hint="eastAsia"/>
          <w:color w:val="323232"/>
          <w:kern w:val="0"/>
          <w:sz w:val="19"/>
          <w:szCs w:val="19"/>
        </w:rPr>
      </w:pPr>
      <w:bookmarkStart w:id="0" w:name="_GoBack"/>
      <w:bookmarkEnd w:id="0"/>
    </w:p>
    <w:p w:rsidR="00F60C08" w:rsidRDefault="00F60C08" w:rsidP="007162E1">
      <w:pPr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>下面是读取指定行中某列</w:t>
      </w:r>
    </w:p>
    <w:p w:rsidR="009477DF" w:rsidRDefault="009477DF" w:rsidP="007162E1">
      <w:pPr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pageName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Cells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COL_PAGENAME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ToString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();</w:t>
      </w:r>
    </w:p>
    <w:p w:rsidR="00F60C08" w:rsidRDefault="00F60C08" w:rsidP="007162E1">
      <w:pPr>
        <w:rPr>
          <w:rFonts w:ascii="NSimSun" w:hAnsi="NSimSun" w:cs="NSimSun" w:hint="eastAsia"/>
          <w:color w:val="323232"/>
          <w:kern w:val="0"/>
          <w:sz w:val="19"/>
          <w:szCs w:val="19"/>
        </w:rPr>
      </w:pP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//</w:t>
      </w:r>
      <w:r w:rsidRPr="00F60C08"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 w:hint="eastAsia"/>
          <w:color w:val="323232"/>
          <w:kern w:val="0"/>
          <w:sz w:val="19"/>
          <w:szCs w:val="19"/>
          <w:highlight w:val="lightGray"/>
        </w:rPr>
        <w:t>下面是判断是不是数值</w:t>
      </w:r>
      <w:r w:rsidR="004522C8">
        <w:rPr>
          <w:rFonts w:ascii="NSimSun" w:hAnsi="NSimSun" w:cs="NSimSun" w:hint="eastAsia"/>
          <w:color w:val="323232"/>
          <w:kern w:val="0"/>
          <w:sz w:val="19"/>
          <w:szCs w:val="19"/>
          <w:highlight w:val="lightGray"/>
        </w:rPr>
        <w:t>（应该是十六进制）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sValue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Cells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ToString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();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UInt32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mDataGridView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hexStyle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) {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UInt32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Parse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sValue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NumberStyles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::</w:t>
      </w:r>
      <w:proofErr w:type="spellStart"/>
      <w:r>
        <w:rPr>
          <w:rFonts w:ascii="NSimSun" w:hAnsi="NSimSun" w:cs="NSimSun"/>
          <w:color w:val="2F4F4F"/>
          <w:kern w:val="0"/>
          <w:sz w:val="19"/>
          <w:szCs w:val="19"/>
          <w:highlight w:val="lightGray"/>
        </w:rPr>
        <w:t>HexNumber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);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{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proofErr w:type="gram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UInt32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Parse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sValue</w:t>
      </w:r>
      <w:proofErr w:type="spellEnd"/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);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  <w:t>}</w:t>
      </w:r>
    </w:p>
    <w:p w:rsidR="00F60C08" w:rsidRDefault="00F60C08" w:rsidP="007162E1"/>
    <w:sectPr w:rsidR="00F60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30B" w:rsidRDefault="00EF630B" w:rsidP="001661EE">
      <w:r>
        <w:separator/>
      </w:r>
    </w:p>
  </w:endnote>
  <w:endnote w:type="continuationSeparator" w:id="0">
    <w:p w:rsidR="00EF630B" w:rsidRDefault="00EF630B" w:rsidP="0016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30B" w:rsidRDefault="00EF630B" w:rsidP="001661EE">
      <w:r>
        <w:separator/>
      </w:r>
    </w:p>
  </w:footnote>
  <w:footnote w:type="continuationSeparator" w:id="0">
    <w:p w:rsidR="00EF630B" w:rsidRDefault="00EF630B" w:rsidP="00166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00"/>
    <w:rsid w:val="001661EE"/>
    <w:rsid w:val="001E43DA"/>
    <w:rsid w:val="004522C8"/>
    <w:rsid w:val="00542830"/>
    <w:rsid w:val="0059232E"/>
    <w:rsid w:val="007162E1"/>
    <w:rsid w:val="009477DF"/>
    <w:rsid w:val="00B94F00"/>
    <w:rsid w:val="00EF630B"/>
    <w:rsid w:val="00F6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E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66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1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E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66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96AE5-09B7-407B-B0C9-1235CDEA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464</Words>
  <Characters>2646</Characters>
  <Application>Microsoft Office Word</Application>
  <DocSecurity>0</DocSecurity>
  <Lines>22</Lines>
  <Paragraphs>6</Paragraphs>
  <ScaleCrop>false</ScaleCrop>
  <Company>WwW.DEEPbbS.Org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深度联盟技术论坛</cp:lastModifiedBy>
  <cp:revision>9</cp:revision>
  <dcterms:created xsi:type="dcterms:W3CDTF">2012-09-05T02:28:00Z</dcterms:created>
  <dcterms:modified xsi:type="dcterms:W3CDTF">2012-09-05T15:55:00Z</dcterms:modified>
</cp:coreProperties>
</file>