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t>个人因子挖掘研究底座</w:t>
        <w:br/>
        <w:t>周度工作汇报</w:t>
      </w:r>
    </w:p>
    <w:p>
      <w:pPr>
        <w:pStyle w:val="Subtitle"/>
        <w:spacing w:after="360"/>
        <w:jc w:val="center"/>
      </w:pPr>
      <w:r>
        <w:t>从“能写公式”推进到“可复用、可验证、可交接”的研究闭环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color w:val="666666"/>
          <w:sz w:val="20"/>
        </w:rPr>
        <w:t>汇报周期：2026-08-10 至 2026-08-14　｜　版本：v0.1　｜　汇报对象：Leader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EEF5FB" w:val="clear"/>
            <w:tcBorders>
              <w:top w:val="single" w:sz="8" w:color="2E75B6"/>
              <w:left w:val="single" w:sz="16" w:color="2E75B6"/>
              <w:bottom w:val="single" w:sz="8" w:color="2E75B6"/>
              <w:right w:val="single" w:sz="8" w:color="2E75B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3864"/>
                <w:sz w:val="22"/>
              </w:rPr>
              <w:t>给 Leader 的一句话结论：</w:t>
            </w:r>
            <w:r>
              <w:rPr>
                <w:rFonts w:ascii="Microsoft YaHei" w:hAnsi="Microsoft YaHei" w:eastAsia="Microsoft YaHei"/>
                <w:color w:val="333333"/>
                <w:sz w:val="21"/>
              </w:rPr>
              <w:t>本周完成了一个“因子研究底座 v0.1”：把因子字段/算子白名单、统一预处理、研究环境与回测环境分离、五维质控、LLM 约束内生成、MCTS 反馈搜索和下游策略回测骨架串成可复用框架；同时用一轮真实因子实验验证了方向纠错、样本完整性门禁和失败复盘机制。当前最重要的交付不是某一个“神因子”，而是一套后续可以持续复用、扩展和接入团队研究流程的工作方法。</w:t>
            </w:r>
          </w:p>
        </w:tc>
      </w:tr>
    </w:tbl>
    <w:p>
      <w:pPr>
        <w:spacing w:after="0"/>
      </w:pPr>
    </w:p>
    <w:p>
      <w:pPr>
        <w:pStyle w:val="Heading1"/>
      </w:pPr>
      <w:r>
        <w:t>一、Executive Summary</w:t>
      </w:r>
    </w:p>
    <w:p>
      <w:pPr>
        <w:spacing w:after="140" w:line="276" w:lineRule="auto"/>
        <w:jc w:val="both"/>
      </w:pPr>
      <w:r>
        <w:rPr>
          <w:rFonts w:ascii="Calibri" w:hAnsi="Calibri" w:eastAsia="Microsoft YaHei"/>
          <w:color w:val="333333"/>
          <w:sz w:val="21"/>
        </w:rPr>
        <w:t>本周工作聚焦于“把个人探索沉淀为团队可复用资产”。输入材料包含个人因子挖掘 SOP、阶段零聚宽研究环境基建骨架、阶段一 LLM+MCTS 约束生成骨架，以及下游回测策略骨架。围绕这些材料，本周进一步完成了 PandaAI 因子竞赛环境搭建、候选因子验证、全窗口回测、结果复盘和提交策略整理。</w:t>
      </w:r>
    </w:p>
    <w:p>
      <w:pPr>
        <w:spacing w:after="140" w:line="276" w:lineRule="auto"/>
        <w:jc w:val="both"/>
      </w:pPr>
      <w:r>
        <w:rPr>
          <w:rFonts w:ascii="Calibri" w:hAnsi="Calibri" w:eastAsia="Microsoft YaHei"/>
          <w:color w:val="333333"/>
          <w:sz w:val="21"/>
        </w:rPr>
        <w:t>对团队而言，最直接的帮助有三点：第一，后续成员可以按统一口径复用，而不是每个人重新定义字段、窗口、成本和方向；第二，研究结果开始具备“可解释、可追溯、可拒绝”的质量控制，减少漂亮但不可靠的结果进入策略；第三，框架已经预留知识库、失败复盘、因子相关性和样本外验证接口，后续能逐步演进为团队研究流水线。</w:t>
      </w:r>
    </w:p>
    <w:p>
      <w:pPr>
        <w:pStyle w:val="Heading1"/>
      </w:pPr>
      <w:r>
        <w:t>二、本周完成了什么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工作模块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本周动作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对团队的直接价值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1. 研究方法固化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将 SOP 的阶段零至阶段三拆成可执行链路：统一口径 → 白名单生成 → 三层质控 → 生命周期管理。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从个人经验变成可交接流程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2. 研究/回测边界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明确 Notebook 研究环境与策略编辑器回测环境的 API 边界，保留下游因子消费接口。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避免研究代码直接污染生产策略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3. PandaAI 环境打通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安装 Skill 与 CLI，完成离线自检、登录、字段/算子核验，建立候选批跑与结果缓存。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后续可以快速批量验证候选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4. 因子实验闭环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 个候选完成短窗口探测与合规 5 年窗口回测，处理回测上限和长算子超时。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验证流程具备真实可运行性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5. 结果质量门禁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发现方向误判并完成 v2 修正；发现 Composite 只有 37 期后拒绝入池。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防止不完整结果误导决策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6. 交付物沉淀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生成增强分析报告、CSV 数据表、因子池提交清单和项目工作记忆。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Leader/团队可直接复用与审阅</w:t>
            </w:r>
          </w:p>
        </w:tc>
      </w:tr>
    </w:tbl>
    <w:p>
      <w:pPr>
        <w:spacing w:after="0"/>
      </w:pPr>
    </w:p>
    <w:p>
      <w:pPr>
        <w:pStyle w:val="Heading1"/>
      </w:pPr>
      <w:r>
        <w:t>三、已沉淀的可复用资产</w:t>
      </w:r>
    </w:p>
    <w:p>
      <w:pPr>
        <w:spacing w:after="140" w:line="276" w:lineRule="auto"/>
        <w:jc w:val="both"/>
      </w:pPr>
      <w:r>
        <w:rPr>
          <w:rFonts w:ascii="Calibri" w:hAnsi="Calibri" w:eastAsia="Microsoft YaHei"/>
          <w:color w:val="333333"/>
          <w:sz w:val="21"/>
        </w:rPr>
        <w:t>本周交付的不是一次性脚本，而是可以被其他研究员接手的“最小可复用底座”。建议后续团队把这些文件纳入统一仓库，并为每个文件补充版本号、负责人和验收标准。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资产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可复用内容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个人因子挖掘SOP.md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研究制度与质量标准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定义阶段零至阶段三、五维评价、三层质控和生命周期管理。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阶段零_聚宽基建骨架.py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统一研究基建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字段/算子白名单、预处理、Factor 基类、计算入口、五维评估接口。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阶段一_生成逻辑骨架.py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约束内生成框架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KnowledgeBase、LLM 接口、MCTS 选择/扩展/评估/回传播、FSA 规避。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回测环境_策略骨架.py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下游策略落地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股票池、调仓、因子取值、排序选股、仓位与交易风控。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analyze_results.py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结果复盘工具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从原始回测响应提取 IC 时序、多空组合、样本完整性和代理评分。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因子池提交清单.md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操作交付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列出可提交因子、方向、工作流 ID、禁入项和网页操作步骤。</w:t>
            </w:r>
          </w:p>
        </w:tc>
      </w:tr>
    </w:tbl>
    <w:p>
      <w:pPr>
        <w:spacing w:after="0"/>
      </w:pPr>
    </w:p>
    <w:p>
      <w:pPr>
        <w:pStyle w:val="Heading1"/>
      </w:pPr>
      <w:r>
        <w:t>四、真实实验验证：本周得到了什么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E2F0D9" w:val="clear"/>
            <w:tcBorders>
              <w:top w:val="single" w:sz="8" w:color="2E75B6"/>
              <w:left w:val="single" w:sz="16" w:color="2E75B6"/>
              <w:bottom w:val="single" w:sz="8" w:color="2E75B6"/>
              <w:right w:val="single" w:sz="8" w:color="2E75B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548235"/>
                <w:sz w:val="22"/>
              </w:rPr>
              <w:t>实验结论：</w:t>
            </w:r>
            <w:r>
              <w:rPr>
                <w:rFonts w:ascii="Microsoft YaHei" w:hAnsi="Microsoft YaHei" w:eastAsia="Microsoft YaHei"/>
                <w:color w:val="333333"/>
                <w:sz w:val="21"/>
              </w:rPr>
              <w:t>本轮结果支持“短期过热/波动/近期强势存在反转倾向”的研究假设，但目前应视为基础因子发现，不应表述为独创或已充分证明的 Alpha。</w:t>
            </w:r>
          </w:p>
        </w:tc>
      </w:tr>
    </w:tbl>
    <w:p>
      <w:pPr>
        <w:spacing w:after="0"/>
      </w:pPr>
    </w:p>
    <w:p>
      <w:pPr>
        <w:spacing w:after="140" w:line="276" w:lineRule="auto"/>
        <w:jc w:val="both"/>
      </w:pPr>
      <w:r>
        <w:rPr>
          <w:rFonts w:ascii="Calibri" w:hAnsi="Calibri" w:eastAsia="Microsoft YaHei"/>
          <w:color w:val="333333"/>
          <w:sz w:val="21"/>
        </w:rPr>
        <w:t>在 2021-08-16 至 2026-08-14 的合规窗口、5 日调仓、10 组分层和单边成本 0.3% 口径下，第一轮 10 个候选均完成了全窗口回测。结果显示，原先被部分标记为“高值优”的候选实际呈现负 RankIC，说明交易方向需要反转。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2"/>
        <w:gridCol w:w="1352"/>
        <w:gridCol w:w="1352"/>
        <w:gridCol w:w="1352"/>
        <w:gridCol w:w="1352"/>
        <w:gridCol w:w="1352"/>
        <w:gridCol w:w="1352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因子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公式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RankIC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多空年化超额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夏普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判断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日内振幅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(HIGH-LOW)/CLOSE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低值优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-0.0727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+28.88%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1.06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四个首轮重点候选之一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收益率波动率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STD(RETURNS(CLOSE,1),20)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低值优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-0.0745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+25.82%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0.72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换手约25.5%，成本相对友好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5日乖离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BIAS(CLOSE,5)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低值优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-0.0156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+21.58%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1.06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回撤相对较低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近期高点位置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TS_ARGMAX(HIGH,20)/20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低值优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-0.0345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+20.98%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1.13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夏普较高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20日动量-v2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RETURNS(CLOSE,20)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低值优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-0.0553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+38.40%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1.40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6"/>
              </w:rPr>
              <w:t>方向修正后完整241期，建议补足第5因子</w:t>
            </w:r>
          </w:p>
        </w:tc>
      </w:tr>
    </w:tbl>
    <w:p>
      <w:pPr>
        <w:spacing w:after="0"/>
      </w:pPr>
    </w:p>
    <w:p>
      <w:pPr>
        <w:spacing w:after="140" w:line="276" w:lineRule="auto"/>
        <w:jc w:val="both"/>
      </w:pPr>
      <w:r>
        <w:rPr>
          <w:rFonts w:ascii="Calibri" w:hAnsi="Calibri" w:eastAsia="Microsoft YaHei"/>
          <w:color w:val="333333"/>
          <w:sz w:val="21"/>
        </w:rPr>
        <w:t>这里的“多空年化超额”是本地回测中的方向选择后多空组合指标，不等于比赛官方 C 分；官方池内合成、动态股票池、月度日频账本和 A/B/C 积分仍需要提交到比赛页面后观察。</w:t>
      </w:r>
    </w:p>
    <w:p>
      <w:pPr>
        <w:pStyle w:val="Heading1"/>
      </w:pPr>
      <w:r>
        <w:t>五、最能体现研究质量的三个决策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证据/动作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带来的价值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方向纠错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10 个候选的原始 IC 并非都符合最初假设；对 20 日动量和双均线乖离差重新设定方向并复跑。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避免把有效反转信号当成错误动量信号交易。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窗口上限处理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首次 20210814—20260814 实际为 1826 天，超过服务端 1825 天上限；改为 20210816—20260814。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将平台硬约束写入批跑流程，避免重复浪费算力。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不完整样本拒绝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手写 Composite 两次均只有 37 个调仓期，低于完整样本约 241 期，IC p=0.2706。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不因为 RankIC 看起来漂亮就把不完整结果提交。</w:t>
            </w:r>
          </w:p>
        </w:tc>
      </w:tr>
    </w:tbl>
    <w:p>
      <w:pPr>
        <w:spacing w:after="0"/>
      </w:pPr>
    </w:p>
    <w:p>
      <w:pPr>
        <w:pStyle w:val="Heading1"/>
      </w:pPr>
      <w:r>
        <w:t>六、对 Leader 可复用的价值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价值方向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已形成的机制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Leader/团队收益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降低重复建设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统一字段、算子、窗口、成本、方向和报告格式；新成员可以直接套用骨架。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减少“每个人从零写一套”的时间。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提高研究可审计性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每个候选保留公式、方向、窗口、原始响应、指标、错误与复盘。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Leader 可以追溯为什么保留/淘汰。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减少错误进入策略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加入方向检查、样本完整性门禁、短窗口与全窗口分工。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避免把语法通过误认为研究有效。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支持团队扩展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阶段零提供标准入口，阶段一预留知识库和 MCTS，回测骨架负责下游消费。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后续可替换模型、数据源和搜索算法，而不必推倒重来。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形成知识复利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失败实验与平台坑写入日志，后续生成阶段可作为约束和反例输入。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研究经验不会只停留在个人聊天记录里。</w:t>
            </w:r>
          </w:p>
        </w:tc>
      </w:tr>
    </w:tbl>
    <w:p>
      <w:pPr>
        <w:spacing w:after="0"/>
      </w:pPr>
    </w:p>
    <w:p>
      <w:pPr>
        <w:pStyle w:val="Heading1"/>
      </w:pPr>
      <w:r>
        <w:t>七、当前边界：哪些还不能包装成“已完成”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FF2CC" w:val="clear"/>
            <w:tcBorders>
              <w:top w:val="single" w:sz="8" w:color="2E75B6"/>
              <w:left w:val="single" w:sz="16" w:color="2E75B6"/>
              <w:bottom w:val="single" w:sz="8" w:color="2E75B6"/>
              <w:right w:val="single" w:sz="8" w:color="2E75B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9C6500"/>
                <w:sz w:val="22"/>
              </w:rPr>
              <w:t>需要如实说明：</w:t>
            </w:r>
            <w:r>
              <w:rPr>
                <w:rFonts w:ascii="Microsoft YaHei" w:hAnsi="Microsoft YaHei" w:eastAsia="Microsoft YaHei"/>
                <w:color w:val="333333"/>
                <w:sz w:val="21"/>
              </w:rPr>
              <w:t>目前是可运行的研究原型与底座，不是已经接入真实 LLM、完成严格样本外验证、自动入池和持续监控的生产系统。把边界说明清楚，反而有利于后续获得明确的资源和评审意见。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能力项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下一步工程化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LLM 接入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阶段一 LLMInterface 仍是占位实现。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接入团队认可的模型/API，并增加超时、重试、成本和输出审计。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MCTS 可运行性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搜索框架接口已搭好，但阶段一示例存在参数接口不一致，尚未形成可直接执行的生产闭环。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统一 evaluate_factor 签名、补表达式 AST 与 Factor.from_expr。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严格正交化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当前没有逐股票因子矩阵，不能计算因子相关矩阵或残差正交化。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先输出逐股票截面因子矩阵，再做相关性、回归残差和增量解释力。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样本外验证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本轮主要是同一 5 年窗口内研究。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采用滚动训练/验证、市场阶段切分和冻结测试集。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风险暴露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尚未完整拆解市值、行业、流动性、波动率暴露。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增加中性化前后对照及风格暴露报告。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持续监控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已有概念与骨架，尚未接入定时任务与退役机制。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建立因子版本、月度重跑、衰减告警和退役流程。</w:t>
            </w:r>
          </w:p>
        </w:tc>
      </w:tr>
    </w:tbl>
    <w:p>
      <w:pPr>
        <w:spacing w:after="0"/>
      </w:pPr>
    </w:p>
    <w:p>
      <w:pPr>
        <w:pStyle w:val="Heading1"/>
      </w:pPr>
      <w:r>
        <w:t>八、下周建议计划</w:t>
      </w:r>
    </w:p>
    <w:p>
      <w:pPr>
        <w:pStyle w:val="ListNumber"/>
        <w:spacing w:after="80" w:line="269" w:lineRule="auto"/>
      </w:pPr>
      <w:r>
        <w:t>修正阶段一骨架的接口一致性：统一 evaluate_factor 入参/返回结构，修正 AlphaMiner 示例调用，补齐 Factor.from_expr 或 AST 到 Factor 类的转换层。</w:t>
      </w:r>
    </w:p>
    <w:p>
      <w:pPr>
        <w:pStyle w:val="ListNumber"/>
        <w:spacing w:after="80" w:line="269" w:lineRule="auto"/>
      </w:pPr>
      <w:r>
        <w:t>把本周真实失败案例写入 knowledge_base.json：回测窗口 ≤1825 天、长算子超时、Composite 37 期不完整样本、方向与 RankIC 符号校验。</w:t>
      </w:r>
    </w:p>
    <w:p>
      <w:pPr>
        <w:pStyle w:val="ListNumber"/>
        <w:spacing w:after="80" w:line="269" w:lineRule="auto"/>
      </w:pPr>
      <w:r>
        <w:t>增加“候选生成前置检查”：字段白名单、算子白名单、未来函数、重复结构、最大窗口、方向约束和样本长度。</w:t>
      </w:r>
    </w:p>
    <w:p>
      <w:pPr>
        <w:pStyle w:val="ListNumber"/>
        <w:spacing w:after="80" w:line="269" w:lineRule="auto"/>
      </w:pPr>
      <w:r>
        <w:t>在聚宽研究环境跑通一个 Demo 因子的 analyze_factor 全景报告，形成从 PandaAI 研发结果到聚宽策略回测的桥接样例。</w:t>
      </w:r>
    </w:p>
    <w:p>
      <w:pPr>
        <w:pStyle w:val="ListNumber"/>
        <w:spacing w:after="80" w:line="269" w:lineRule="auto"/>
      </w:pPr>
      <w:r>
        <w:t>对 5 个候选做增量相关性、行业/市值中性化、牛熊分段和样本外测试，判断它们是不是同一个反转风险暴露的不同写法。</w:t>
      </w:r>
    </w:p>
    <w:p>
      <w:pPr>
        <w:pStyle w:val="ListNumber"/>
        <w:spacing w:after="80" w:line="269" w:lineRule="auto"/>
      </w:pPr>
      <w:r>
        <w:t>提交因子池后，建立官方 A/B/C 结果跟踪表，将官方结果回写知识库，形成下一轮搜索的反馈输入。</w:t>
      </w:r>
    </w:p>
    <w:p>
      <w:pPr>
        <w:pStyle w:val="Heading1"/>
      </w:pPr>
      <w:r>
        <w:t>九、希望 Leader 关注/确认的事项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EEF5FB" w:val="clear"/>
            <w:tcBorders>
              <w:top w:val="single" w:sz="8" w:color="2E75B6"/>
              <w:left w:val="single" w:sz="16" w:color="2E75B6"/>
              <w:bottom w:val="single" w:sz="8" w:color="2E75B6"/>
              <w:right w:val="single" w:sz="8" w:color="2E75B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/>
                <w:color w:val="1F3864"/>
                <w:sz w:val="22"/>
              </w:rPr>
              <w:t>建议请示：</w:t>
            </w:r>
            <w:r>
              <w:rPr>
                <w:rFonts w:ascii="Microsoft YaHei" w:hAnsi="Microsoft YaHei" w:eastAsia="Microsoft YaHei"/>
                <w:color w:val="333333"/>
                <w:sz w:val="21"/>
              </w:rPr>
              <w:t>如果团队认可“先标准化流程、再扩大因子数量”的路线，我建议下周优先投入在接口修正、真实研究环境跑通和样本外/多场景质控，而不是立即扩大 LLM 生成数量。</w:t>
            </w:r>
          </w:p>
        </w:tc>
      </w:tr>
    </w:tbl>
    <w:p>
      <w:pPr>
        <w:spacing w:after="0"/>
      </w:pPr>
    </w:p>
    <w:p>
      <w:pPr>
        <w:pStyle w:val="ListBullet"/>
        <w:spacing w:after="60" w:line="269" w:lineRule="auto"/>
      </w:pPr>
      <w:r>
        <w:t>是否将阶段零的字段/算子白名单、统一预处理和评估报告作为团队统一模板？</w:t>
      </w:r>
    </w:p>
    <w:p>
      <w:pPr>
        <w:pStyle w:val="ListBullet"/>
        <w:spacing w:after="60" w:line="269" w:lineRule="auto"/>
      </w:pPr>
      <w:r>
        <w:t>是否允许把“失败实验复盘日志”纳入共享知识库，作为后续 AI 生成的硬约束输入？</w:t>
      </w:r>
    </w:p>
    <w:p>
      <w:pPr>
        <w:pStyle w:val="ListBullet"/>
        <w:spacing w:after="60" w:line="269" w:lineRule="auto"/>
      </w:pPr>
      <w:r>
        <w:t>是否优先支持一个真实研究环境 Demo，而不是先做大规模自动生成？</w:t>
      </w:r>
    </w:p>
    <w:p>
      <w:pPr>
        <w:pStyle w:val="ListBullet"/>
        <w:spacing w:after="60" w:line="269" w:lineRule="auto"/>
      </w:pPr>
      <w:r>
        <w:t>是否需要统一团队因子元数据格式：公式、方向、窗口、版本、负责人、评分、相关性、退役原因？</w:t>
      </w:r>
    </w:p>
    <w:p>
      <w:pPr>
        <w:pStyle w:val="Heading1"/>
      </w:pPr>
      <w:r>
        <w:t>十、文件与复用入口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接手后可做什么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个人因子挖掘SOP.md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方法与质控总纲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定义研究阶段、五维评分、三层质控和生命周期。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阶段零_聚宽基建骨架.py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研究环境模板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白名单、预处理、Factor 基类和统一计算/评估入口。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阶段一_生成逻辑骨架.py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AI 生成模板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KnowledgeBase、LLMInterface、MCTS 和 FSA 规避接口。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回测环境_策略骨架.py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回测策略模板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AFC" w:val="clear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因子取值、排序选股、调仓和基础风控。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outputs/2026-08-14_因子挖掘周报_可复用底座_v0.1.docx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本次汇报文件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333333"/>
                <w:sz w:val="17"/>
              </w:rPr>
              <w:t>面向 Leader 的周报与复用说明。</w:t>
            </w:r>
          </w:p>
        </w:tc>
      </w:tr>
    </w:tbl>
    <w:p>
      <w:pPr>
        <w:spacing w:after="0"/>
      </w:pPr>
    </w:p>
    <w:p>
      <w:pPr>
        <w:spacing w:after="140" w:line="276" w:lineRule="auto"/>
        <w:jc w:val="both"/>
      </w:pPr>
      <w:r>
        <w:rPr>
          <w:rFonts w:ascii="Calibri" w:hAnsi="Calibri" w:eastAsia="Microsoft YaHei"/>
          <w:color w:val="333333"/>
          <w:sz w:val="21"/>
        </w:rPr>
        <w:t>本周工作可复用的最小路径：先执行阶段零统一口径与白名单 → 用阶段一生成候选 → 通过三层质控 → 将通过者交给回测策略骨架 → 把结果和失败原因写回知识库。</w:t>
      </w:r>
    </w:p>
    <w:p>
      <w:pPr>
        <w:pStyle w:val="Heading1"/>
      </w:pPr>
      <w:r>
        <w:t>附录：本周工作边界与评价口径</w:t>
      </w:r>
    </w:p>
    <w:p>
      <w:pPr>
        <w:pStyle w:val="ListBullet"/>
        <w:spacing w:after="60" w:line="269" w:lineRule="auto"/>
      </w:pPr>
      <w:r>
        <w:t>本周的创新重点是流程工程化、约束生成和质量门禁，不是声称发明了全新技术面因子。</w:t>
      </w:r>
    </w:p>
    <w:p>
      <w:pPr>
        <w:pStyle w:val="ListBullet"/>
        <w:spacing w:after="60" w:line="269" w:lineRule="auto"/>
      </w:pPr>
      <w:r>
        <w:t>经典 BIAS、波动率、振幅、动量等因子属于成熟基线；后续创新应体现在低相关组合、样本外稳健性、结构规避和反馈搜索效率。</w:t>
      </w:r>
    </w:p>
    <w:p>
      <w:pPr>
        <w:pStyle w:val="ListBullet"/>
        <w:spacing w:after="60" w:line="269" w:lineRule="auto"/>
      </w:pPr>
      <w:r>
        <w:t>PandaAI 本地增强报告中的 A 代理分不是官方积分；官方 B/C 只有完成网页入池后才能获得。</w:t>
      </w:r>
    </w:p>
    <w:p>
      <w:pPr>
        <w:pStyle w:val="ListBullet"/>
        <w:spacing w:after="60" w:line="269" w:lineRule="auto"/>
      </w:pPr>
      <w:r>
        <w:t>所有回测结论都应结合成本、样本长度、方向、风格暴露和样本外结果一起解释。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66666"/>
        <w:sz w:val="17"/>
      </w:rPr>
      <w:t>因子挖掘研究底座｜周度工作汇报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400" w:after="24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0" w:after="200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0" w:after="160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64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2E75B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