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svg" ContentType="image/svg+xml"/>
  <Override PartName="/word/media/image10.svg" ContentType="image/svg+xml"/>
  <Override PartName="/word/media/image11.svg" ContentType="image/svg+xml"/>
  <Override PartName="/word/media/image12.svg" ContentType="image/svg+xml"/>
  <Override PartName="/word/media/image13.svg" ContentType="image/svg+xml"/>
  <Override PartName="/word/media/image14.svg" ContentType="image/svg+xml"/>
  <Override PartName="/word/media/image15.svg" ContentType="image/svg+xml"/>
  <Override PartName="/word/media/image16.svg" ContentType="image/svg+xml"/>
  <Override PartName="/word/media/image17.svg" ContentType="image/svg+xml"/>
  <Override PartName="/word/media/image18.svg" ContentType="image/svg+xml"/>
  <Override PartName="/word/media/image19.svg" ContentType="image/svg+xml"/>
  <Override PartName="/word/media/image2.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svg" ContentType="image/svg+xml"/>
  <Override PartName="/word/media/image30.svg" ContentType="image/svg+xml"/>
  <Override PartName="/word/media/image31.svg" ContentType="image/svg+xml"/>
  <Override PartName="/word/media/image32.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3"/>
        <w:keepNext w:val="0"/>
        <w:keepLines w:val="0"/>
        <w:widowControl/>
        <w:kinsoku/>
        <w:wordWrap/>
        <w:overflowPunct/>
        <w:topLinePunct w:val="0"/>
        <w:autoSpaceDE/>
        <w:autoSpaceDN/>
        <w:bidi w:val="0"/>
        <w:adjustRightInd/>
        <w:snapToGrid/>
        <w:spacing w:line="240" w:lineRule="auto"/>
        <w:jc w:val="both"/>
        <w:textAlignment w:val="auto"/>
        <w:rPr>
          <w:rFonts w:hint="eastAsia"/>
          <w:lang w:eastAsia="zh-CN"/>
        </w:rPr>
        <w:sectPr>
          <w:headerReference r:id="rId4" w:type="default"/>
          <w:pgSz w:w="11906" w:h="16838"/>
          <w:pgMar w:top="1701" w:right="1587" w:bottom="1587" w:left="1587" w:header="567" w:footer="624" w:gutter="0"/>
          <w:cols w:space="720" w:num="1"/>
        </w:sectPr>
      </w:pPr>
      <w:bookmarkStart w:id="62" w:name="_GoBack"/>
      <w:r>
        <w:rPr>
          <w:rFonts w:hint="eastAsia"/>
          <w:lang w:eastAsia="zh-CN"/>
        </w:rPr>
        <w:drawing>
          <wp:anchor distT="0" distB="0" distL="114300" distR="114300" simplePos="0" relativeHeight="251658240" behindDoc="0" locked="0" layoutInCell="1" allowOverlap="1">
            <wp:simplePos x="0" y="0"/>
            <wp:positionH relativeFrom="column">
              <wp:posOffset>-980440</wp:posOffset>
            </wp:positionH>
            <wp:positionV relativeFrom="paragraph">
              <wp:posOffset>-1043305</wp:posOffset>
            </wp:positionV>
            <wp:extent cx="7524115" cy="10655935"/>
            <wp:effectExtent l="0" t="0" r="635" b="2540"/>
            <wp:wrapTopAndBottom/>
            <wp:docPr id="5" name="图片 5" descr="gongyin-edai-v2-ic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ongyin-edai-v2-ice-blue"/>
                    <pic:cNvPicPr>
                      <a:picLocks noChangeAspect="1"/>
                    </pic:cNvPicPr>
                  </pic:nvPicPr>
                  <pic:blipFill>
                    <a:blip r:embed="rId8"/>
                    <a:stretch>
                      <a:fillRect/>
                    </a:stretch>
                  </pic:blipFill>
                  <pic:spPr>
                    <a:xfrm>
                      <a:off x="0" y="0"/>
                      <a:ext cx="7524115" cy="10655935"/>
                    </a:xfrm>
                    <a:prstGeom prst="rect">
                      <a:avLst/>
                    </a:prstGeom>
                  </pic:spPr>
                </pic:pic>
              </a:graphicData>
            </a:graphic>
          </wp:anchor>
        </w:drawing>
      </w:r>
      <w:bookmarkEnd w:id="62"/>
    </w:p>
    <w:p>
      <w:pPr>
        <w:keepNext w:val="0"/>
        <w:keepLines w:val="0"/>
        <w:widowControl/>
        <w:kinsoku/>
        <w:wordWrap/>
        <w:overflowPunct/>
        <w:topLinePunct w:val="0"/>
        <w:autoSpaceDE/>
        <w:autoSpaceDN/>
        <w:bidi w:val="0"/>
        <w:adjustRightInd/>
        <w:snapToGrid/>
        <w:jc w:val="center"/>
        <w:textAlignment w:val="auto"/>
        <w:rPr>
          <w:rFonts w:hint="eastAsia"/>
          <w:sz w:val="44"/>
          <w:szCs w:val="44"/>
        </w:rPr>
      </w:pPr>
      <w:r>
        <w:rPr>
          <w:rFonts w:hint="eastAsia"/>
          <w:sz w:val="44"/>
          <w:szCs w:val="44"/>
        </w:rPr>
        <w:t>团队介绍</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刘坤</w:t>
      </w:r>
      <w:r>
        <w:rPr>
          <w:rFonts w:hint="eastAsia"/>
          <w:lang w:eastAsia="zh-CN"/>
        </w:rPr>
        <w:t>，</w:t>
      </w:r>
      <w:r>
        <w:rPr>
          <w:rFonts w:hint="eastAsia"/>
        </w:rPr>
        <w:t>团队队长，湖南财政经济学院2024级金融科技专业本科生，英语六级。PandaAI EVO官方产品内测员，SAIFSA上海交大高金量化投资俱乐部会员，中国技术经济学会及金融科技委员会学生会员。负责业务方案与产品架构、原型开发与Jev服务集成、计划书统筹。</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李超</w:t>
      </w:r>
      <w:r>
        <w:rPr>
          <w:rFonts w:hint="eastAsia"/>
          <w:lang w:eastAsia="zh-CN"/>
        </w:rPr>
        <w:t>，</w:t>
      </w:r>
      <w:r>
        <w:rPr>
          <w:rFonts w:hint="eastAsia"/>
        </w:rPr>
        <w:t>团队成员，湖南财政经济学院2024级经济统计学专业本科生，英语六级。负责仿真材料与参考标签整理、对照实验设计、统计分析与图表制作，协同开展结果核查与报告编写。</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两人共同开展核验口径讨论、案例检查与成果审阅。</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成员经历与竞赛基础</w:t>
      </w:r>
      <w:r>
        <w:rPr>
          <w:rFonts w:hint="eastAsia"/>
          <w:lang w:eastAsia="zh-CN"/>
        </w:rPr>
        <w:t>：</w:t>
      </w:r>
      <w:r>
        <w:rPr>
          <w:rFonts w:hint="eastAsia"/>
        </w:rPr>
        <w:t>成员过往竞赛经历涉及信息检索、数学建模、银行运营与市场分析，为本项目的资料研究、业务设计和实验评价提供基础。</w:t>
      </w:r>
    </w:p>
    <w:p>
      <w:pPr>
        <w:keepNext w:val="0"/>
        <w:keepLines w:val="0"/>
        <w:widowControl/>
        <w:kinsoku/>
        <w:wordWrap/>
        <w:overflowPunct/>
        <w:topLinePunct w:val="0"/>
        <w:autoSpaceDE/>
        <w:autoSpaceDN/>
        <w:bidi w:val="0"/>
        <w:adjustRightInd/>
        <w:snapToGrid/>
        <w:jc w:val="both"/>
        <w:textAlignment w:val="auto"/>
        <w:rPr>
          <w:rFonts w:hint="eastAsia"/>
        </w:rPr>
      </w:pPr>
      <w:r>
        <w:rPr>
          <w:rFonts w:hint="eastAsia"/>
        </w:rPr>
        <w:t>1.“搜知杯”全国财经高校信息素养大赛全国一等奖</w:t>
      </w:r>
    </w:p>
    <w:p>
      <w:pPr>
        <w:keepNext w:val="0"/>
        <w:keepLines w:val="0"/>
        <w:widowControl/>
        <w:kinsoku/>
        <w:wordWrap/>
        <w:overflowPunct/>
        <w:topLinePunct w:val="0"/>
        <w:autoSpaceDE/>
        <w:autoSpaceDN/>
        <w:bidi w:val="0"/>
        <w:adjustRightInd/>
        <w:snapToGrid/>
        <w:jc w:val="both"/>
        <w:textAlignment w:val="auto"/>
        <w:rPr>
          <w:rFonts w:hint="eastAsia"/>
        </w:rPr>
      </w:pPr>
      <w:r>
        <w:rPr>
          <w:rFonts w:hint="eastAsia"/>
        </w:rPr>
        <w:t>2.“华数杯”全国大学生数学建模竞赛全国一等奖</w:t>
      </w:r>
    </w:p>
    <w:p>
      <w:pPr>
        <w:keepNext w:val="0"/>
        <w:keepLines w:val="0"/>
        <w:widowControl/>
        <w:kinsoku/>
        <w:wordWrap/>
        <w:overflowPunct/>
        <w:topLinePunct w:val="0"/>
        <w:autoSpaceDE/>
        <w:autoSpaceDN/>
        <w:bidi w:val="0"/>
        <w:adjustRightInd/>
        <w:snapToGrid/>
        <w:jc w:val="both"/>
        <w:textAlignment w:val="auto"/>
        <w:rPr>
          <w:rFonts w:hint="eastAsia"/>
        </w:rPr>
      </w:pPr>
      <w:r>
        <w:rPr>
          <w:rFonts w:hint="eastAsia"/>
        </w:rPr>
        <w:t>3.高校经济决策虚仿实验大赛智慧银行数字化运营全国二等奖</w:t>
      </w:r>
    </w:p>
    <w:p>
      <w:pPr>
        <w:keepNext w:val="0"/>
        <w:keepLines w:val="0"/>
        <w:widowControl/>
        <w:kinsoku/>
        <w:wordWrap/>
        <w:overflowPunct/>
        <w:topLinePunct w:val="0"/>
        <w:autoSpaceDE/>
        <w:autoSpaceDN/>
        <w:bidi w:val="0"/>
        <w:adjustRightInd/>
        <w:snapToGrid/>
        <w:jc w:val="both"/>
        <w:textAlignment w:val="auto"/>
        <w:rPr>
          <w:rFonts w:hint="eastAsia"/>
        </w:rPr>
      </w:pPr>
      <w:r>
        <w:rPr>
          <w:rFonts w:hint="eastAsia"/>
        </w:rPr>
        <w:t>4.“iCAN杯”大学生创新创业大赛全国三等奖</w:t>
      </w:r>
    </w:p>
    <w:p>
      <w:pPr>
        <w:keepNext w:val="0"/>
        <w:keepLines w:val="0"/>
        <w:widowControl/>
        <w:kinsoku/>
        <w:wordWrap/>
        <w:overflowPunct/>
        <w:topLinePunct w:val="0"/>
        <w:autoSpaceDE/>
        <w:autoSpaceDN/>
        <w:bidi w:val="0"/>
        <w:adjustRightInd/>
        <w:snapToGrid/>
        <w:jc w:val="both"/>
        <w:textAlignment w:val="auto"/>
        <w:rPr>
          <w:rFonts w:hint="eastAsia"/>
        </w:rPr>
      </w:pPr>
      <w:r>
        <w:rPr>
          <w:rFonts w:hint="eastAsia"/>
        </w:rPr>
        <w:t>5.“高教社杯”全国大学生数学建模竞赛湖南省一等奖</w:t>
      </w:r>
    </w:p>
    <w:p>
      <w:pPr>
        <w:keepNext w:val="0"/>
        <w:keepLines w:val="0"/>
        <w:widowControl/>
        <w:kinsoku/>
        <w:wordWrap/>
        <w:overflowPunct/>
        <w:topLinePunct w:val="0"/>
        <w:autoSpaceDE/>
        <w:autoSpaceDN/>
        <w:bidi w:val="0"/>
        <w:adjustRightInd/>
        <w:snapToGrid/>
        <w:jc w:val="both"/>
        <w:textAlignment w:val="auto"/>
        <w:rPr>
          <w:rFonts w:hint="eastAsia"/>
        </w:rPr>
      </w:pPr>
      <w:r>
        <w:rPr>
          <w:rFonts w:hint="eastAsia"/>
        </w:rPr>
        <w:t>6.“正大杯”市场调查与分析湖南省一等奖</w:t>
      </w:r>
    </w:p>
    <w:p>
      <w:pPr>
        <w:keepNext w:val="0"/>
        <w:keepLines w:val="0"/>
        <w:widowControl/>
        <w:kinsoku/>
        <w:wordWrap/>
        <w:overflowPunct/>
        <w:topLinePunct w:val="0"/>
        <w:autoSpaceDE/>
        <w:autoSpaceDN/>
        <w:bidi w:val="0"/>
        <w:adjustRightInd/>
        <w:snapToGrid/>
        <w:jc w:val="both"/>
        <w:textAlignment w:val="auto"/>
        <w:rPr>
          <w:rFonts w:hint="eastAsia"/>
        </w:rPr>
      </w:pPr>
      <w:r>
        <w:rPr>
          <w:rFonts w:hint="eastAsia"/>
        </w:rPr>
        <w:t>7.“工行杯”</w:t>
      </w:r>
      <w:r>
        <w:rPr>
          <w:rFonts w:hint="eastAsia"/>
          <w:lang w:eastAsia="zh-CN"/>
        </w:rPr>
        <w:t>全国大学生</w:t>
      </w:r>
      <w:r>
        <w:rPr>
          <w:rFonts w:hint="eastAsia"/>
        </w:rPr>
        <w:t>金融科技创新大赛湖南省一等奖</w:t>
      </w:r>
    </w:p>
    <w:p>
      <w:pPr>
        <w:keepNext w:val="0"/>
        <w:keepLines w:val="0"/>
        <w:widowControl/>
        <w:kinsoku/>
        <w:wordWrap/>
        <w:overflowPunct/>
        <w:topLinePunct w:val="0"/>
        <w:autoSpaceDE/>
        <w:autoSpaceDN/>
        <w:bidi w:val="0"/>
        <w:adjustRightInd/>
        <w:snapToGrid/>
        <w:jc w:val="both"/>
        <w:textAlignment w:val="auto"/>
        <w:rPr>
          <w:rFonts w:hint="eastAsia"/>
        </w:rPr>
      </w:pPr>
      <w:r>
        <w:rPr>
          <w:rFonts w:hint="eastAsia"/>
        </w:rPr>
        <w:t>8.全国大学生统计建模大赛湖南省二等奖</w:t>
      </w:r>
      <w:bookmarkStart w:id="0" w:name="_Toc242347080"/>
      <w:bookmarkStart w:id="1" w:name="_Toc242317880"/>
    </w:p>
    <w:p>
      <w:pPr>
        <w:keepNext w:val="0"/>
        <w:keepLines w:val="0"/>
        <w:widowControl/>
        <w:kinsoku/>
        <w:wordWrap/>
        <w:overflowPunct/>
        <w:topLinePunct w:val="0"/>
        <w:autoSpaceDE/>
        <w:autoSpaceDN/>
        <w:bidi w:val="0"/>
        <w:adjustRightInd/>
        <w:snapToGrid/>
        <w:jc w:val="center"/>
        <w:textAlignment w:val="auto"/>
        <w:rPr>
          <w:rFonts w:hint="eastAsia"/>
          <w:sz w:val="44"/>
          <w:szCs w:val="44"/>
        </w:rPr>
      </w:pPr>
      <w:r>
        <w:rPr>
          <w:rFonts w:hint="eastAsia"/>
          <w:sz w:val="44"/>
          <w:szCs w:val="44"/>
        </w:rPr>
        <w:t>前言</w:t>
      </w:r>
      <w:bookmarkEnd w:id="0"/>
      <w:bookmarkEnd w:id="1"/>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bookmarkStart w:id="2" w:name="OLE_LINK1"/>
      <w:r>
        <w:rPr>
          <w:rFonts w:hint="eastAsia"/>
        </w:rPr>
        <w:t>工银智涌 e贷——基于Jev式判断与快慢协同的贷前材料核验引擎</w:t>
      </w:r>
      <w:bookmarkEnd w:id="2"/>
      <w:r>
        <w:rPr>
          <w:rFonts w:hint="eastAsia"/>
        </w:rPr>
        <w:t>，立足数字金融赛道，聚焦小微经营贷款用途一致性与经营陈述矛盾，为工小审相关任务设计前置组件。</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组件位于材料归集后、综合审查前。规则检查材料条件，快判断回答限定问题，复杂关系按需协同工银智涌；建议、成对原文与未决事项交由人员补件、核实和交接。</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项目已完成本地原型、可替换判断服务和六方案开发对照，并以官方Jev完成两项仿真任务的结构化协议验证。方案围绕证据与人员责任组织快慢协同，探索减少重复判读和无效分析；采用范围由领域评价与受控业务测量确定。整体架构如图0-1所示。</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sz w:val="18"/>
        </w:rPr>
      </w:pPr>
      <w:r>
        <w:rPr>
          <w:rFonts w:hint="default"/>
          <w:sz w:val="18"/>
        </w:rPr>
        <w:drawing>
          <wp:inline distT="0" distB="0" distL="114300" distR="114300">
            <wp:extent cx="5588635" cy="3550285"/>
            <wp:effectExtent l="0" t="0" r="2540" b="2540"/>
            <wp:docPr id="7" name="PM11Overview"/>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PM11Overview"/>
                    <pic:cNvPicPr>
                      <a:picLocks noGrp="1" noChangeAspect="1"/>
                    </pic:cNvPicPr>
                  </pic:nvPicPr>
                  <pic:blipFill>
                    <a:blip r:embed="rId9"/>
                    <a:srcRect l="-813" b="7739"/>
                    <a:stretch>
                      <a:fillRect/>
                    </a:stretch>
                  </pic:blipFill>
                  <pic:spPr>
                    <a:xfrm>
                      <a:off x="0" y="0"/>
                      <a:ext cx="5588635" cy="3550285"/>
                    </a:xfrm>
                    <a:prstGeom prst="rect">
                      <a:avLst/>
                    </a:prstGeom>
                    <a:noFill/>
                    <a:ln>
                      <a:noFill/>
                    </a:ln>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sz w:val="32"/>
        </w:rPr>
      </w:pPr>
      <w:r>
        <w:rPr>
          <w:rFonts w:eastAsia="宋体" w:cs="宋体"/>
        </w:rPr>
        <w:t>图0-1 项目全局总览与前置核验位置</w:t>
      </w:r>
    </w:p>
    <w:p>
      <w:pPr>
        <w:keepNext w:val="0"/>
        <w:keepLines w:val="0"/>
        <w:widowControl/>
        <w:kinsoku/>
        <w:wordWrap/>
        <w:overflowPunct/>
        <w:topLinePunct w:val="0"/>
        <w:autoSpaceDE/>
        <w:autoSpaceDN/>
        <w:bidi w:val="0"/>
        <w:adjustRightInd/>
        <w:snapToGrid/>
        <w:jc w:val="center"/>
        <w:textAlignment w:val="auto"/>
        <w:rPr>
          <w:rFonts w:hint="eastAsia"/>
          <w:sz w:val="44"/>
          <w:szCs w:val="44"/>
        </w:rPr>
      </w:pPr>
      <w:r>
        <w:rPr>
          <w:rFonts w:hint="eastAsia"/>
          <w:sz w:val="44"/>
          <w:szCs w:val="44"/>
        </w:rPr>
        <w:t>目录</w:t>
      </w:r>
    </w:p>
    <w:p>
      <w:pPr>
        <w:pStyle w:val="26"/>
        <w:keepNext w:val="0"/>
        <w:keepLines w:val="0"/>
        <w:widowControl/>
        <w:tabs>
          <w:tab w:val="right" w:leader="dot" w:pos="8722"/>
        </w:tabs>
        <w:kinsoku/>
        <w:wordWrap/>
        <w:overflowPunct/>
        <w:topLinePunct w:val="0"/>
        <w:autoSpaceDE/>
        <w:autoSpaceDN/>
        <w:bidi w:val="0"/>
        <w:adjustRightInd/>
        <w:snapToGrid/>
        <w:spacing w:line="480" w:lineRule="exact"/>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TOC \o "1-2" \h \z \u </w:instrText>
      </w:r>
      <w:r>
        <w:fldChar w:fldCharType="separate"/>
      </w:r>
      <w:r>
        <w:fldChar w:fldCharType="begin"/>
      </w:r>
      <w:r>
        <w:instrText xml:space="preserve"> HYPERLINK \l "_Toc242347080" </w:instrText>
      </w:r>
      <w:r>
        <w:fldChar w:fldCharType="separate"/>
      </w:r>
      <w:r>
        <w:rPr>
          <w:rStyle w:val="137"/>
        </w:rPr>
        <w:t>前言</w:t>
      </w:r>
      <w:r>
        <w:rPr>
          <w:rFonts w:hint="eastAsia"/>
        </w:rPr>
        <w:tab/>
      </w:r>
      <w:r>
        <w:rPr>
          <w:rFonts w:hint="eastAsia"/>
        </w:rPr>
        <w:fldChar w:fldCharType="begin"/>
      </w:r>
      <w:r>
        <w:rPr>
          <w:rFonts w:hint="eastAsia"/>
        </w:rPr>
        <w:instrText xml:space="preserve"> </w:instrText>
      </w:r>
      <w:r>
        <w:instrText xml:space="preserve">PAGEREF _Toc242347080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26"/>
        <w:keepNext w:val="0"/>
        <w:keepLines w:val="0"/>
        <w:widowControl/>
        <w:tabs>
          <w:tab w:val="right" w:leader="dot" w:pos="8722"/>
        </w:tabs>
        <w:kinsoku/>
        <w:wordWrap/>
        <w:overflowPunct/>
        <w:topLinePunct w:val="0"/>
        <w:autoSpaceDE/>
        <w:autoSpaceDN/>
        <w:bidi w:val="0"/>
        <w:adjustRightInd/>
        <w:snapToGrid/>
        <w:spacing w:line="480" w:lineRule="exact"/>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"_Toc242347081" </w:instrText>
      </w:r>
      <w:r>
        <w:fldChar w:fldCharType="separate"/>
      </w:r>
      <w:r>
        <w:rPr>
          <w:rStyle w:val="137"/>
        </w:rPr>
        <w:t>一、项目背景</w:t>
      </w:r>
      <w:r>
        <w:rPr>
          <w:rFonts w:hint="eastAsia"/>
        </w:rPr>
        <w:tab/>
      </w:r>
      <w:r>
        <w:rPr>
          <w:rFonts w:hint="eastAsia"/>
        </w:rPr>
        <w:fldChar w:fldCharType="begin"/>
      </w:r>
      <w:r>
        <w:rPr>
          <w:rFonts w:hint="eastAsia"/>
        </w:rPr>
        <w:instrText xml:space="preserve"> </w:instrText>
      </w:r>
      <w:r>
        <w:instrText xml:space="preserve">PAGEREF _Toc242347081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"_Toc242347082" </w:instrText>
      </w:r>
      <w:r>
        <w:fldChar w:fldCharType="separate"/>
      </w:r>
      <w:r>
        <w:rPr>
          <w:rStyle w:val="137"/>
        </w:rPr>
        <w:t>（一）数字金融政策背景</w:t>
      </w:r>
      <w:r>
        <w:rPr>
          <w:rFonts w:hint="eastAsia"/>
        </w:rPr>
        <w:tab/>
      </w:r>
      <w:r>
        <w:rPr>
          <w:rFonts w:hint="eastAsia"/>
        </w:rPr>
        <w:fldChar w:fldCharType="begin"/>
      </w:r>
      <w:r>
        <w:rPr>
          <w:rFonts w:hint="eastAsia"/>
        </w:rPr>
        <w:instrText xml:space="preserve"> </w:instrText>
      </w:r>
      <w:r>
        <w:instrText xml:space="preserve">PAGEREF _Toc242347082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"_Toc242347083" </w:instrText>
      </w:r>
      <w:r>
        <w:fldChar w:fldCharType="separate"/>
      </w:r>
      <w:r>
        <w:rPr>
          <w:rStyle w:val="137"/>
        </w:rPr>
        <w:t>（二）工行智能信贷基础</w:t>
      </w:r>
      <w:r>
        <w:rPr>
          <w:rFonts w:hint="eastAsia"/>
        </w:rPr>
        <w:tab/>
      </w:r>
      <w:r>
        <w:rPr>
          <w:rFonts w:hint="eastAsia"/>
        </w:rPr>
        <w:fldChar w:fldCharType="begin"/>
      </w:r>
      <w:r>
        <w:rPr>
          <w:rFonts w:hint="eastAsia"/>
        </w:rPr>
        <w:instrText xml:space="preserve"> </w:instrText>
      </w:r>
      <w:r>
        <w:instrText xml:space="preserve">PAGEREF _Toc242347083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"_Toc242347084" </w:instrText>
      </w:r>
      <w:r>
        <w:fldChar w:fldCharType="separate"/>
      </w:r>
      <w:r>
        <w:rPr>
          <w:rStyle w:val="137"/>
        </w:rPr>
        <w:t>（三）贷前材料核验痛点</w:t>
      </w:r>
      <w:r>
        <w:rPr>
          <w:rFonts w:hint="eastAsia"/>
        </w:rPr>
        <w:tab/>
      </w:r>
      <w:r>
        <w:rPr>
          <w:rFonts w:hint="eastAsia"/>
        </w:rPr>
        <w:fldChar w:fldCharType="begin"/>
      </w:r>
      <w:r>
        <w:rPr>
          <w:rFonts w:hint="eastAsia"/>
        </w:rPr>
        <w:instrText xml:space="preserve"> </w:instrText>
      </w:r>
      <w:r>
        <w:instrText xml:space="preserve">PAGEREF _Toc242347084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"_Toc242347085" </w:instrText>
      </w:r>
      <w:r>
        <w:fldChar w:fldCharType="separate"/>
      </w:r>
      <w:r>
        <w:rPr>
          <w:rStyle w:val="137"/>
        </w:rPr>
        <w:t>（四）项目切入与价值方向</w:t>
      </w:r>
      <w:r>
        <w:rPr>
          <w:rFonts w:hint="eastAsia"/>
        </w:rPr>
        <w:tab/>
      </w:r>
      <w:r>
        <w:rPr>
          <w:rFonts w:hint="eastAsia"/>
        </w:rPr>
        <w:fldChar w:fldCharType="begin"/>
      </w:r>
      <w:r>
        <w:rPr>
          <w:rFonts w:hint="eastAsia"/>
        </w:rPr>
        <w:instrText xml:space="preserve"> </w:instrText>
      </w:r>
      <w:r>
        <w:instrText xml:space="preserve">PAGEREF _Toc242347085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pPr>
        <w:pStyle w:val="26"/>
        <w:keepNext w:val="0"/>
        <w:keepLines w:val="0"/>
        <w:widowControl/>
        <w:tabs>
          <w:tab w:val="right" w:leader="dot" w:pos="8722"/>
        </w:tabs>
        <w:kinsoku/>
        <w:wordWrap/>
        <w:overflowPunct/>
        <w:topLinePunct w:val="0"/>
        <w:autoSpaceDE/>
        <w:autoSpaceDN/>
        <w:bidi w:val="0"/>
        <w:adjustRightInd/>
        <w:snapToGrid/>
        <w:spacing w:line="480" w:lineRule="exact"/>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"_Toc242347086" </w:instrText>
      </w:r>
      <w:r>
        <w:fldChar w:fldCharType="separate"/>
      </w:r>
      <w:r>
        <w:rPr>
          <w:rStyle w:val="137"/>
        </w:rPr>
        <w:t>二、业务场景与产品定位</w:t>
      </w:r>
      <w:r>
        <w:rPr>
          <w:rFonts w:hint="eastAsia"/>
        </w:rPr>
        <w:tab/>
      </w:r>
      <w:r>
        <w:rPr>
          <w:rFonts w:hint="eastAsia"/>
        </w:rPr>
        <w:fldChar w:fldCharType="begin"/>
      </w:r>
      <w:r>
        <w:rPr>
          <w:rFonts w:hint="eastAsia"/>
        </w:rPr>
        <w:instrText xml:space="preserve"> </w:instrText>
      </w:r>
      <w:r>
        <w:instrText xml:space="preserve">PAGEREF _Toc242347086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"_Toc242347087" </w:instrText>
      </w:r>
      <w:r>
        <w:fldChar w:fldCharType="separate"/>
      </w:r>
      <w:r>
        <w:rPr>
          <w:rStyle w:val="137"/>
        </w:rPr>
        <w:t>（一）目标业务与服务对象</w:t>
      </w:r>
      <w:r>
        <w:rPr>
          <w:rFonts w:hint="eastAsia"/>
        </w:rPr>
        <w:tab/>
      </w:r>
      <w:r>
        <w:rPr>
          <w:rFonts w:hint="eastAsia"/>
        </w:rPr>
        <w:fldChar w:fldCharType="begin"/>
      </w:r>
      <w:r>
        <w:rPr>
          <w:rFonts w:hint="eastAsia"/>
        </w:rPr>
        <w:instrText xml:space="preserve"> </w:instrText>
      </w:r>
      <w:r>
        <w:instrText xml:space="preserve">PAGEREF _Toc242347087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"_Toc242347088" </w:instrText>
      </w:r>
      <w:r>
        <w:fldChar w:fldCharType="separate"/>
      </w:r>
      <w:r>
        <w:rPr>
          <w:rStyle w:val="137"/>
        </w:rPr>
        <w:t>（二）使用人员与职责分工</w:t>
      </w:r>
      <w:r>
        <w:rPr>
          <w:rFonts w:hint="eastAsia"/>
        </w:rPr>
        <w:tab/>
      </w:r>
      <w:r>
        <w:rPr>
          <w:rFonts w:hint="eastAsia"/>
        </w:rPr>
        <w:fldChar w:fldCharType="begin"/>
      </w:r>
      <w:r>
        <w:rPr>
          <w:rFonts w:hint="eastAsia"/>
        </w:rPr>
        <w:instrText xml:space="preserve"> </w:instrText>
      </w:r>
      <w:r>
        <w:instrText xml:space="preserve">PAGEREF _Toc242347088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"_Toc242347089" </w:instrText>
      </w:r>
      <w:r>
        <w:fldChar w:fldCharType="separate"/>
      </w:r>
      <w:r>
        <w:rPr>
          <w:rStyle w:val="137"/>
        </w:rPr>
        <w:t>（三）首期任务与材料范围</w:t>
      </w:r>
      <w:r>
        <w:rPr>
          <w:rFonts w:hint="eastAsia"/>
        </w:rPr>
        <w:tab/>
      </w:r>
      <w:r>
        <w:rPr>
          <w:rFonts w:hint="eastAsia"/>
        </w:rPr>
        <w:fldChar w:fldCharType="begin"/>
      </w:r>
      <w:r>
        <w:rPr>
          <w:rFonts w:hint="eastAsia"/>
        </w:rPr>
        <w:instrText xml:space="preserve"> </w:instrText>
      </w:r>
      <w:r>
        <w:instrText xml:space="preserve">PAGEREF _Toc242347089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"_Toc242347090" </w:instrText>
      </w:r>
      <w:r>
        <w:fldChar w:fldCharType="separate"/>
      </w:r>
      <w:r>
        <w:rPr>
          <w:rStyle w:val="137"/>
        </w:rPr>
        <w:t>（四）业务位置与协同关系</w:t>
      </w:r>
      <w:r>
        <w:rPr>
          <w:rFonts w:hint="eastAsia"/>
        </w:rPr>
        <w:tab/>
      </w:r>
      <w:r>
        <w:rPr>
          <w:rFonts w:hint="eastAsia"/>
        </w:rPr>
        <w:fldChar w:fldCharType="begin"/>
      </w:r>
      <w:r>
        <w:rPr>
          <w:rFonts w:hint="eastAsia"/>
        </w:rPr>
        <w:instrText xml:space="preserve"> </w:instrText>
      </w:r>
      <w:r>
        <w:instrText xml:space="preserve">PAGEREF _Toc242347090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"_Toc242347091" </w:instrText>
      </w:r>
      <w:r>
        <w:fldChar w:fldCharType="separate"/>
      </w:r>
      <w:r>
        <w:rPr>
          <w:rStyle w:val="137"/>
        </w:rPr>
        <w:t>（五）使用价值与适用范围</w:t>
      </w:r>
      <w:r>
        <w:rPr>
          <w:rFonts w:hint="eastAsia"/>
        </w:rPr>
        <w:tab/>
      </w:r>
      <w:r>
        <w:rPr>
          <w:rFonts w:hint="eastAsia"/>
        </w:rPr>
        <w:fldChar w:fldCharType="begin"/>
      </w:r>
      <w:r>
        <w:rPr>
          <w:rFonts w:hint="eastAsia"/>
        </w:rPr>
        <w:instrText xml:space="preserve"> </w:instrText>
      </w:r>
      <w:r>
        <w:instrText xml:space="preserve">PAGEREF _Toc242347091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pPr>
        <w:pStyle w:val="26"/>
        <w:keepNext w:val="0"/>
        <w:keepLines w:val="0"/>
        <w:widowControl/>
        <w:tabs>
          <w:tab w:val="right" w:leader="dot" w:pos="8722"/>
        </w:tabs>
        <w:kinsoku/>
        <w:wordWrap/>
        <w:overflowPunct/>
        <w:topLinePunct w:val="0"/>
        <w:autoSpaceDE/>
        <w:autoSpaceDN/>
        <w:bidi w:val="0"/>
        <w:adjustRightInd/>
        <w:snapToGrid/>
        <w:spacing w:line="480" w:lineRule="exact"/>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"_Toc242347092" </w:instrText>
      </w:r>
      <w:r>
        <w:fldChar w:fldCharType="separate"/>
      </w:r>
      <w:r>
        <w:rPr>
          <w:rStyle w:val="137"/>
        </w:rPr>
        <w:t>三、产品方案与业务流程</w:t>
      </w:r>
      <w:r>
        <w:rPr>
          <w:rFonts w:hint="eastAsia"/>
        </w:rPr>
        <w:tab/>
      </w:r>
      <w:r>
        <w:rPr>
          <w:rFonts w:hint="eastAsia"/>
        </w:rPr>
        <w:fldChar w:fldCharType="begin"/>
      </w:r>
      <w:r>
        <w:rPr>
          <w:rFonts w:hint="eastAsia"/>
        </w:rPr>
        <w:instrText xml:space="preserve"> </w:instrText>
      </w:r>
      <w:r>
        <w:instrText xml:space="preserve">PAGEREF _Toc242347092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"_Toc242347093" </w:instrText>
      </w:r>
      <w:r>
        <w:fldChar w:fldCharType="separate"/>
      </w:r>
      <w:r>
        <w:rPr>
          <w:rStyle w:val="137"/>
        </w:rPr>
        <w:t>（一）产品能力与处理边界</w:t>
      </w:r>
      <w:r>
        <w:rPr>
          <w:rFonts w:hint="eastAsia"/>
        </w:rPr>
        <w:tab/>
      </w:r>
      <w:r>
        <w:rPr>
          <w:rFonts w:hint="eastAsia"/>
        </w:rPr>
        <w:fldChar w:fldCharType="begin"/>
      </w:r>
      <w:r>
        <w:rPr>
          <w:rFonts w:hint="eastAsia"/>
        </w:rPr>
        <w:instrText xml:space="preserve"> </w:instrText>
      </w:r>
      <w:r>
        <w:instrText xml:space="preserve">PAGEREF _Toc242347093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"_Toc242347094" </w:instrText>
      </w:r>
      <w:r>
        <w:fldChar w:fldCharType="separate"/>
      </w:r>
      <w:r>
        <w:rPr>
          <w:rStyle w:val="137"/>
        </w:rPr>
        <w:t>（二）核验任务与判断方式</w:t>
      </w:r>
      <w:r>
        <w:rPr>
          <w:rFonts w:hint="eastAsia"/>
        </w:rPr>
        <w:tab/>
      </w:r>
      <w:r>
        <w:rPr>
          <w:rFonts w:hint="eastAsia"/>
        </w:rPr>
        <w:fldChar w:fldCharType="begin"/>
      </w:r>
      <w:r>
        <w:rPr>
          <w:rFonts w:hint="eastAsia"/>
        </w:rPr>
        <w:instrText xml:space="preserve"> </w:instrText>
      </w:r>
      <w:r>
        <w:instrText xml:space="preserve">PAGEREF _Toc242347094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"_Toc242347095" </w:instrText>
      </w:r>
      <w:r>
        <w:fldChar w:fldCharType="separate"/>
      </w:r>
      <w:r>
        <w:rPr>
          <w:rStyle w:val="137"/>
        </w:rPr>
        <w:t>（三）任务分流与快慢协同</w:t>
      </w:r>
      <w:r>
        <w:rPr>
          <w:rFonts w:hint="eastAsia"/>
        </w:rPr>
        <w:tab/>
      </w:r>
      <w:r>
        <w:rPr>
          <w:rFonts w:hint="eastAsia"/>
        </w:rPr>
        <w:fldChar w:fldCharType="begin"/>
      </w:r>
      <w:r>
        <w:rPr>
          <w:rFonts w:hint="eastAsia"/>
        </w:rPr>
        <w:instrText xml:space="preserve"> </w:instrText>
      </w:r>
      <w:r>
        <w:instrText xml:space="preserve">PAGEREF _Toc242347095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"_Toc242347096" </w:instrText>
      </w:r>
      <w:r>
        <w:fldChar w:fldCharType="separate"/>
      </w:r>
      <w:r>
        <w:rPr>
          <w:rStyle w:val="137"/>
        </w:rPr>
        <w:t>（四）工作台与原文核对</w:t>
      </w:r>
      <w:r>
        <w:rPr>
          <w:rFonts w:hint="eastAsia"/>
        </w:rPr>
        <w:tab/>
      </w:r>
      <w:r>
        <w:rPr>
          <w:rFonts w:hint="eastAsia"/>
        </w:rPr>
        <w:fldChar w:fldCharType="begin"/>
      </w:r>
      <w:r>
        <w:rPr>
          <w:rFonts w:hint="eastAsia"/>
        </w:rPr>
        <w:instrText xml:space="preserve"> </w:instrText>
      </w:r>
      <w:r>
        <w:instrText xml:space="preserve">PAGEREF _Toc242347096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"_Toc242347097" </w:instrText>
      </w:r>
      <w:r>
        <w:fldChar w:fldCharType="separate"/>
      </w:r>
      <w:r>
        <w:rPr>
          <w:rStyle w:val="137"/>
        </w:rPr>
        <w:t>（五）补件处理与版本管理</w:t>
      </w:r>
      <w:r>
        <w:rPr>
          <w:rFonts w:hint="eastAsia"/>
        </w:rPr>
        <w:tab/>
      </w:r>
      <w:r>
        <w:rPr>
          <w:rFonts w:hint="eastAsia"/>
        </w:rPr>
        <w:fldChar w:fldCharType="begin"/>
      </w:r>
      <w:r>
        <w:rPr>
          <w:rFonts w:hint="eastAsia"/>
        </w:rPr>
        <w:instrText xml:space="preserve"> </w:instrText>
      </w:r>
      <w:r>
        <w:instrText xml:space="preserve">PAGEREF _Toc242347097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"_Toc242347098" </w:instrText>
      </w:r>
      <w:r>
        <w:fldChar w:fldCharType="separate"/>
      </w:r>
      <w:r>
        <w:rPr>
          <w:rStyle w:val="137"/>
        </w:rPr>
        <w:t>（六）核验摘要与结果交接</w:t>
      </w:r>
      <w:r>
        <w:rPr>
          <w:rFonts w:hint="eastAsia"/>
        </w:rPr>
        <w:tab/>
      </w:r>
      <w:r>
        <w:rPr>
          <w:rFonts w:hint="eastAsia"/>
        </w:rPr>
        <w:fldChar w:fldCharType="begin"/>
      </w:r>
      <w:r>
        <w:rPr>
          <w:rFonts w:hint="eastAsia"/>
        </w:rPr>
        <w:instrText xml:space="preserve"> </w:instrText>
      </w:r>
      <w:r>
        <w:instrText xml:space="preserve">PAGEREF _Toc242347098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"_Toc242347099" </w:instrText>
      </w:r>
      <w:r>
        <w:fldChar w:fldCharType="separate"/>
      </w:r>
      <w:r>
        <w:rPr>
          <w:rStyle w:val="137"/>
        </w:rPr>
        <w:t>（七）运行模式与功能验证</w:t>
      </w:r>
      <w:r>
        <w:rPr>
          <w:rFonts w:hint="eastAsia"/>
        </w:rPr>
        <w:tab/>
      </w:r>
      <w:r>
        <w:rPr>
          <w:rFonts w:hint="eastAsia"/>
        </w:rPr>
        <w:fldChar w:fldCharType="begin"/>
      </w:r>
      <w:r>
        <w:rPr>
          <w:rFonts w:hint="eastAsia"/>
        </w:rPr>
        <w:instrText xml:space="preserve"> </w:instrText>
      </w:r>
      <w:r>
        <w:instrText xml:space="preserve">PAGEREF _Toc242347099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pPr>
        <w:pStyle w:val="26"/>
        <w:keepNext w:val="0"/>
        <w:keepLines w:val="0"/>
        <w:widowControl/>
        <w:tabs>
          <w:tab w:val="right" w:leader="dot" w:pos="8722"/>
        </w:tabs>
        <w:kinsoku/>
        <w:wordWrap/>
        <w:overflowPunct/>
        <w:topLinePunct w:val="0"/>
        <w:autoSpaceDE/>
        <w:autoSpaceDN/>
        <w:bidi w:val="0"/>
        <w:adjustRightInd/>
        <w:snapToGrid/>
        <w:spacing w:line="480" w:lineRule="exact"/>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"_Toc242347100" </w:instrText>
      </w:r>
      <w:r>
        <w:fldChar w:fldCharType="separate"/>
      </w:r>
      <w:r>
        <w:rPr>
          <w:rStyle w:val="137"/>
        </w:rPr>
        <w:t>四、技术架构与方案创新</w:t>
      </w:r>
      <w:r>
        <w:rPr>
          <w:rFonts w:hint="eastAsia"/>
        </w:rPr>
        <w:tab/>
      </w:r>
      <w:r>
        <w:rPr>
          <w:rFonts w:hint="eastAsia"/>
        </w:rPr>
        <w:fldChar w:fldCharType="begin"/>
      </w:r>
      <w:r>
        <w:rPr>
          <w:rFonts w:hint="eastAsia"/>
        </w:rPr>
        <w:instrText xml:space="preserve"> </w:instrText>
      </w:r>
      <w:r>
        <w:instrText xml:space="preserve">PAGEREF _Toc242347100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"_Toc242347101" </w:instrText>
      </w:r>
      <w:r>
        <w:fldChar w:fldCharType="separate"/>
      </w:r>
      <w:r>
        <w:rPr>
          <w:rStyle w:val="137"/>
        </w:rPr>
        <w:t>（一）分层架构与能力分工</w:t>
      </w:r>
      <w:r>
        <w:rPr>
          <w:rFonts w:hint="eastAsia"/>
        </w:rPr>
        <w:tab/>
      </w:r>
      <w:r>
        <w:rPr>
          <w:rFonts w:hint="eastAsia"/>
        </w:rPr>
        <w:fldChar w:fldCharType="begin"/>
      </w:r>
      <w:r>
        <w:rPr>
          <w:rFonts w:hint="eastAsia"/>
        </w:rPr>
        <w:instrText xml:space="preserve"> </w:instrText>
      </w:r>
      <w:r>
        <w:instrText xml:space="preserve">PAGEREF _Toc242347101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"_Toc242347102" </w:instrText>
      </w:r>
      <w:r>
        <w:fldChar w:fldCharType="separate"/>
      </w:r>
      <w:r>
        <w:rPr>
          <w:rStyle w:val="137"/>
        </w:rPr>
        <w:t>（二）材料组织与判断依据</w:t>
      </w:r>
      <w:r>
        <w:rPr>
          <w:rFonts w:hint="eastAsia"/>
        </w:rPr>
        <w:tab/>
      </w:r>
      <w:r>
        <w:rPr>
          <w:rFonts w:hint="eastAsia"/>
        </w:rPr>
        <w:fldChar w:fldCharType="begin"/>
      </w:r>
      <w:r>
        <w:rPr>
          <w:rFonts w:hint="eastAsia"/>
        </w:rPr>
        <w:instrText xml:space="preserve"> </w:instrText>
      </w:r>
      <w:r>
        <w:instrText xml:space="preserve">PAGEREF _Toc242347102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"_Toc242347103" </w:instrText>
      </w:r>
      <w:r>
        <w:fldChar w:fldCharType="separate"/>
      </w:r>
      <w:r>
        <w:rPr>
          <w:rStyle w:val="137"/>
        </w:rPr>
        <w:t>（三）模型适配与选型原则</w:t>
      </w:r>
      <w:r>
        <w:rPr>
          <w:rFonts w:hint="eastAsia"/>
        </w:rPr>
        <w:tab/>
      </w:r>
      <w:r>
        <w:rPr>
          <w:rFonts w:hint="eastAsia"/>
        </w:rPr>
        <w:fldChar w:fldCharType="begin"/>
      </w:r>
      <w:r>
        <w:rPr>
          <w:rFonts w:hint="eastAsia"/>
        </w:rPr>
        <w:instrText xml:space="preserve"> </w:instrText>
      </w:r>
      <w:r>
        <w:instrText xml:space="preserve">PAGEREF _Toc242347103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"_Toc242347104" </w:instrText>
      </w:r>
      <w:r>
        <w:fldChar w:fldCharType="separate"/>
      </w:r>
      <w:r>
        <w:rPr>
          <w:rStyle w:val="137"/>
        </w:rPr>
        <w:t>（四）金融场景适配创新</w:t>
      </w:r>
      <w:r>
        <w:rPr>
          <w:rFonts w:hint="eastAsia"/>
        </w:rPr>
        <w:tab/>
      </w:r>
      <w:r>
        <w:rPr>
          <w:rFonts w:hint="eastAsia"/>
        </w:rPr>
        <w:fldChar w:fldCharType="begin"/>
      </w:r>
      <w:r>
        <w:rPr>
          <w:rFonts w:hint="eastAsia"/>
        </w:rPr>
        <w:instrText xml:space="preserve"> </w:instrText>
      </w:r>
      <w:r>
        <w:instrText xml:space="preserve">PAGEREF _Toc242347104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"_Toc242347105" </w:instrText>
      </w:r>
      <w:r>
        <w:fldChar w:fldCharType="separate"/>
      </w:r>
      <w:r>
        <w:rPr>
          <w:rStyle w:val="137"/>
        </w:rPr>
        <w:t>（五）领域数据与验证设计</w:t>
      </w:r>
      <w:r>
        <w:rPr>
          <w:rFonts w:hint="eastAsia"/>
        </w:rPr>
        <w:tab/>
      </w:r>
      <w:r>
        <w:rPr>
          <w:rFonts w:hint="eastAsia"/>
        </w:rPr>
        <w:fldChar w:fldCharType="begin"/>
      </w:r>
      <w:r>
        <w:rPr>
          <w:rFonts w:hint="eastAsia"/>
        </w:rPr>
        <w:instrText xml:space="preserve"> </w:instrText>
      </w:r>
      <w:r>
        <w:instrText xml:space="preserve">PAGEREF _Toc242347105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"_Toc242347106" </w:instrText>
      </w:r>
      <w:r>
        <w:fldChar w:fldCharType="separate"/>
      </w:r>
      <w:r>
        <w:rPr>
          <w:rStyle w:val="137"/>
        </w:rPr>
        <w:t>（六）任务路由与异常接管</w:t>
      </w:r>
      <w:r>
        <w:rPr>
          <w:rFonts w:hint="eastAsia"/>
        </w:rPr>
        <w:tab/>
      </w:r>
      <w:r>
        <w:rPr>
          <w:rFonts w:hint="eastAsia"/>
        </w:rPr>
        <w:fldChar w:fldCharType="begin"/>
      </w:r>
      <w:r>
        <w:rPr>
          <w:rFonts w:hint="eastAsia"/>
        </w:rPr>
        <w:instrText xml:space="preserve"> </w:instrText>
      </w:r>
      <w:r>
        <w:instrText xml:space="preserve">PAGEREF _Toc242347106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"_Toc242347107" </w:instrText>
      </w:r>
      <w:r>
        <w:fldChar w:fldCharType="separate"/>
      </w:r>
      <w:r>
        <w:rPr>
          <w:rStyle w:val="137"/>
        </w:rPr>
        <w:t>（七）系统接口与业务适配</w:t>
      </w:r>
      <w:r>
        <w:rPr>
          <w:rFonts w:hint="eastAsia"/>
        </w:rPr>
        <w:tab/>
      </w:r>
      <w:r>
        <w:rPr>
          <w:rFonts w:hint="eastAsia"/>
        </w:rPr>
        <w:fldChar w:fldCharType="begin"/>
      </w:r>
      <w:r>
        <w:rPr>
          <w:rFonts w:hint="eastAsia"/>
        </w:rPr>
        <w:instrText xml:space="preserve"> </w:instrText>
      </w:r>
      <w:r>
        <w:instrText xml:space="preserve">PAGEREF _Toc242347107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pPr>
        <w:pStyle w:val="26"/>
        <w:keepNext w:val="0"/>
        <w:keepLines w:val="0"/>
        <w:widowControl/>
        <w:tabs>
          <w:tab w:val="right" w:leader="dot" w:pos="8722"/>
        </w:tabs>
        <w:kinsoku/>
        <w:wordWrap/>
        <w:overflowPunct/>
        <w:topLinePunct w:val="0"/>
        <w:autoSpaceDE/>
        <w:autoSpaceDN/>
        <w:bidi w:val="0"/>
        <w:adjustRightInd/>
        <w:snapToGrid/>
        <w:spacing w:line="480" w:lineRule="exact"/>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"_Toc242347108" </w:instrText>
      </w:r>
      <w:r>
        <w:fldChar w:fldCharType="separate"/>
      </w:r>
      <w:r>
        <w:rPr>
          <w:rStyle w:val="137"/>
        </w:rPr>
        <w:t>五、实验验证与结果分析</w:t>
      </w:r>
      <w:r>
        <w:rPr>
          <w:rFonts w:hint="eastAsia"/>
        </w:rPr>
        <w:tab/>
      </w:r>
      <w:r>
        <w:rPr>
          <w:rFonts w:hint="eastAsia"/>
        </w:rPr>
        <w:fldChar w:fldCharType="begin"/>
      </w:r>
      <w:r>
        <w:rPr>
          <w:rFonts w:hint="eastAsia"/>
        </w:rPr>
        <w:instrText xml:space="preserve"> </w:instrText>
      </w:r>
      <w:r>
        <w:instrText xml:space="preserve">PAGEREF _Toc242347108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"_Toc242347109" </w:instrText>
      </w:r>
      <w:r>
        <w:fldChar w:fldCharType="separate"/>
      </w:r>
      <w:r>
        <w:rPr>
          <w:rStyle w:val="137"/>
        </w:rPr>
        <w:t>（一）验证范围与评价口径</w:t>
      </w:r>
      <w:r>
        <w:rPr>
          <w:rFonts w:hint="eastAsia"/>
        </w:rPr>
        <w:tab/>
      </w:r>
      <w:r>
        <w:rPr>
          <w:rFonts w:hint="eastAsia"/>
        </w:rPr>
        <w:fldChar w:fldCharType="begin"/>
      </w:r>
      <w:r>
        <w:rPr>
          <w:rFonts w:hint="eastAsia"/>
        </w:rPr>
        <w:instrText xml:space="preserve"> </w:instrText>
      </w:r>
      <w:r>
        <w:instrText xml:space="preserve">PAGEREF _Toc242347109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"_Toc242347110" </w:instrText>
      </w:r>
      <w:r>
        <w:fldChar w:fldCharType="separate"/>
      </w:r>
      <w:r>
        <w:rPr>
          <w:rStyle w:val="137"/>
        </w:rPr>
        <w:t>（二）领域对照与结果分析</w:t>
      </w:r>
      <w:r>
        <w:rPr>
          <w:rFonts w:hint="eastAsia"/>
        </w:rPr>
        <w:tab/>
      </w:r>
      <w:r>
        <w:rPr>
          <w:rFonts w:hint="eastAsia"/>
        </w:rPr>
        <w:fldChar w:fldCharType="begin"/>
      </w:r>
      <w:r>
        <w:rPr>
          <w:rFonts w:hint="eastAsia"/>
        </w:rPr>
        <w:instrText xml:space="preserve"> </w:instrText>
      </w:r>
      <w:r>
        <w:instrText xml:space="preserve">PAGEREF _Toc242347110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"_Toc242347111" </w:instrText>
      </w:r>
      <w:r>
        <w:fldChar w:fldCharType="separate"/>
      </w:r>
      <w:r>
        <w:rPr>
          <w:rStyle w:val="137"/>
        </w:rPr>
        <w:t>（三）模型质量与业务效果</w:t>
      </w:r>
      <w:r>
        <w:rPr>
          <w:rFonts w:hint="eastAsia"/>
        </w:rPr>
        <w:tab/>
      </w:r>
      <w:r>
        <w:rPr>
          <w:rFonts w:hint="eastAsia"/>
        </w:rPr>
        <w:fldChar w:fldCharType="begin"/>
      </w:r>
      <w:r>
        <w:rPr>
          <w:rFonts w:hint="eastAsia"/>
        </w:rPr>
        <w:instrText xml:space="preserve"> </w:instrText>
      </w:r>
      <w:r>
        <w:instrText xml:space="preserve">PAGEREF _Toc242347111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"_Toc242347112" </w:instrText>
      </w:r>
      <w:r>
        <w:fldChar w:fldCharType="separate"/>
      </w:r>
      <w:r>
        <w:rPr>
          <w:rStyle w:val="137"/>
        </w:rPr>
        <w:t>（四）数据管理与版本验证</w:t>
      </w:r>
      <w:r>
        <w:rPr>
          <w:rFonts w:hint="eastAsia"/>
        </w:rPr>
        <w:tab/>
      </w:r>
      <w:r>
        <w:rPr>
          <w:rFonts w:hint="eastAsia"/>
        </w:rPr>
        <w:fldChar w:fldCharType="begin"/>
      </w:r>
      <w:r>
        <w:rPr>
          <w:rFonts w:hint="eastAsia"/>
        </w:rPr>
        <w:instrText xml:space="preserve"> </w:instrText>
      </w:r>
      <w:r>
        <w:instrText xml:space="preserve">PAGEREF _Toc242347112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"_Toc242347113" </w:instrText>
      </w:r>
      <w:r>
        <w:fldChar w:fldCharType="separate"/>
      </w:r>
      <w:r>
        <w:rPr>
          <w:rStyle w:val="137"/>
        </w:rPr>
        <w:t>（五）模型采用与验证安排</w:t>
      </w:r>
      <w:r>
        <w:rPr>
          <w:rFonts w:hint="eastAsia"/>
        </w:rPr>
        <w:tab/>
      </w:r>
      <w:r>
        <w:rPr>
          <w:rFonts w:hint="eastAsia"/>
        </w:rPr>
        <w:fldChar w:fldCharType="begin"/>
      </w:r>
      <w:r>
        <w:rPr>
          <w:rFonts w:hint="eastAsia"/>
        </w:rPr>
        <w:instrText xml:space="preserve"> </w:instrText>
      </w:r>
      <w:r>
        <w:instrText xml:space="preserve">PAGEREF _Toc242347113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pPr>
        <w:pStyle w:val="26"/>
        <w:keepNext w:val="0"/>
        <w:keepLines w:val="0"/>
        <w:widowControl/>
        <w:tabs>
          <w:tab w:val="right" w:leader="dot" w:pos="8722"/>
        </w:tabs>
        <w:kinsoku/>
        <w:wordWrap/>
        <w:overflowPunct/>
        <w:topLinePunct w:val="0"/>
        <w:autoSpaceDE/>
        <w:autoSpaceDN/>
        <w:bidi w:val="0"/>
        <w:adjustRightInd/>
        <w:snapToGrid/>
        <w:spacing w:line="480" w:lineRule="exact"/>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"_Toc242347114" </w:instrText>
      </w:r>
      <w:r>
        <w:fldChar w:fldCharType="separate"/>
      </w:r>
      <w:r>
        <w:rPr>
          <w:rStyle w:val="137"/>
        </w:rPr>
        <w:t>六、业务价值与成本分析</w:t>
      </w:r>
      <w:r>
        <w:rPr>
          <w:rFonts w:hint="eastAsia"/>
        </w:rPr>
        <w:tab/>
      </w:r>
      <w:r>
        <w:rPr>
          <w:rFonts w:hint="eastAsia"/>
        </w:rPr>
        <w:fldChar w:fldCharType="begin"/>
      </w:r>
      <w:r>
        <w:rPr>
          <w:rFonts w:hint="eastAsia"/>
        </w:rPr>
        <w:instrText xml:space="preserve"> </w:instrText>
      </w:r>
      <w:r>
        <w:instrText xml:space="preserve">PAGEREF _Toc242347114 \h</w:instrText>
      </w:r>
      <w:r>
        <w:rPr>
          <w:rFonts w:hint="eastAsia"/>
        </w:rPr>
        <w:instrText xml:space="preserve"> </w:instrText>
      </w:r>
      <w:r>
        <w:rPr>
          <w:rFonts w:hint="eastAsia"/>
        </w:rPr>
        <w:fldChar w:fldCharType="separate"/>
      </w:r>
      <w:r>
        <w:rPr>
          <w:rFonts w:hint="eastAsia"/>
        </w:rPr>
        <w:t>38</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"_Toc242347115" </w:instrText>
      </w:r>
      <w:r>
        <w:fldChar w:fldCharType="separate"/>
      </w:r>
      <w:r>
        <w:rPr>
          <w:rStyle w:val="137"/>
        </w:rPr>
        <w:t>（一）业务价值与评价范围</w:t>
      </w:r>
      <w:r>
        <w:rPr>
          <w:rFonts w:hint="eastAsia"/>
        </w:rPr>
        <w:tab/>
      </w:r>
      <w:r>
        <w:rPr>
          <w:rFonts w:hint="eastAsia"/>
        </w:rPr>
        <w:fldChar w:fldCharType="begin"/>
      </w:r>
      <w:r>
        <w:rPr>
          <w:rFonts w:hint="eastAsia"/>
        </w:rPr>
        <w:instrText xml:space="preserve"> </w:instrText>
      </w:r>
      <w:r>
        <w:instrText xml:space="preserve">PAGEREF _Toc242347115 \h</w:instrText>
      </w:r>
      <w:r>
        <w:rPr>
          <w:rFonts w:hint="eastAsia"/>
        </w:rPr>
        <w:instrText xml:space="preserve"> </w:instrText>
      </w:r>
      <w:r>
        <w:rPr>
          <w:rFonts w:hint="eastAsia"/>
        </w:rPr>
        <w:fldChar w:fldCharType="separate"/>
      </w:r>
      <w:r>
        <w:rPr>
          <w:rFonts w:hint="eastAsia"/>
        </w:rPr>
        <w:t>38</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"_Toc242347116" </w:instrText>
      </w:r>
      <w:r>
        <w:fldChar w:fldCharType="separate"/>
      </w:r>
      <w:r>
        <w:rPr>
          <w:rStyle w:val="137"/>
        </w:rPr>
        <w:t>（二）核验质量与工作效率</w:t>
      </w:r>
      <w:r>
        <w:rPr>
          <w:rFonts w:hint="eastAsia"/>
        </w:rPr>
        <w:tab/>
      </w:r>
      <w:r>
        <w:rPr>
          <w:rFonts w:hint="eastAsia"/>
        </w:rPr>
        <w:fldChar w:fldCharType="begin"/>
      </w:r>
      <w:r>
        <w:rPr>
          <w:rFonts w:hint="eastAsia"/>
        </w:rPr>
        <w:instrText xml:space="preserve"> </w:instrText>
      </w:r>
      <w:r>
        <w:instrText xml:space="preserve">PAGEREF _Toc242347116 \h</w:instrText>
      </w:r>
      <w:r>
        <w:rPr>
          <w:rFonts w:hint="eastAsia"/>
        </w:rPr>
        <w:instrText xml:space="preserve"> </w:instrText>
      </w:r>
      <w:r>
        <w:rPr>
          <w:rFonts w:hint="eastAsia"/>
        </w:rPr>
        <w:fldChar w:fldCharType="separate"/>
      </w:r>
      <w:r>
        <w:rPr>
          <w:rFonts w:hint="eastAsia"/>
        </w:rPr>
        <w:t>39</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"_Toc242347117" </w:instrText>
      </w:r>
      <w:r>
        <w:fldChar w:fldCharType="separate"/>
      </w:r>
      <w:r>
        <w:rPr>
          <w:rStyle w:val="137"/>
        </w:rPr>
        <w:t>（三）服务计费与完整成本</w:t>
      </w:r>
      <w:r>
        <w:rPr>
          <w:rFonts w:hint="eastAsia"/>
        </w:rPr>
        <w:tab/>
      </w:r>
      <w:r>
        <w:rPr>
          <w:rFonts w:hint="eastAsia"/>
        </w:rPr>
        <w:fldChar w:fldCharType="begin"/>
      </w:r>
      <w:r>
        <w:rPr>
          <w:rFonts w:hint="eastAsia"/>
        </w:rPr>
        <w:instrText xml:space="preserve"> </w:instrText>
      </w:r>
      <w:r>
        <w:instrText xml:space="preserve">PAGEREF _Toc242347117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"_Toc242347118" </w:instrText>
      </w:r>
      <w:r>
        <w:fldChar w:fldCharType="separate"/>
      </w:r>
      <w:r>
        <w:rPr>
          <w:rStyle w:val="137"/>
        </w:rPr>
        <w:t>（四）收益测量与采用条件</w:t>
      </w:r>
      <w:r>
        <w:rPr>
          <w:rFonts w:hint="eastAsia"/>
        </w:rPr>
        <w:tab/>
      </w:r>
      <w:r>
        <w:rPr>
          <w:rFonts w:hint="eastAsia"/>
        </w:rPr>
        <w:fldChar w:fldCharType="begin"/>
      </w:r>
      <w:r>
        <w:rPr>
          <w:rFonts w:hint="eastAsia"/>
        </w:rPr>
        <w:instrText xml:space="preserve"> </w:instrText>
      </w:r>
      <w:r>
        <w:instrText xml:space="preserve">PAGEREF _Toc242347118 \h</w:instrText>
      </w:r>
      <w:r>
        <w:rPr>
          <w:rFonts w:hint="eastAsia"/>
        </w:rPr>
        <w:instrText xml:space="preserve"> </w:instrText>
      </w:r>
      <w:r>
        <w:rPr>
          <w:rFonts w:hint="eastAsia"/>
        </w:rPr>
        <w:fldChar w:fldCharType="separate"/>
      </w:r>
      <w:r>
        <w:rPr>
          <w:rFonts w:hint="eastAsia"/>
        </w:rPr>
        <w:t>41</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"_Toc242347119" </w:instrText>
      </w:r>
      <w:r>
        <w:fldChar w:fldCharType="separate"/>
      </w:r>
      <w:r>
        <w:rPr>
          <w:rStyle w:val="137"/>
        </w:rPr>
        <w:t>（五）交付内容与服务方式</w:t>
      </w:r>
      <w:r>
        <w:rPr>
          <w:rFonts w:hint="eastAsia"/>
        </w:rPr>
        <w:tab/>
      </w:r>
      <w:r>
        <w:rPr>
          <w:rFonts w:hint="eastAsia"/>
        </w:rPr>
        <w:fldChar w:fldCharType="begin"/>
      </w:r>
      <w:r>
        <w:rPr>
          <w:rFonts w:hint="eastAsia"/>
        </w:rPr>
        <w:instrText xml:space="preserve"> </w:instrText>
      </w:r>
      <w:r>
        <w:instrText xml:space="preserve">PAGEREF _Toc242347119 \h</w:instrText>
      </w:r>
      <w:r>
        <w:rPr>
          <w:rFonts w:hint="eastAsia"/>
        </w:rPr>
        <w:instrText xml:space="preserve"> </w:instrText>
      </w:r>
      <w:r>
        <w:rPr>
          <w:rFonts w:hint="eastAsia"/>
        </w:rPr>
        <w:fldChar w:fldCharType="separate"/>
      </w:r>
      <w:r>
        <w:rPr>
          <w:rFonts w:hint="eastAsia"/>
        </w:rPr>
        <w:t>42</w:t>
      </w:r>
      <w:r>
        <w:rPr>
          <w:rFonts w:hint="eastAsia"/>
        </w:rPr>
        <w:fldChar w:fldCharType="end"/>
      </w:r>
      <w:r>
        <w:rPr>
          <w:rFonts w:hint="eastAsia"/>
        </w:rPr>
        <w:fldChar w:fldCharType="end"/>
      </w:r>
    </w:p>
    <w:p>
      <w:pPr>
        <w:pStyle w:val="26"/>
        <w:keepNext w:val="0"/>
        <w:keepLines w:val="0"/>
        <w:widowControl/>
        <w:tabs>
          <w:tab w:val="right" w:leader="dot" w:pos="8722"/>
        </w:tabs>
        <w:kinsoku/>
        <w:wordWrap/>
        <w:overflowPunct/>
        <w:topLinePunct w:val="0"/>
        <w:autoSpaceDE/>
        <w:autoSpaceDN/>
        <w:bidi w:val="0"/>
        <w:adjustRightInd/>
        <w:snapToGrid/>
        <w:spacing w:line="480" w:lineRule="exact"/>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"_Toc242347120" </w:instrText>
      </w:r>
      <w:r>
        <w:fldChar w:fldCharType="separate"/>
      </w:r>
      <w:r>
        <w:rPr>
          <w:rStyle w:val="137"/>
        </w:rPr>
        <w:t>七、风险管理与数据治理</w:t>
      </w:r>
      <w:r>
        <w:rPr>
          <w:rFonts w:hint="eastAsia"/>
        </w:rPr>
        <w:tab/>
      </w:r>
      <w:r>
        <w:rPr>
          <w:rFonts w:hint="eastAsia"/>
        </w:rPr>
        <w:fldChar w:fldCharType="begin"/>
      </w:r>
      <w:r>
        <w:rPr>
          <w:rFonts w:hint="eastAsia"/>
        </w:rPr>
        <w:instrText xml:space="preserve"> </w:instrText>
      </w:r>
      <w:r>
        <w:instrText xml:space="preserve">PAGEREF _Toc242347120 \h</w:instrText>
      </w:r>
      <w:r>
        <w:rPr>
          <w:rFonts w:hint="eastAsia"/>
        </w:rPr>
        <w:instrText xml:space="preserve"> </w:instrText>
      </w:r>
      <w:r>
        <w:rPr>
          <w:rFonts w:hint="eastAsia"/>
        </w:rPr>
        <w:fldChar w:fldCharType="separate"/>
      </w:r>
      <w:r>
        <w:rPr>
          <w:rFonts w:hint="eastAsia"/>
        </w:rPr>
        <w:t>43</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"_Toc242347121" </w:instrText>
      </w:r>
      <w:r>
        <w:fldChar w:fldCharType="separate"/>
      </w:r>
      <w:r>
        <w:rPr>
          <w:rStyle w:val="137"/>
        </w:rPr>
        <w:t>（一）数据使用与责任分工</w:t>
      </w:r>
      <w:r>
        <w:rPr>
          <w:rFonts w:hint="eastAsia"/>
        </w:rPr>
        <w:tab/>
      </w:r>
      <w:r>
        <w:rPr>
          <w:rFonts w:hint="eastAsia"/>
        </w:rPr>
        <w:fldChar w:fldCharType="begin"/>
      </w:r>
      <w:r>
        <w:rPr>
          <w:rFonts w:hint="eastAsia"/>
        </w:rPr>
        <w:instrText xml:space="preserve"> </w:instrText>
      </w:r>
      <w:r>
        <w:instrText xml:space="preserve">PAGEREF _Toc242347121 \h</w:instrText>
      </w:r>
      <w:r>
        <w:rPr>
          <w:rFonts w:hint="eastAsia"/>
        </w:rPr>
        <w:instrText xml:space="preserve"> </w:instrText>
      </w:r>
      <w:r>
        <w:rPr>
          <w:rFonts w:hint="eastAsia"/>
        </w:rPr>
        <w:fldChar w:fldCharType="separate"/>
      </w:r>
      <w:r>
        <w:rPr>
          <w:rFonts w:hint="eastAsia"/>
        </w:rPr>
        <w:t>43</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"_Toc242347122" </w:instrText>
      </w:r>
      <w:r>
        <w:fldChar w:fldCharType="separate"/>
      </w:r>
      <w:r>
        <w:rPr>
          <w:rStyle w:val="137"/>
        </w:rPr>
        <w:t>（二）证据管理与版本留存</w:t>
      </w:r>
      <w:r>
        <w:rPr>
          <w:rFonts w:hint="eastAsia"/>
        </w:rPr>
        <w:tab/>
      </w:r>
      <w:r>
        <w:rPr>
          <w:rFonts w:hint="eastAsia"/>
        </w:rPr>
        <w:fldChar w:fldCharType="begin"/>
      </w:r>
      <w:r>
        <w:rPr>
          <w:rFonts w:hint="eastAsia"/>
        </w:rPr>
        <w:instrText xml:space="preserve"> </w:instrText>
      </w:r>
      <w:r>
        <w:instrText xml:space="preserve">PAGEREF _Toc242347122 \h</w:instrText>
      </w:r>
      <w:r>
        <w:rPr>
          <w:rFonts w:hint="eastAsia"/>
        </w:rPr>
        <w:instrText xml:space="preserve"> </w:instrText>
      </w:r>
      <w:r>
        <w:rPr>
          <w:rFonts w:hint="eastAsia"/>
        </w:rPr>
        <w:fldChar w:fldCharType="separate"/>
      </w:r>
      <w:r>
        <w:rPr>
          <w:rFonts w:hint="eastAsia"/>
        </w:rPr>
        <w:t>44</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"_Toc242347123" </w:instrText>
      </w:r>
      <w:r>
        <w:fldChar w:fldCharType="separate"/>
      </w:r>
      <w:r>
        <w:rPr>
          <w:rStyle w:val="137"/>
        </w:rPr>
        <w:t>（三）风险识别与处置机制</w:t>
      </w:r>
      <w:r>
        <w:rPr>
          <w:rFonts w:hint="eastAsia"/>
        </w:rPr>
        <w:tab/>
      </w:r>
      <w:r>
        <w:rPr>
          <w:rFonts w:hint="eastAsia"/>
        </w:rPr>
        <w:fldChar w:fldCharType="begin"/>
      </w:r>
      <w:r>
        <w:rPr>
          <w:rFonts w:hint="eastAsia"/>
        </w:rPr>
        <w:instrText xml:space="preserve"> </w:instrText>
      </w:r>
      <w:r>
        <w:instrText xml:space="preserve">PAGEREF _Toc242347123 \h</w:instrText>
      </w:r>
      <w:r>
        <w:rPr>
          <w:rFonts w:hint="eastAsia"/>
        </w:rPr>
        <w:instrText xml:space="preserve"> </w:instrText>
      </w:r>
      <w:r>
        <w:rPr>
          <w:rFonts w:hint="eastAsia"/>
        </w:rPr>
        <w:fldChar w:fldCharType="separate"/>
      </w:r>
      <w:r>
        <w:rPr>
          <w:rFonts w:hint="eastAsia"/>
        </w:rPr>
        <w:t>45</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"_Toc242347124" </w:instrText>
      </w:r>
      <w:r>
        <w:fldChar w:fldCharType="separate"/>
      </w:r>
      <w:r>
        <w:rPr>
          <w:rStyle w:val="137"/>
        </w:rPr>
        <w:t>（四）停止使用与恢复条件</w:t>
      </w:r>
      <w:r>
        <w:rPr>
          <w:rFonts w:hint="eastAsia"/>
        </w:rPr>
        <w:tab/>
      </w:r>
      <w:r>
        <w:rPr>
          <w:rFonts w:hint="eastAsia"/>
        </w:rPr>
        <w:fldChar w:fldCharType="begin"/>
      </w:r>
      <w:r>
        <w:rPr>
          <w:rFonts w:hint="eastAsia"/>
        </w:rPr>
        <w:instrText xml:space="preserve"> </w:instrText>
      </w:r>
      <w:r>
        <w:instrText xml:space="preserve">PAGEREF _Toc242347124 \h</w:instrText>
      </w:r>
      <w:r>
        <w:rPr>
          <w:rFonts w:hint="eastAsia"/>
        </w:rPr>
        <w:instrText xml:space="preserve"> </w:instrText>
      </w:r>
      <w:r>
        <w:rPr>
          <w:rFonts w:hint="eastAsia"/>
        </w:rPr>
        <w:fldChar w:fldCharType="separate"/>
      </w:r>
      <w:r>
        <w:rPr>
          <w:rFonts w:hint="eastAsia"/>
        </w:rPr>
        <w:t>46</w:t>
      </w:r>
      <w:r>
        <w:rPr>
          <w:rFonts w:hint="eastAsia"/>
        </w:rPr>
        <w:fldChar w:fldCharType="end"/>
      </w:r>
      <w:r>
        <w:rPr>
          <w:rFonts w:hint="eastAsia"/>
        </w:rPr>
        <w:fldChar w:fldCharType="end"/>
      </w:r>
    </w:p>
    <w:p>
      <w:pPr>
        <w:pStyle w:val="26"/>
        <w:keepNext w:val="0"/>
        <w:keepLines w:val="0"/>
        <w:widowControl/>
        <w:tabs>
          <w:tab w:val="right" w:leader="dot" w:pos="8722"/>
        </w:tabs>
        <w:kinsoku/>
        <w:wordWrap/>
        <w:overflowPunct/>
        <w:topLinePunct w:val="0"/>
        <w:autoSpaceDE/>
        <w:autoSpaceDN/>
        <w:bidi w:val="0"/>
        <w:adjustRightInd/>
        <w:snapToGrid/>
        <w:spacing w:line="480" w:lineRule="exact"/>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"_Toc242347125" </w:instrText>
      </w:r>
      <w:r>
        <w:fldChar w:fldCharType="separate"/>
      </w:r>
      <w:r>
        <w:rPr>
          <w:rStyle w:val="137"/>
        </w:rPr>
        <w:t>八、实施路径与推广规划</w:t>
      </w:r>
      <w:r>
        <w:rPr>
          <w:rFonts w:hint="eastAsia"/>
        </w:rPr>
        <w:tab/>
      </w:r>
      <w:r>
        <w:rPr>
          <w:rFonts w:hint="eastAsia"/>
        </w:rPr>
        <w:fldChar w:fldCharType="begin"/>
      </w:r>
      <w:r>
        <w:rPr>
          <w:rFonts w:hint="eastAsia"/>
        </w:rPr>
        <w:instrText xml:space="preserve"> </w:instrText>
      </w:r>
      <w:r>
        <w:instrText xml:space="preserve">PAGEREF _Toc242347125 \h</w:instrText>
      </w:r>
      <w:r>
        <w:rPr>
          <w:rFonts w:hint="eastAsia"/>
        </w:rPr>
        <w:instrText xml:space="preserve"> </w:instrText>
      </w:r>
      <w:r>
        <w:rPr>
          <w:rFonts w:hint="eastAsia"/>
        </w:rPr>
        <w:fldChar w:fldCharType="separate"/>
      </w:r>
      <w:r>
        <w:rPr>
          <w:rFonts w:hint="eastAsia"/>
        </w:rPr>
        <w:t>46</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"_Toc242347126" </w:instrText>
      </w:r>
      <w:r>
        <w:fldChar w:fldCharType="separate"/>
      </w:r>
      <w:r>
        <w:rPr>
          <w:rStyle w:val="137"/>
        </w:rPr>
        <w:t>（一）实施阶段与验收条件</w:t>
      </w:r>
      <w:r>
        <w:rPr>
          <w:rFonts w:hint="eastAsia"/>
        </w:rPr>
        <w:tab/>
      </w:r>
      <w:r>
        <w:rPr>
          <w:rFonts w:hint="eastAsia"/>
        </w:rPr>
        <w:fldChar w:fldCharType="begin"/>
      </w:r>
      <w:r>
        <w:rPr>
          <w:rFonts w:hint="eastAsia"/>
        </w:rPr>
        <w:instrText xml:space="preserve"> </w:instrText>
      </w:r>
      <w:r>
        <w:instrText xml:space="preserve">PAGEREF _Toc242347126 \h</w:instrText>
      </w:r>
      <w:r>
        <w:rPr>
          <w:rFonts w:hint="eastAsia"/>
        </w:rPr>
        <w:instrText xml:space="preserve"> </w:instrText>
      </w:r>
      <w:r>
        <w:rPr>
          <w:rFonts w:hint="eastAsia"/>
        </w:rPr>
        <w:fldChar w:fldCharType="separate"/>
      </w:r>
      <w:r>
        <w:rPr>
          <w:rFonts w:hint="eastAsia"/>
        </w:rPr>
        <w:t>46</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"_Toc242347127" </w:instrText>
      </w:r>
      <w:r>
        <w:fldChar w:fldCharType="separate"/>
      </w:r>
      <w:r>
        <w:rPr>
          <w:rStyle w:val="137"/>
        </w:rPr>
        <w:t>（二）工小审任务适配</w:t>
      </w:r>
      <w:r>
        <w:rPr>
          <w:rFonts w:hint="eastAsia"/>
        </w:rPr>
        <w:tab/>
      </w:r>
      <w:r>
        <w:rPr>
          <w:rFonts w:hint="eastAsia"/>
        </w:rPr>
        <w:fldChar w:fldCharType="begin"/>
      </w:r>
      <w:r>
        <w:rPr>
          <w:rFonts w:hint="eastAsia"/>
        </w:rPr>
        <w:instrText xml:space="preserve"> </w:instrText>
      </w:r>
      <w:r>
        <w:instrText xml:space="preserve">PAGEREF _Toc242347127 \h</w:instrText>
      </w:r>
      <w:r>
        <w:rPr>
          <w:rFonts w:hint="eastAsia"/>
        </w:rPr>
        <w:instrText xml:space="preserve"> </w:instrText>
      </w:r>
      <w:r>
        <w:rPr>
          <w:rFonts w:hint="eastAsia"/>
        </w:rPr>
        <w:fldChar w:fldCharType="separate"/>
      </w:r>
      <w:r>
        <w:rPr>
          <w:rFonts w:hint="eastAsia"/>
        </w:rPr>
        <w:t>48</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"_Toc242347128" </w:instrText>
      </w:r>
      <w:r>
        <w:fldChar w:fldCharType="separate"/>
      </w:r>
      <w:r>
        <w:rPr>
          <w:rStyle w:val="137"/>
        </w:rPr>
        <w:t>（三）银行离线评估与受控使用</w:t>
      </w:r>
      <w:r>
        <w:rPr>
          <w:rFonts w:hint="eastAsia"/>
        </w:rPr>
        <w:tab/>
      </w:r>
      <w:r>
        <w:rPr>
          <w:rFonts w:hint="eastAsia"/>
        </w:rPr>
        <w:fldChar w:fldCharType="begin"/>
      </w:r>
      <w:r>
        <w:rPr>
          <w:rFonts w:hint="eastAsia"/>
        </w:rPr>
        <w:instrText xml:space="preserve"> </w:instrText>
      </w:r>
      <w:r>
        <w:instrText xml:space="preserve">PAGEREF _Toc242347128 \h</w:instrText>
      </w:r>
      <w:r>
        <w:rPr>
          <w:rFonts w:hint="eastAsia"/>
        </w:rPr>
        <w:instrText xml:space="preserve"> </w:instrText>
      </w:r>
      <w:r>
        <w:rPr>
          <w:rFonts w:hint="eastAsia"/>
        </w:rPr>
        <w:fldChar w:fldCharType="separate"/>
      </w:r>
      <w:r>
        <w:rPr>
          <w:rFonts w:hint="eastAsia"/>
        </w:rPr>
        <w:t>48</w:t>
      </w:r>
      <w:r>
        <w:rPr>
          <w:rFonts w:hint="eastAsia"/>
        </w:rPr>
        <w:fldChar w:fldCharType="end"/>
      </w:r>
      <w:r>
        <w:rPr>
          <w:rFonts w:hint="eastAsia"/>
        </w:rPr>
        <w:fldChar w:fldCharType="end"/>
      </w:r>
    </w:p>
    <w:p>
      <w:pPr>
        <w:pStyle w:val="29"/>
        <w:keepNext w:val="0"/>
        <w:keepLines w:val="0"/>
        <w:widowControl/>
        <w:tabs>
          <w:tab w:val="right" w:leader="dot" w:pos="8722"/>
        </w:tabs>
        <w:kinsoku/>
        <w:wordWrap/>
        <w:overflowPunct/>
        <w:topLinePunct w:val="0"/>
        <w:autoSpaceDE/>
        <w:autoSpaceDN/>
        <w:bidi w:val="0"/>
        <w:adjustRightInd/>
        <w:snapToGrid/>
        <w:spacing w:line="480" w:lineRule="exact"/>
        <w:ind w:left="640"/>
        <w:textAlignment w:val="auto"/>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"_Toc242347129" </w:instrText>
      </w:r>
      <w:r>
        <w:fldChar w:fldCharType="separate"/>
      </w:r>
      <w:r>
        <w:rPr>
          <w:rStyle w:val="137"/>
        </w:rPr>
        <w:t>（四）阶段交付与任务扩展</w:t>
      </w:r>
      <w:r>
        <w:rPr>
          <w:rFonts w:hint="eastAsia"/>
        </w:rPr>
        <w:tab/>
      </w:r>
      <w:r>
        <w:rPr>
          <w:rFonts w:hint="eastAsia"/>
        </w:rPr>
        <w:fldChar w:fldCharType="begin"/>
      </w:r>
      <w:r>
        <w:rPr>
          <w:rFonts w:hint="eastAsia"/>
        </w:rPr>
        <w:instrText xml:space="preserve"> </w:instrText>
      </w:r>
      <w:r>
        <w:instrText xml:space="preserve">PAGEREF _Toc242347129 \h</w:instrText>
      </w:r>
      <w:r>
        <w:rPr>
          <w:rFonts w:hint="eastAsia"/>
        </w:rPr>
        <w:instrText xml:space="preserve"> </w:instrText>
      </w:r>
      <w:r>
        <w:rPr>
          <w:rFonts w:hint="eastAsia"/>
        </w:rPr>
        <w:fldChar w:fldCharType="separate"/>
      </w:r>
      <w:r>
        <w:rPr>
          <w:rFonts w:hint="eastAsia"/>
        </w:rPr>
        <w:t>49</w:t>
      </w:r>
      <w:r>
        <w:rPr>
          <w:rFonts w:hint="eastAsia"/>
        </w:rPr>
        <w:fldChar w:fldCharType="end"/>
      </w:r>
      <w:r>
        <w:rPr>
          <w:rFonts w:hint="eastAsia"/>
        </w:rPr>
        <w:fldChar w:fldCharType="end"/>
      </w:r>
    </w:p>
    <w:p>
      <w:pPr>
        <w:keepNext w:val="0"/>
        <w:keepLines w:val="0"/>
        <w:widowControl/>
        <w:kinsoku/>
        <w:wordWrap/>
        <w:overflowPunct/>
        <w:topLinePunct w:val="0"/>
        <w:autoSpaceDE/>
        <w:autoSpaceDN/>
        <w:bidi w:val="0"/>
        <w:adjustRightInd/>
        <w:snapToGrid/>
        <w:spacing w:line="480" w:lineRule="exact"/>
        <w:jc w:val="both"/>
        <w:textAlignment w:val="auto"/>
        <w:rPr>
          <w:rFonts w:hint="eastAsia"/>
        </w:rPr>
      </w:pPr>
      <w:r>
        <w:fldChar w:fldCharType="end"/>
      </w:r>
    </w:p>
    <w:p>
      <w:pPr>
        <w:pStyle w:val="3"/>
        <w:keepNext w:val="0"/>
        <w:keepLines w:val="0"/>
        <w:pageBreakBefore/>
        <w:widowControl/>
        <w:kinsoku/>
        <w:wordWrap/>
        <w:overflowPunct/>
        <w:topLinePunct w:val="0"/>
        <w:autoSpaceDE/>
        <w:autoSpaceDN/>
        <w:bidi w:val="0"/>
        <w:adjustRightInd/>
        <w:snapToGrid/>
        <w:jc w:val="both"/>
        <w:textAlignment w:val="auto"/>
        <w:rPr>
          <w:rFonts w:hint="eastAsia"/>
        </w:rPr>
        <w:sectPr>
          <w:footerReference r:id="rId5" w:type="default"/>
          <w:type w:val="continuous"/>
          <w:pgSz w:w="11906" w:h="16838"/>
          <w:pgMar w:top="1701" w:right="1587" w:bottom="1587" w:left="1587" w:header="567" w:footer="624" w:gutter="0"/>
          <w:pgNumType w:fmt="upperRoman" w:start="1"/>
          <w:cols w:space="720" w:num="1"/>
        </w:sectPr>
      </w:pPr>
    </w:p>
    <w:p>
      <w:pPr>
        <w:pStyle w:val="3"/>
        <w:keepNext w:val="0"/>
        <w:keepLines w:val="0"/>
        <w:pageBreakBefore/>
        <w:widowControl/>
        <w:kinsoku/>
        <w:wordWrap/>
        <w:overflowPunct/>
        <w:topLinePunct w:val="0"/>
        <w:autoSpaceDE/>
        <w:autoSpaceDN/>
        <w:bidi w:val="0"/>
        <w:adjustRightInd/>
        <w:snapToGrid/>
        <w:jc w:val="both"/>
        <w:textAlignment w:val="auto"/>
        <w:rPr>
          <w:rFonts w:hint="eastAsia"/>
        </w:rPr>
      </w:pPr>
      <w:bookmarkStart w:id="3" w:name="_Toc242347081"/>
      <w:r>
        <w:t>一、项目背景</w:t>
      </w:r>
      <w:bookmarkEnd w:id="3"/>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4" w:name="_Toc242347082"/>
      <w:r>
        <w:t>（一）数字金融政策背景</w:t>
      </w:r>
      <w:bookmarkEnd w:id="4"/>
    </w:p>
    <w:p>
      <w:pPr>
        <w:keepNext w:val="0"/>
        <w:keepLines w:val="0"/>
        <w:widowControl/>
        <w:kinsoku/>
        <w:wordWrap/>
        <w:overflowPunct/>
        <w:topLinePunct w:val="0"/>
        <w:autoSpaceDE/>
        <w:autoSpaceDN/>
        <w:bidi w:val="0"/>
        <w:adjustRightInd/>
        <w:snapToGrid/>
        <w:ind w:firstLine="640"/>
        <w:jc w:val="both"/>
        <w:textAlignment w:val="auto"/>
        <w:rPr>
          <w:rFonts w:hint="eastAsia"/>
          <w:color w:val="000000" w:themeColor="text1"/>
          <w:vertAlign w:val="superscript"/>
          <w14:textFill>
            <w14:solidFill>
              <w14:schemeClr w14:val="tx1"/>
            </w14:solidFill>
          </w14:textFill>
        </w:rPr>
      </w:pPr>
      <w:r>
        <w:t>本项目立足数字金融赛道，以普惠信贷材料评审为应用场景，研究数字技术如何改善信息处理、任务配置与人机协同。《国务院关于推进普惠金融高质量发展的实施意见》提出推进数字普惠金融发展，为运用数字技术改善小微金融服务提供政策依据。</w:t>
      </w:r>
      <w:r>
        <w:rPr>
          <w:color w:val="000000" w:themeColor="text1"/>
          <w:vertAlign w:val="superscript"/>
          <w14:textFill>
            <w14:solidFill>
              <w14:schemeClr w14:val="tx1"/>
            </w14:solidFill>
          </w14:textFill>
        </w:rPr>
        <w:t>[</w:t>
      </w:r>
      <w:bookmarkStart w:id="5" w:name="SourceS10"/>
      <w:r>
        <w:rPr>
          <w:color w:val="000000" w:themeColor="text1"/>
          <w:vertAlign w:val="superscript"/>
          <w14:textFill>
            <w14:solidFill>
              <w14:schemeClr w14:val="tx1"/>
            </w14:solidFill>
          </w14:textFill>
        </w:rPr>
        <w:footnoteReference w:id="0"/>
      </w:r>
      <w:bookmarkEnd w:id="5"/>
      <w:r>
        <w:rPr>
          <w:color w:val="000000" w:themeColor="text1"/>
          <w:vertAlign w:val="superscript"/>
          <w14:textFill>
            <w14:solidFill>
              <w14:schemeClr w14:val="tx1"/>
            </w14:solidFill>
          </w14:textFill>
        </w:rPr>
        <w:t>]</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效率提升需要与数据治理相衔接。《银行保险机构数据安全管理办法》规定了数据全生命周期安全管理要求。</w:t>
      </w:r>
      <w:r>
        <w:rPr>
          <w:rFonts w:ascii="Times New Roman" w:hAnsi="Times New Roman" w:eastAsia="宋体"/>
          <w:sz w:val="20"/>
          <w:vertAlign w:val="superscript"/>
        </w:rPr>
        <w:t>[</w:t>
      </w:r>
      <w:bookmarkStart w:id="6" w:name="SourceS8"/>
      <w:r>
        <w:rPr>
          <w:rFonts w:ascii="Times New Roman" w:hAnsi="Times New Roman" w:eastAsia="宋体"/>
          <w:sz w:val="20"/>
          <w:vertAlign w:val="superscript"/>
        </w:rPr>
        <w:footnoteReference w:id="1"/>
      </w:r>
      <w:bookmarkEnd w:id="6"/>
      <w:r>
        <w:rPr>
          <w:rFonts w:ascii="Times New Roman" w:hAnsi="Times New Roman" w:eastAsia="宋体"/>
          <w:sz w:val="20"/>
          <w:vertAlign w:val="superscript"/>
        </w:rPr>
        <w:t>]</w:t>
      </w:r>
      <w:r>
        <w:t>本项目据此将材料权限、原文留存、处理记录与人员复核纳入设计。如图1-1所示，政策要求转化为效率、证据和治理三方面的产品响应。</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72760" cy="2006600"/>
            <wp:effectExtent l="0" t="0" r="8890" b="3175"/>
            <wp:docPr id="2103057768" name="Picture 2103057768" descr="政策脉络与贷前核验设计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68" name="Picture 2103057768" descr="政策脉络与贷前核验设计响应"/>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572760" cy="200660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图1-1 政策脉络与贷前核验设计响应</w:t>
      </w:r>
    </w:p>
    <w:p>
      <w:pPr>
        <w:pStyle w:val="4"/>
        <w:keepNext w:val="0"/>
        <w:keepLines w:val="0"/>
        <w:widowControl/>
        <w:kinsoku/>
        <w:wordWrap/>
        <w:overflowPunct/>
        <w:topLinePunct w:val="0"/>
        <w:autoSpaceDE/>
        <w:autoSpaceDN/>
        <w:bidi w:val="0"/>
        <w:adjustRightInd/>
        <w:snapToGrid/>
        <w:jc w:val="both"/>
        <w:textAlignment w:val="auto"/>
      </w:pPr>
      <w:bookmarkStart w:id="7" w:name="_Toc242347083"/>
    </w:p>
    <w:p>
      <w:pPr>
        <w:pStyle w:val="4"/>
        <w:keepNext w:val="0"/>
        <w:keepLines w:val="0"/>
        <w:widowControl/>
        <w:kinsoku/>
        <w:wordWrap/>
        <w:overflowPunct/>
        <w:topLinePunct w:val="0"/>
        <w:autoSpaceDE/>
        <w:autoSpaceDN/>
        <w:bidi w:val="0"/>
        <w:adjustRightInd/>
        <w:snapToGrid/>
        <w:jc w:val="both"/>
        <w:textAlignment w:val="auto"/>
      </w:pPr>
    </w:p>
    <w:p>
      <w:pPr>
        <w:pStyle w:val="4"/>
        <w:keepNext w:val="0"/>
        <w:keepLines w:val="0"/>
        <w:widowControl/>
        <w:kinsoku/>
        <w:wordWrap/>
        <w:overflowPunct/>
        <w:topLinePunct w:val="0"/>
        <w:autoSpaceDE/>
        <w:autoSpaceDN/>
        <w:bidi w:val="0"/>
        <w:adjustRightInd/>
        <w:snapToGrid/>
        <w:jc w:val="both"/>
        <w:textAlignment w:val="auto"/>
        <w:rPr>
          <w:rFonts w:hint="eastAsia"/>
        </w:rPr>
      </w:pPr>
      <w:r>
        <w:t>（二）工行智能信贷基础</w:t>
      </w:r>
      <w:bookmarkEnd w:id="7"/>
    </w:p>
    <w:p>
      <w:pPr>
        <w:keepNext w:val="0"/>
        <w:keepLines w:val="0"/>
        <w:widowControl/>
        <w:kinsoku/>
        <w:wordWrap/>
        <w:overflowPunct/>
        <w:topLinePunct w:val="0"/>
        <w:autoSpaceDE/>
        <w:autoSpaceDN/>
        <w:bidi w:val="0"/>
        <w:adjustRightInd/>
        <w:snapToGrid/>
        <w:ind w:firstLine="640"/>
        <w:jc w:val="both"/>
        <w:textAlignment w:val="auto"/>
        <w:rPr>
          <w:rFonts w:hint="eastAsia"/>
        </w:rPr>
      </w:pPr>
      <w:r>
        <w:t>工行2025年度报告披露，智贷通是面向融资全流程的智能体矩阵，工小审是信贷评审AI数字助手。</w:t>
      </w:r>
      <w:r>
        <w:rPr>
          <w:color w:val="000000" w:themeColor="text1"/>
          <w:vertAlign w:val="superscript"/>
          <w14:textFill>
            <w14:solidFill>
              <w14:schemeClr w14:val="tx1"/>
            </w14:solidFill>
          </w14:textFill>
        </w:rPr>
        <w:t>[</w:t>
      </w:r>
      <w:bookmarkStart w:id="8" w:name="SourceS7"/>
      <w:r>
        <w:rPr>
          <w:color w:val="000000" w:themeColor="text1"/>
          <w:vertAlign w:val="superscript"/>
          <w14:textFill>
            <w14:solidFill>
              <w14:schemeClr w14:val="tx1"/>
            </w14:solidFill>
          </w14:textFill>
        </w:rPr>
        <w:footnoteReference w:id="2"/>
      </w:r>
      <w:bookmarkEnd w:id="8"/>
      <w:r>
        <w:rPr>
          <w:color w:val="000000" w:themeColor="text1"/>
          <w:vertAlign w:val="superscript"/>
          <w14:textFill>
            <w14:solidFill>
              <w14:schemeClr w14:val="tx1"/>
            </w14:solidFill>
          </w14:textFill>
        </w:rPr>
        <w:t>]</w:t>
      </w:r>
      <w:r>
        <w:t>本项目以工小审材料评审任务为切入点，设计与工银智涌协同的前置组件。</w:t>
      </w:r>
    </w:p>
    <w:p>
      <w:pPr>
        <w:keepNext w:val="0"/>
        <w:keepLines w:val="0"/>
        <w:widowControl/>
        <w:kinsoku/>
        <w:wordWrap/>
        <w:overflowPunct/>
        <w:topLinePunct w:val="0"/>
        <w:autoSpaceDE/>
        <w:autoSpaceDN/>
        <w:bidi w:val="0"/>
        <w:adjustRightInd/>
        <w:snapToGrid/>
        <w:ind w:firstLine="640"/>
        <w:jc w:val="both"/>
        <w:textAlignment w:val="auto"/>
        <w:rPr>
          <w:rFonts w:hint="eastAsia"/>
          <w:color w:val="000000" w:themeColor="text1"/>
          <w:vertAlign w:val="superscript"/>
          <w14:textFill>
            <w14:solidFill>
              <w14:schemeClr w14:val="tx1"/>
            </w14:solidFill>
          </w14:textFill>
        </w:rPr>
      </w:pPr>
      <w:r>
        <w:t>经营快贷官方说明体现了数据分析与经营情况核实相衔接的业务特点。本项目以既有评审能力为基础，研究限定核验、原文组织和版本交接的增量价值：围绕同一材料、同一任务及相同复核要求，比较既有处理方式与增加本组件后的表现。是否采用组件，由关键错误、查证工时和完整资源成本的改善共同决定；能力重叠且无增量收益时，直接复用既有能力。</w:t>
      </w:r>
      <w:r>
        <w:rPr>
          <w:color w:val="000000" w:themeColor="text1"/>
          <w:vertAlign w:val="superscript"/>
          <w14:textFill>
            <w14:solidFill>
              <w14:schemeClr w14:val="tx1"/>
            </w14:solidFill>
          </w14:textFill>
        </w:rPr>
        <w:t>[</w:t>
      </w:r>
      <w:bookmarkStart w:id="9" w:name="SourceS2"/>
      <w:r>
        <w:rPr>
          <w:color w:val="000000" w:themeColor="text1"/>
          <w:vertAlign w:val="superscript"/>
          <w14:textFill>
            <w14:solidFill>
              <w14:schemeClr w14:val="tx1"/>
            </w14:solidFill>
          </w14:textFill>
        </w:rPr>
        <w:footnoteReference w:id="3"/>
      </w:r>
      <w:bookmarkEnd w:id="9"/>
      <w:r>
        <w:rPr>
          <w:color w:val="000000" w:themeColor="text1"/>
          <w:vertAlign w:val="superscript"/>
          <w14:textFill>
            <w14:solidFill>
              <w14:schemeClr w14:val="tx1"/>
            </w14:solidFill>
          </w14:textFill>
        </w:rPr>
        <w:t>]</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如图1-2所示，组件围绕现有材料归集与评审分工组织任务，向工小审相关工作交付可核对的建议和待处理事项。</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791970"/>
            <wp:effectExtent l="0" t="0" r="0" b="0"/>
            <wp:docPr id="2103057771" name="Picture 2103057771" descr="工行信贷生态与前置核验协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71" name="Picture 2103057771" descr="工行信贷生态与前置核验协同"/>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544000" cy="179256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图1-2 工行信贷生态与前置核验协同</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10" w:name="_Toc242347084"/>
      <w:r>
        <w:t>（三）贷前材料核验痛点</w:t>
      </w:r>
      <w:bookmarkEnd w:id="10"/>
    </w:p>
    <w:p>
      <w:pPr>
        <w:keepNext w:val="0"/>
        <w:keepLines w:val="0"/>
        <w:widowControl/>
        <w:kinsoku/>
        <w:wordWrap/>
        <w:overflowPunct/>
        <w:topLinePunct w:val="0"/>
        <w:autoSpaceDE/>
        <w:autoSpaceDN/>
        <w:bidi w:val="0"/>
        <w:adjustRightInd/>
        <w:snapToGrid/>
        <w:ind w:firstLine="640"/>
        <w:jc w:val="both"/>
        <w:textAlignment w:val="auto"/>
        <w:rPr>
          <w:rFonts w:hint="eastAsia"/>
        </w:rPr>
      </w:pPr>
      <w:r>
        <w:t>公开政策要求提升普惠金融数字化服务能力，行业报道同时指出信息获取难、服务成本高和规模不经济等问题。落实到贷前材料评审，关键在于能否把分散陈述转换为可比较的事实，把核验疑点交给合适的处理环节。本项目据此归纳材料条件、语义判断、责任承接和资源配置四类难点。</w:t>
      </w:r>
      <w:r>
        <w:rPr>
          <w:color w:val="000000" w:themeColor="text1"/>
          <w:vertAlign w:val="superscript"/>
          <w14:textFill>
            <w14:solidFill>
              <w14:schemeClr w14:val="tx1"/>
            </w14:solidFill>
          </w14:textFill>
        </w:rPr>
        <w:t>[</w:t>
      </w:r>
      <w:bookmarkStart w:id="11" w:name="SourceS3"/>
      <w:r>
        <w:rPr>
          <w:color w:val="000000" w:themeColor="text1"/>
          <w:vertAlign w:val="superscript"/>
          <w14:textFill>
            <w14:solidFill>
              <w14:schemeClr w14:val="tx1"/>
            </w14:solidFill>
          </w14:textFill>
        </w:rPr>
        <w:footnoteReference w:id="4"/>
      </w:r>
      <w:bookmarkEnd w:id="11"/>
      <w:r>
        <w:rPr>
          <w:color w:val="000000" w:themeColor="text1"/>
          <w:vertAlign w:val="superscript"/>
          <w14:textFill>
            <w14:solidFill>
              <w14:schemeClr w14:val="tx1"/>
            </w14:solidFill>
          </w14:textFill>
        </w:rPr>
        <w:t>]</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材料条件首先影响核验能否开展。申请说明、订单和经营陈述可能来自不同时间、主体或业务范围；相同指标也可能采用不同统计口径。审查需要先确认材料齐全及比较条件，才能判断差异是否属于矛盾。将材料缺失直接解释为风险，或将不可比陈述直接判为冲突，都可能增加无效补件和核实。</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语义判断的难点在于表述与事实并非一一对应。借款用途与订单品类不同，可能是订单中部分支出由自有资金承担；经营状态不同，也可能对应不同门店、渠道或子期间。核验应聚焦具体资金和可比经营事实，保留支持或相斥的原文，使复核人员能够检查判断依据。</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责任承接要求与材料判断同步设计。材料更新后，原结论可能不再适用；同一申请中，已完成任务与待核实疑点也需要分开管理。数据安全要求进一步约束材料权限、处理记录和留存。本项目将任务、原文、版本及人员动作共同组织为事项包，便于后续评审承接。</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资源配置是银行智能化应用的另一项评价重点。金融时报提出，银行需平衡算力投入与价值产出。贷前核验中的缺项检查、限定语义判断与复杂关系分析需要不同处理能力；组件的必要性应由同任务质量、人员工作量和完整成本共同检验，而不能仅以模型调用减少作为降本结论。</w:t>
      </w:r>
      <w:r>
        <w:rPr>
          <w:vertAlign w:val="superscript"/>
        </w:rPr>
        <w:t>[</w:t>
      </w:r>
      <w:r>
        <w:rPr>
          <w:vertAlign w:val="superscript"/>
        </w:rPr>
        <w:footnoteReference w:id="5"/>
      </w:r>
      <w:r>
        <w:rPr>
          <w:vertAlign w:val="superscript"/>
        </w:rPr>
        <w:t>]</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表1-1 材料核验问题与产品响应</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3402"/>
        <w:gridCol w:w="3628"/>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01" w:type="dxa"/>
            <w:shd w:val="clear" w:color="auto" w:fill="DFEAF7"/>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b/>
                <w:sz w:val="21"/>
              </w:rPr>
              <w:t>核验问题</w:t>
            </w:r>
          </w:p>
        </w:tc>
        <w:tc>
          <w:tcPr>
            <w:tcW w:w="3402" w:type="dxa"/>
            <w:shd w:val="clear" w:color="auto" w:fill="DFEAF7"/>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b/>
                <w:sz w:val="21"/>
              </w:rPr>
              <w:t>对审查工作的影响</w:t>
            </w:r>
          </w:p>
        </w:tc>
        <w:tc>
          <w:tcPr>
            <w:tcW w:w="3628" w:type="dxa"/>
            <w:shd w:val="clear" w:color="auto" w:fill="DFEAF7"/>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b/>
                <w:sz w:val="21"/>
              </w:rPr>
              <w:t>本项目的处理方式</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材料与口径</w:t>
            </w:r>
          </w:p>
        </w:tc>
        <w:tc>
          <w:tcPr>
            <w:tcW w:w="3402"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主体、期间或范围不同，差异可能被误判为矛盾。</w:t>
            </w:r>
          </w:p>
        </w:tc>
        <w:tc>
          <w:tcPr>
            <w:tcW w:w="3628"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检查可比条件，列明缺项及原因。</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shd w:val="clear" w:color="auto" w:fill="F4F7FB"/>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语义与事实</w:t>
            </w:r>
          </w:p>
        </w:tc>
        <w:tc>
          <w:tcPr>
            <w:tcW w:w="3402" w:type="dxa"/>
            <w:shd w:val="clear" w:color="auto" w:fill="F4F7FB"/>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同义改写、资金归属与局部事实差异增加判读难度。</w:t>
            </w:r>
          </w:p>
        </w:tc>
        <w:tc>
          <w:tcPr>
            <w:tcW w:w="3628" w:type="dxa"/>
            <w:shd w:val="clear" w:color="auto" w:fill="F4F7FB"/>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围绕限定问题判断，关联成对原文。</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疑点分流</w:t>
            </w:r>
          </w:p>
        </w:tc>
        <w:tc>
          <w:tcPr>
            <w:tcW w:w="3402"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缺件、明确矛盾与复杂关系需要不同承接。</w:t>
            </w:r>
          </w:p>
        </w:tc>
        <w:tc>
          <w:tcPr>
            <w:tcW w:w="3628"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分别进入补件、核实与按需分析。</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版本与交接</w:t>
            </w:r>
          </w:p>
        </w:tc>
        <w:tc>
          <w:tcPr>
            <w:tcW w:w="3402"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补件后旧结论可能失效，未决事项容易遗漏。</w:t>
            </w:r>
          </w:p>
        </w:tc>
        <w:tc>
          <w:tcPr>
            <w:tcW w:w="3628"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绑定有效版本，保留纠正与待办。</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资源与效能</w:t>
            </w:r>
          </w:p>
        </w:tc>
        <w:tc>
          <w:tcPr>
            <w:tcW w:w="3402"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调用开销与人员复核共同影响实际收益。</w:t>
            </w:r>
          </w:p>
        </w:tc>
        <w:tc>
          <w:tcPr>
            <w:tcW w:w="3628" w:type="dxa"/>
            <w:shd w:val="clear" w:color="auto" w:fill="FFFFFF"/>
            <w:tcMar>
              <w:top w:w="80" w:type="dxa"/>
              <w:left w:w="100" w:type="dxa"/>
              <w:bottom w:w="80" w:type="dxa"/>
              <w:right w:w="10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rFonts w:ascii="宋体" w:hAnsi="宋体" w:eastAsia="宋体" w:cs="宋体"/>
                <w:sz w:val="21"/>
              </w:rPr>
              <w:t>按任务配置能力，同质量评价完整成本。</w:t>
            </w:r>
          </w:p>
        </w:tc>
      </w:tr>
    </w:tbl>
    <w:p>
      <w:pPr>
        <w:keepNext w:val="0"/>
        <w:keepLines w:val="0"/>
        <w:widowControl/>
        <w:kinsoku/>
        <w:wordWrap/>
        <w:overflowPunct/>
        <w:topLinePunct w:val="0"/>
        <w:autoSpaceDE/>
        <w:autoSpaceDN/>
        <w:bidi w:val="0"/>
        <w:adjustRightInd/>
        <w:snapToGrid/>
        <w:ind w:firstLine="640"/>
        <w:jc w:val="both"/>
        <w:textAlignment w:val="auto"/>
        <w:rPr>
          <w:rFonts w:hint="eastAsia"/>
        </w:rPr>
      </w:pPr>
      <w:r>
        <w:t>表1-1将上述难点对应到人员工作的影响与首期处理方式。产品聚焦用途一致性和经营陈述矛盾，先确认比较条件，再形成限定核验建议及原文依据；客观缺件由经办补齐，明确矛盾由人员核实，材料充分但关系复杂时按需分析。核验结果随有效材料版本交接，帮助评审区分已处理与未解决事项。</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如图1-3所示，公开政策与行业要求分别对应材料比较、责任承接和能力配置，形成首期产品的设计依据。</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2642235"/>
            <wp:effectExtent l="0" t="0" r="0" b="0"/>
            <wp:docPr id="2103057772" name="Picture 2103057772" descr="行业要求向材料核验痛点的转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72" name="Picture 2103057772" descr="行业要求向材料核验痛点的转化"/>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544000" cy="264264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图1-3 行业要求向材料核验痛点的转化</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12" w:name="_Toc242347085"/>
      <w:r>
        <w:t>（四）项目切入与价值方向</w:t>
      </w:r>
      <w:bookmarkEnd w:id="12"/>
    </w:p>
    <w:p>
      <w:pPr>
        <w:keepNext w:val="0"/>
        <w:keepLines w:val="0"/>
        <w:widowControl/>
        <w:kinsoku/>
        <w:wordWrap/>
        <w:overflowPunct/>
        <w:topLinePunct w:val="0"/>
        <w:autoSpaceDE/>
        <w:autoSpaceDN/>
        <w:bidi w:val="0"/>
        <w:adjustRightInd/>
        <w:snapToGrid/>
        <w:ind w:firstLine="640"/>
        <w:jc w:val="both"/>
        <w:textAlignment w:val="auto"/>
        <w:rPr>
          <w:rFonts w:hint="eastAsia"/>
          <w:color w:val="000000" w:themeColor="text1"/>
          <w:vertAlign w:val="superscript"/>
          <w14:textFill>
            <w14:solidFill>
              <w14:schemeClr w14:val="tx1"/>
            </w14:solidFill>
          </w14:textFill>
        </w:rPr>
      </w:pPr>
      <w:r>
        <w:t>Jev以选择、评分和概率估计等原语组织结构化判断。本项目首期采用有限候选判断，构成快思考层（System 1）；慢思考层（System 2）按需处理复杂关系。将两者与规则、证据检查及人员复核衔接，是本项目的场景设计重点。</w:t>
      </w:r>
      <w:r>
        <w:rPr>
          <w:color w:val="000000" w:themeColor="text1"/>
          <w:vertAlign w:val="superscript"/>
          <w14:textFill>
            <w14:solidFill>
              <w14:schemeClr w14:val="tx1"/>
            </w14:solidFill>
          </w14:textFill>
        </w:rPr>
        <w:t>[</w:t>
      </w:r>
      <w:bookmarkStart w:id="13" w:name="SourceT5"/>
      <w:r>
        <w:rPr>
          <w:color w:val="000000" w:themeColor="text1"/>
          <w:vertAlign w:val="superscript"/>
          <w14:textFill>
            <w14:solidFill>
              <w14:schemeClr w14:val="tx1"/>
            </w14:solidFill>
          </w14:textFill>
        </w:rPr>
        <w:footnoteReference w:id="6"/>
      </w:r>
      <w:bookmarkEnd w:id="13"/>
      <w:r>
        <w:rPr>
          <w:color w:val="000000" w:themeColor="text1"/>
          <w:vertAlign w:val="superscript"/>
          <w14:textFill>
            <w14:solidFill>
              <w14:schemeClr w14:val="tx1"/>
            </w14:solidFill>
          </w14:textFill>
        </w:rPr>
        <w:t>]</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首期介入点为材料归集后的辅助核验。组件将客观缺件、明确矛盾和复杂关系分别整理为补件、核实和分析事项，处理记录随材料流转，授信决定沿用银行既有授权流程。</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方案的业务价值主要体现在关键矛盾识别、材料查证、复核工作组织和计算资源配置。核验质量、人员工作量与完整处理成本构成后续效果评价的共同指标。</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如图1-4所示，首期价值沿材料关系判断、证据组织、人员处理和业务评价逐步验证，核验质量与完整成本共同决定采用范围。</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551940"/>
            <wp:effectExtent l="0" t="0" r="0" b="0"/>
            <wp:docPr id="2103057773" name="Picture 2103057773" descr="首期切入与价值验证链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73" name="Picture 2103057773" descr="首期切入与价值验证链条"/>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544000" cy="155232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图1-4 首期切入与价值验证链条</w:t>
      </w:r>
    </w:p>
    <w:p>
      <w:pPr>
        <w:pStyle w:val="3"/>
        <w:keepNext w:val="0"/>
        <w:keepLines w:val="0"/>
        <w:widowControl/>
        <w:kinsoku/>
        <w:wordWrap/>
        <w:overflowPunct/>
        <w:topLinePunct w:val="0"/>
        <w:autoSpaceDE/>
        <w:autoSpaceDN/>
        <w:bidi w:val="0"/>
        <w:adjustRightInd/>
        <w:snapToGrid/>
        <w:jc w:val="both"/>
        <w:textAlignment w:val="auto"/>
        <w:rPr>
          <w:rFonts w:hint="eastAsia"/>
        </w:rPr>
      </w:pPr>
      <w:bookmarkStart w:id="14" w:name="_Toc242347086"/>
      <w:r>
        <w:t>二、业务场景与产品定位</w:t>
      </w:r>
      <w:bookmarkEnd w:id="14"/>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15" w:name="_Toc242347087"/>
      <w:r>
        <w:t>（一）目标业务与服务对象</w:t>
      </w:r>
      <w:bookmarkEnd w:id="15"/>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项目立足数字金融赛道，面向工行普惠信贷材料评审，拟与工小审相关任务协同。借款人沿用银行既有渠道提交材料，经办、审查复核及模型管理人员围绕同一核验任务协作，结果回传既有评审流程。</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工行公开披露的普惠业务规模与智能信贷建设，为开展材料核验研究提供了业务基础。</w:t>
      </w:r>
      <w:r>
        <w:rPr>
          <w:rFonts w:ascii="Times New Roman" w:hAnsi="Times New Roman" w:eastAsia="宋体"/>
          <w:sz w:val="20"/>
          <w:vertAlign w:val="superscript"/>
        </w:rPr>
        <w:t>[</w:t>
      </w:r>
      <w:bookmarkStart w:id="16" w:name="SourceS1"/>
      <w:r>
        <w:rPr>
          <w:rFonts w:ascii="Times New Roman" w:hAnsi="Times New Roman" w:eastAsia="宋体"/>
          <w:sz w:val="20"/>
          <w:vertAlign w:val="superscript"/>
        </w:rPr>
        <w:footnoteReference w:id="7"/>
      </w:r>
      <w:bookmarkEnd w:id="16"/>
      <w:r>
        <w:rPr>
          <w:rFonts w:ascii="Times New Roman" w:hAnsi="Times New Roman" w:eastAsia="宋体"/>
          <w:sz w:val="20"/>
          <w:vertAlign w:val="superscript"/>
        </w:rPr>
        <w:t>]</w:t>
      </w:r>
      <w:r>
        <w:t>本项目以单项核验为服务单位，围绕具体材料关系确定处理范围。</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如图2-1所示，产品以单项材料核验为服务单元，围绕已归集材料组织问题与处理结果，面向经办、复核和管理岗位服务。</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644650"/>
            <wp:effectExtent l="0" t="0" r="0" b="0"/>
            <wp:docPr id="2103057774" name="Picture 2103057774" descr="目标业务与首期服务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74" name="Picture 2103057774" descr="目标业务与首期服务范围"/>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544000" cy="164472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图2-1 目标业务与首期服务范围</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17" w:name="_Toc242347088"/>
      <w:r>
        <w:t>（二）使用人员与职责分工</w:t>
      </w:r>
      <w:bookmarkEnd w:id="17"/>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如表2-1所示，组件为经办人员提供缺项清单，为复核人员提供成对原文与疑点依据，为管理人员提供任务状态和处理记录。结果以任务为单位交接，便于嵌入现有评审工作。</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表2-1 使用者需求与产品响应</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47"/>
        <w:gridCol w:w="2098"/>
        <w:gridCol w:w="2721"/>
        <w:gridCol w:w="2665"/>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247" w:type="dxa"/>
            <w:shd w:val="clear" w:color="auto" w:fill="DFEAF7"/>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使用者</w:t>
            </w:r>
          </w:p>
        </w:tc>
        <w:tc>
          <w:tcPr>
            <w:tcW w:w="2098" w:type="dxa"/>
            <w:shd w:val="clear" w:color="auto" w:fill="DFEAF7"/>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原有工作中的关注点</w:t>
            </w:r>
          </w:p>
        </w:tc>
        <w:tc>
          <w:tcPr>
            <w:tcW w:w="2721" w:type="dxa"/>
            <w:shd w:val="clear" w:color="auto" w:fill="DFEAF7"/>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本组件提供的处理信息</w:t>
            </w:r>
          </w:p>
        </w:tc>
        <w:tc>
          <w:tcPr>
            <w:tcW w:w="2665" w:type="dxa"/>
            <w:shd w:val="clear" w:color="auto" w:fill="DFEAF7"/>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拟验证的业务收益</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材料经办</w:t>
            </w:r>
          </w:p>
        </w:tc>
        <w:tc>
          <w:tcPr>
            <w:tcW w:w="2098"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缺什么材料、怎样补齐</w:t>
            </w:r>
          </w:p>
        </w:tc>
        <w:tc>
          <w:tcPr>
            <w:tcW w:w="2721"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缺项与口径事项，补件后重跑</w:t>
            </w:r>
          </w:p>
        </w:tc>
        <w:tc>
          <w:tcPr>
            <w:tcW w:w="2665"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补件说明更明确，往返次数减少</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审查复核</w:t>
            </w:r>
          </w:p>
        </w:tc>
        <w:tc>
          <w:tcPr>
            <w:tcW w:w="2098"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差异是否矛盾、依据在哪里</w:t>
            </w:r>
          </w:p>
        </w:tc>
        <w:tc>
          <w:tcPr>
            <w:tcW w:w="2721"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任务建议、成对原文、纠正入口</w:t>
            </w:r>
          </w:p>
        </w:tc>
        <w:tc>
          <w:tcPr>
            <w:tcW w:w="2665"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减少翻找与重复判读</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业务与技术管理</w:t>
            </w:r>
          </w:p>
        </w:tc>
        <w:tc>
          <w:tcPr>
            <w:tcW w:w="2098"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还有哪些疑点、版本是否有效</w:t>
            </w:r>
          </w:p>
        </w:tc>
        <w:tc>
          <w:tcPr>
            <w:tcW w:w="2721"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未决事项、处理依据与运行记录</w:t>
            </w:r>
          </w:p>
        </w:tc>
        <w:tc>
          <w:tcPr>
            <w:tcW w:w="2665"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交接遗漏与旧结论复用可检查</w:t>
            </w:r>
          </w:p>
        </w:tc>
      </w:tr>
    </w:tbl>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后续业务系统是结果承接方，接收核验建议、证据引用和未解决事项。人员按银行既有权限确认与处置，任务处理记录随材料流转。</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18" w:name="_Toc242347089"/>
      <w:r>
        <w:t>（三）首期任务与材料范围</w:t>
      </w:r>
      <w:bookmarkEnd w:id="18"/>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首期面向小微经营贷款采购资金申请。用途任务比较申请说明与订单、合同中的资金归属和用途范围；经营任务比较同一主体、可比期间及业务范围内的陈述。两项任务均输出限定答案，并保留信息不足或无法比较。</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两项任务共用材料比较、证据引用和版本记录机制。首期输入采用已整理文本，分别记录“信息不足”“无法比较”等判断结果及各项疑点；单项核验结果交由综合审查承接。</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19" w:name="_Toc242347090"/>
      <w:r>
        <w:t>（四）业务位置与协同关系</w:t>
      </w:r>
      <w:bookmarkEnd w:id="19"/>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经办人员选择任务并提交相关材料；系统先检查缺项和可比条件，再开展限定范围的语义判断，展示建议与原文。人员据此确认、纠正或发起核实；材料不足时补件，材料充分但需要深入分析时按需协同慢思考。</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如图2-2所示，三类人员与后续业务系统共同承接材料、依据和处理记录。</w:t>
      </w:r>
    </w:p>
    <w:p>
      <w:pPr>
        <w:pStyle w:val="179"/>
        <w:keepNext w:val="0"/>
        <w:keepLines w:val="0"/>
        <w:widowControl/>
        <w:kinsoku/>
        <w:wordWrap/>
        <w:overflowPunct/>
        <w:topLinePunct w:val="0"/>
        <w:autoSpaceDE/>
        <w:autoSpaceDN/>
        <w:bidi w:val="0"/>
        <w:adjustRightInd/>
        <w:snapToGrid/>
        <w:spacing w:before="120" w:line="240" w:lineRule="auto"/>
        <w:jc w:val="center"/>
        <w:textAlignment w:val="auto"/>
        <w:rPr>
          <w:rFonts w:hint="eastAsia"/>
        </w:rPr>
      </w:pPr>
      <w:r>
        <w:drawing>
          <wp:inline distT="0" distB="0" distL="0" distR="0">
            <wp:extent cx="5605145" cy="3554095"/>
            <wp:effectExtent l="0" t="0" r="508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605145" cy="3554095"/>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图2-2 四类使用关系与核验闭环</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补件或纠正后生成新版本，相关任务重新核验，历史结果与处理记录保留。本地原型以仿真材料展示该业务闭环。</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如图2-3所示，组件位于材料归集之后、综合审查之前。核验建议与待处理事项交由后续评审承接，授信决定仍由银行既有授权流程承担。</w:t>
      </w:r>
    </w:p>
    <w:p>
      <w:pPr>
        <w:pStyle w:val="179"/>
        <w:keepNext w:val="0"/>
        <w:keepLines w:val="0"/>
        <w:widowControl/>
        <w:kinsoku/>
        <w:wordWrap/>
        <w:overflowPunct/>
        <w:topLinePunct w:val="0"/>
        <w:autoSpaceDE/>
        <w:autoSpaceDN/>
        <w:bidi w:val="0"/>
        <w:adjustRightInd/>
        <w:snapToGrid/>
        <w:spacing w:before="120" w:after="0" w:line="240" w:lineRule="auto"/>
        <w:jc w:val="both"/>
        <w:textAlignment w:val="auto"/>
        <w:rPr>
          <w:rFonts w:hint="eastAsia"/>
        </w:rPr>
      </w:pPr>
      <w:r>
        <w:drawing>
          <wp:inline distT="0" distB="0" distL="0" distR="0">
            <wp:extent cx="5543550" cy="2673350"/>
            <wp:effectExtent l="0" t="0" r="0" b="0"/>
            <wp:docPr id="25" name="Picture 25" descr="审批分层与首期介入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审批分层与首期介入位置"/>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544000" cy="2673514"/>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图2-3 审批相关工作的分层与首期介入位置</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20" w:name="_Toc242347091"/>
      <w:r>
        <w:t>（五）使用价值与适用范围</w:t>
      </w:r>
      <w:bookmarkEnd w:id="20"/>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产品围绕现有人员分工组织核验工作：经办按缺项补齐材料，复核人员沿疑点查看原文，管理人员追踪更正与未决事项。预期减少材料翻找、补件往返和重复判读，具体收益通过业务工时验证评价。</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业务效果按实际操作计量，分别记录补件往返次数、查证与处理工时、交接遗漏及版本问题，并结合模型资源消耗核算完整成本。现有原型已具备上述信息的组织与交接能力。</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如图2-4所示，经办、复核及管理人员的操作分别对应补件、查证和交接观察点，业务收益按实际工作记录评价。</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570355"/>
            <wp:effectExtent l="0" t="0" r="0" b="0"/>
            <wp:docPr id="2103057775" name="Picture 2103057775" descr="人员操作与价值观察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75" name="Picture 2103057775" descr="人员操作与价值观察点"/>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544000" cy="157080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图2-4 人员操作与价值观察点</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首期围绕两项核验任务确定使用范围，统一任务规范、结果承接方式与运行要求。以下产品方案展示材料如何进入工作台、疑点如何处理及结果如何交接，实施安排见第八章。</w:t>
      </w:r>
    </w:p>
    <w:p>
      <w:pPr>
        <w:pStyle w:val="3"/>
        <w:keepNext w:val="0"/>
        <w:keepLines w:val="0"/>
        <w:widowControl/>
        <w:kinsoku/>
        <w:wordWrap/>
        <w:overflowPunct/>
        <w:topLinePunct w:val="0"/>
        <w:autoSpaceDE/>
        <w:autoSpaceDN/>
        <w:bidi w:val="0"/>
        <w:adjustRightInd/>
        <w:snapToGrid/>
        <w:jc w:val="both"/>
        <w:textAlignment w:val="auto"/>
        <w:rPr>
          <w:rFonts w:hint="eastAsia"/>
        </w:rPr>
      </w:pPr>
      <w:bookmarkStart w:id="21" w:name="_Toc242347092"/>
      <w:r>
        <w:t>三、产品方案与业务流程</w:t>
      </w:r>
      <w:bookmarkEnd w:id="21"/>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22" w:name="_Toc242347093"/>
      <w:r>
        <w:t>（一）产品能力与处理边界</w:t>
      </w:r>
      <w:bookmarkEnd w:id="22"/>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本产品面向信贷审批流程中的材料评审层，拟以工小审相关任务为协同入口。组件接收任务及已归集材料，整理核验建议、成对原文和待办，供评审人员核对与处置；授信、额度、定价和放款由银行既有授权流程承担。</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用途关系与经营矛盾需要语义理解，结论范围可以预先约定。产品将可比材料交由快层形成有限候选建议，围绕未决关系按需开展复杂分析，采用依据与模型选择见第四章。</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如图3-1所示，System 1处理答案范围明确的局部判断，System 2按需分析复杂关系。规则校验、材料索引与人员复核共同形成处理约束。团队重点设计金融任务与快慢协同流程，基础模型能力来自所选模型。</w:t>
      </w:r>
    </w:p>
    <w:p>
      <w:pPr>
        <w:pStyle w:val="179"/>
        <w:keepNext w:val="0"/>
        <w:keepLines w:val="0"/>
        <w:widowControl/>
        <w:kinsoku/>
        <w:wordWrap/>
        <w:overflowPunct/>
        <w:topLinePunct w:val="0"/>
        <w:autoSpaceDE/>
        <w:autoSpaceDN/>
        <w:bidi w:val="0"/>
        <w:adjustRightInd/>
        <w:snapToGrid/>
        <w:spacing w:before="120" w:after="0" w:line="240" w:lineRule="auto"/>
        <w:jc w:val="both"/>
        <w:textAlignment w:val="auto"/>
        <w:rPr>
          <w:rFonts w:hint="eastAsia"/>
        </w:rPr>
      </w:pPr>
      <w:r>
        <w:drawing>
          <wp:inline distT="0" distB="0" distL="0" distR="0">
            <wp:extent cx="5543550" cy="2688590"/>
            <wp:effectExtent l="0" t="0" r="0" b="0"/>
            <wp:docPr id="26" name="Picture 26" descr="快慢双系统材料核验整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快慢双系统材料核验整体架构"/>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544000" cy="2689006"/>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图3-1 快慢双系统材料核验引擎整体架构</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23" w:name="_Toc242347094"/>
      <w:r>
        <w:t>（二）核验任务与判断方式</w:t>
      </w:r>
      <w:bookmarkEnd w:id="23"/>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表3-1明确两项任务的输入关系和答案含义。系统先确认主体、期间、用途范围及有效版本，再比较原文；“材料不足”和“明确矛盾”采用不同结果与处理路径。</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表3-1 首期核验任务与结果边界</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361"/>
        <w:gridCol w:w="2381"/>
        <w:gridCol w:w="2154"/>
        <w:gridCol w:w="2835"/>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361"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任务</w:t>
            </w:r>
          </w:p>
        </w:tc>
        <w:tc>
          <w:tcPr>
            <w:tcW w:w="2381"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比较范围</w:t>
            </w:r>
          </w:p>
        </w:tc>
        <w:tc>
          <w:tcPr>
            <w:tcW w:w="2154"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候选答案</w:t>
            </w:r>
          </w:p>
        </w:tc>
        <w:tc>
          <w:tcPr>
            <w:tcW w:w="2835"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依据与结果边界</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361"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用途一致性</w:t>
            </w:r>
          </w:p>
        </w:tc>
        <w:tc>
          <w:tcPr>
            <w:tcW w:w="2381"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同一申请用途说明与相关合同、订单或补充说明</w:t>
            </w:r>
          </w:p>
        </w:tc>
        <w:tc>
          <w:tcPr>
            <w:tcW w:w="2154"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一致／存在明确矛盾／信息不足</w:t>
            </w:r>
          </w:p>
        </w:tc>
        <w:tc>
          <w:tcPr>
            <w:tcW w:w="2835"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定位用途支持或矛盾的可比原文；核验范围为材料陈述关系</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361"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经营陈述矛盾</w:t>
            </w:r>
          </w:p>
        </w:tc>
        <w:tc>
          <w:tcPr>
            <w:tcW w:w="2381"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同一主体、可比期间和同一指标口径的经营文本</w:t>
            </w:r>
          </w:p>
        </w:tc>
        <w:tc>
          <w:tcPr>
            <w:tcW w:w="2154"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发现明确矛盾／未发现明确矛盾／无法比较</w:t>
            </w:r>
          </w:p>
        </w:tc>
        <w:tc>
          <w:tcPr>
            <w:tcW w:w="2835"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指出相斥陈述或不可比原因；未发现矛盾仅限本次检查范围</w:t>
            </w:r>
          </w:p>
        </w:tc>
      </w:tr>
    </w:tbl>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例如，申请说明借款仅用于采购木板，而订单同时包含木板与设备时，核验先识别资金归属。设备由自有资金支付，属于不同资金范围；材料明确借款全部用于设备，则与申请用途冲突。系统据材料关系形成建议，并关联支持结论的原文。</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如图3-2所示，Choice用于从候选答案中选择，Score用于按量表评分，Noul用于判断明确命题。首期实现两项Choice任务，Score和Noul纳入后续扩展设计，按任务需求分别验证与采用。</w:t>
      </w:r>
    </w:p>
    <w:p>
      <w:pPr>
        <w:pStyle w:val="179"/>
        <w:keepNext w:val="0"/>
        <w:keepLines w:val="0"/>
        <w:widowControl/>
        <w:kinsoku/>
        <w:wordWrap/>
        <w:overflowPunct/>
        <w:topLinePunct w:val="0"/>
        <w:autoSpaceDE/>
        <w:autoSpaceDN/>
        <w:bidi w:val="0"/>
        <w:adjustRightInd/>
        <w:snapToGrid/>
        <w:spacing w:before="100" w:after="0" w:line="240" w:lineRule="auto"/>
        <w:jc w:val="both"/>
        <w:textAlignment w:val="auto"/>
        <w:rPr>
          <w:rFonts w:hint="eastAsia"/>
        </w:rPr>
      </w:pPr>
      <w:r>
        <w:drawing>
          <wp:inline distT="0" distB="0" distL="0" distR="0">
            <wp:extent cx="5543550" cy="3416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544000" cy="3416616"/>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图3-2 Jev三类判断原语与信贷任务映射</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首期采用Choice输出候选答案及判断分布，原文索引与人员复核分别保留。候选分数描述模型对当前问题的判断倾向，贷款获批率和违约概率属于独立的业务指标。</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如图3-3所示，两项任务都先对齐比较范围，再把结论与原文、待办关联。人员据此核实差异，避免将不同资金、渠道或子期间直接判成冲突。</w:t>
      </w:r>
    </w:p>
    <w:p>
      <w:pPr>
        <w:keepNext w:val="0"/>
        <w:keepLines w:val="0"/>
        <w:widowControl/>
        <w:kinsoku/>
        <w:wordWrap/>
        <w:overflowPunct/>
        <w:topLinePunct w:val="0"/>
        <w:autoSpaceDE/>
        <w:autoSpaceDN/>
        <w:bidi w:val="0"/>
        <w:adjustRightInd/>
        <w:snapToGrid/>
        <w:spacing w:before="120" w:after="80" w:line="240" w:lineRule="auto"/>
        <w:jc w:val="both"/>
        <w:textAlignment w:val="auto"/>
        <w:rPr>
          <w:rFonts w:hint="eastAsia"/>
        </w:rPr>
      </w:pPr>
      <w:r>
        <w:drawing>
          <wp:inline distT="0" distB="0" distL="0" distR="0">
            <wp:extent cx="5473065" cy="2252345"/>
            <wp:effectExtent l="0" t="0" r="0" b="0"/>
            <wp:docPr id="1003" name="Picture 1003" descr="业务核验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003" descr="业务核验关系"/>
                    <pic:cNvPicPr>
                      <a:picLocks noChangeAspect="1"/>
                    </pic:cNvPicPr>
                  </pic:nvPicPr>
                  <pic:blipFill>
                    <a:blip r:embed="rId28">
                      <a:extLst>
                        <a:ext uri="{96DAC541-7B7A-43D3-8B79-37D633B846F1}">
                          <asvg:svgBlip xmlns:asvg="http://schemas.microsoft.com/office/drawing/2016/SVG/main" r:embed="rId29"/>
                        </a:ext>
                      </a:extLst>
                    </a:blip>
                    <a:srcRect r="1271" b="12485"/>
                    <a:stretch>
                      <a:fillRect/>
                    </a:stretch>
                  </pic:blipFill>
                  <pic:spPr>
                    <a:xfrm>
                      <a:off x="0" y="0"/>
                      <a:ext cx="5473065" cy="2252345"/>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图3-3 两项首期任务的材料比较关系</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原型以一笔小微采购资金申请展示两项任务的使用方式，图3-4呈现材料条件检查、用途与经营核验、人员处理之间的分工。</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以下界面对应上述核验流程，围绕原文查证、补件重跑、疑点处理和事项交接展开。</w:t>
      </w:r>
    </w:p>
    <w:p>
      <w:pPr>
        <w:keepNext w:val="0"/>
        <w:keepLines w:val="0"/>
        <w:widowControl/>
        <w:kinsoku/>
        <w:wordWrap/>
        <w:overflowPunct/>
        <w:topLinePunct w:val="0"/>
        <w:autoSpaceDE/>
        <w:autoSpaceDN/>
        <w:bidi w:val="0"/>
        <w:adjustRightInd/>
        <w:snapToGrid/>
        <w:spacing w:before="120" w:after="80" w:line="240" w:lineRule="auto"/>
        <w:jc w:val="both"/>
        <w:textAlignment w:val="auto"/>
        <w:rPr>
          <w:rFonts w:hint="eastAsia"/>
        </w:rPr>
      </w:pPr>
      <w:r>
        <w:drawing>
          <wp:inline distT="0" distB="0" distL="0" distR="0">
            <wp:extent cx="5543550" cy="1303655"/>
            <wp:effectExtent l="0" t="0" r="0" b="0"/>
            <wp:docPr id="1004" name="Picture 1004" descr="首期业务任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004" descr="首期业务任务"/>
                    <pic:cNvPicPr>
                      <a:picLocks noChangeAspect="1"/>
                    </pic:cNvPicPr>
                  </pic:nvPicPr>
                  <pic:blipFill>
                    <a:blip r:embed="rId30"/>
                    <a:stretch>
                      <a:fillRect/>
                    </a:stretch>
                  </pic:blipFill>
                  <pic:spPr>
                    <a:xfrm>
                      <a:off x="0" y="0"/>
                      <a:ext cx="5544000" cy="1303963"/>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图3-4 首期业务场景与任务分工</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24" w:name="_Toc242347095"/>
      <w:r>
        <w:t>（三）任务分流与快慢协同</w:t>
      </w:r>
      <w:bookmarkEnd w:id="24"/>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如图3-5及表3-2所示，任务分流先检查材料与业务条件：客观缺件进入补件流程，明确矛盾交人员核实，材料充分但关系复杂时按需协同慢思考。模型分数用于识别判断不确定性，材料充分性单独检查。</w:t>
      </w:r>
    </w:p>
    <w:p>
      <w:pPr>
        <w:pStyle w:val="179"/>
        <w:keepNext w:val="0"/>
        <w:keepLines w:val="0"/>
        <w:widowControl/>
        <w:kinsoku/>
        <w:wordWrap/>
        <w:overflowPunct/>
        <w:topLinePunct w:val="0"/>
        <w:autoSpaceDE/>
        <w:autoSpaceDN/>
        <w:bidi w:val="0"/>
        <w:adjustRightInd/>
        <w:snapToGrid/>
        <w:spacing w:before="120" w:after="0" w:line="240" w:lineRule="auto"/>
        <w:jc w:val="both"/>
        <w:textAlignment w:val="auto"/>
        <w:rPr>
          <w:rFonts w:hint="eastAsia"/>
        </w:rPr>
      </w:pPr>
      <w:r>
        <w:drawing>
          <wp:inline distT="0" distB="0" distL="0" distR="0">
            <wp:extent cx="5543550" cy="2691765"/>
            <wp:effectExtent l="0" t="0" r="0" b="0"/>
            <wp:docPr id="27" name="Picture 27" descr="材料核验任务分流与异常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材料核验任务分流与异常处理"/>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544000" cy="269223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图3-5 材料核验任务分流与异常处理流程</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表3-2 任务状态与处理路径</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8"/>
        <w:gridCol w:w="1814"/>
        <w:gridCol w:w="4309"/>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608"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任务状态</w:t>
            </w:r>
          </w:p>
        </w:tc>
        <w:tc>
          <w:tcPr>
            <w:tcW w:w="1814"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建议路径</w:t>
            </w:r>
          </w:p>
        </w:tc>
        <w:tc>
          <w:tcPr>
            <w:tcW w:w="4309"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交付内容</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08"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缺件或关键口径不清</w:t>
            </w:r>
          </w:p>
        </w:tc>
        <w:tc>
          <w:tcPr>
            <w:tcW w:w="1814"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补件或核实输入</w:t>
            </w:r>
          </w:p>
        </w:tc>
        <w:tc>
          <w:tcPr>
            <w:tcW w:w="4309"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缺项、口径问题及重新核验条件</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08"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明确规则能够回答</w:t>
            </w:r>
          </w:p>
        </w:tc>
        <w:tc>
          <w:tcPr>
            <w:tcW w:w="1814"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规则处理</w:t>
            </w:r>
          </w:p>
        </w:tc>
        <w:tc>
          <w:tcPr>
            <w:tcW w:w="4309"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依据、结果与对应材料</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08"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语义判断满足任务条件</w:t>
            </w:r>
          </w:p>
        </w:tc>
        <w:tc>
          <w:tcPr>
            <w:tcW w:w="1814"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形成待复核建议</w:t>
            </w:r>
          </w:p>
        </w:tc>
        <w:tc>
          <w:tcPr>
            <w:tcW w:w="4309"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答案、原文与检查范围</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08"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发现明确矛盾</w:t>
            </w:r>
          </w:p>
        </w:tc>
        <w:tc>
          <w:tcPr>
            <w:tcW w:w="1814"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人工核实</w:t>
            </w:r>
          </w:p>
        </w:tc>
        <w:tc>
          <w:tcPr>
            <w:tcW w:w="4309"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成对原文、疑点与版本</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08"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材料充分但关系复杂</w:t>
            </w:r>
          </w:p>
        </w:tc>
        <w:tc>
          <w:tcPr>
            <w:tcW w:w="1814"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按需慢分析</w:t>
            </w:r>
          </w:p>
        </w:tc>
        <w:tc>
          <w:tcPr>
            <w:tcW w:w="4309"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待解决问题、相关材料与引用</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08"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调用失败或问题未解决</w:t>
            </w:r>
          </w:p>
        </w:tc>
        <w:tc>
          <w:tcPr>
            <w:tcW w:w="1814"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人工接管</w:t>
            </w:r>
          </w:p>
        </w:tc>
        <w:tc>
          <w:tcPr>
            <w:tcW w:w="4309"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已有结果、失败原因与未决事项</w:t>
            </w:r>
          </w:p>
        </w:tc>
      </w:tr>
    </w:tbl>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慢思考返回后，系统检查答案、引用及未解决事项。首期每项任务最多请求一次慢分析，失败或仍无法解决时转人工，并保留快判断与实际消耗。明确矛盾持续作为待核实事项管理。</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当前模型建议统一经人员复核。单项辅助核验的自动完成作为后续能力，采用前需验证证据条件、接受阈值和接受部分的错误率，并取得相应业务授权。</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25" w:name="_Toc242347096"/>
      <w:r>
        <w:t>（四）工作台与原文核对</w:t>
      </w:r>
      <w:bookmarkEnd w:id="25"/>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工作台围绕材料、核验任务与原文证据组织。人员可在同屏查看被比较的陈述，确认、纠正或继续核实；补件后重跑相关任务。表3-3列出交付信息及用途，使结果能够被后续评审承接。</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表3-3 任务结果与业务用途</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38"/>
        <w:gridCol w:w="6293"/>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438"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返回内容</w:t>
            </w:r>
          </w:p>
        </w:tc>
        <w:tc>
          <w:tcPr>
            <w:tcW w:w="6293"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业务用途</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38"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任务、材料及版本</w:t>
            </w:r>
          </w:p>
        </w:tc>
        <w:tc>
          <w:tcPr>
            <w:tcW w:w="6293"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明确核验对象，补件后生成新记录</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38"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候选答案、分数及来源</w:t>
            </w:r>
          </w:p>
        </w:tc>
        <w:tc>
          <w:tcPr>
            <w:tcW w:w="6293"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展示核验建议、模型来源与候选判断分布</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38"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原文引用、缺项与可比性</w:t>
            </w:r>
          </w:p>
        </w:tc>
        <w:tc>
          <w:tcPr>
            <w:tcW w:w="6293"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供人员核对依据，识别尚缺的事实</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38"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路由原因与处理记录</w:t>
            </w:r>
          </w:p>
        </w:tc>
        <w:tc>
          <w:tcPr>
            <w:tcW w:w="6293"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说明后续动作，保留确认、纠正与未决事项</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38"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调用、失败与耗时</w:t>
            </w:r>
          </w:p>
        </w:tc>
        <w:tc>
          <w:tcPr>
            <w:tcW w:w="6293"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核对完整处理开销，支持版本间比较</w:t>
            </w:r>
          </w:p>
        </w:tc>
      </w:tr>
    </w:tbl>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常规核验摘要由任务答案、原文引用与处理记录汇总形成；未解决的疑点单独列示，供复核人员继续核实或发起复杂分析。</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图3-6展示2026年10月2日真实快判断记录。工作台将材料、核验建议与成对原文同屏组织，人员可对照原文确认建议、记录纠正或继续核实疑点。</w:t>
      </w:r>
    </w:p>
    <w:p>
      <w:pPr>
        <w:keepNext w:val="0"/>
        <w:keepLines w:val="0"/>
        <w:widowControl/>
        <w:kinsoku/>
        <w:wordWrap/>
        <w:overflowPunct/>
        <w:topLinePunct w:val="0"/>
        <w:autoSpaceDE/>
        <w:autoSpaceDN/>
        <w:bidi w:val="0"/>
        <w:adjustRightInd/>
        <w:snapToGrid/>
        <w:spacing w:before="120" w:after="80" w:line="240" w:lineRule="auto"/>
        <w:jc w:val="both"/>
        <w:textAlignment w:val="auto"/>
        <w:rPr>
          <w:rFonts w:hint="eastAsia"/>
        </w:rPr>
      </w:pPr>
      <w:r>
        <w:drawing>
          <wp:inline distT="0" distB="0" distL="0" distR="0">
            <wp:extent cx="5219700" cy="3453130"/>
            <wp:effectExtent l="0" t="0" r="0" b="0"/>
            <wp:docPr id="650113284" name="Picture 1004" descr="历史真实快判断工作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3284" name="Picture 1004" descr="历史真实快判断工作台"/>
                    <pic:cNvPicPr>
                      <a:picLocks noChangeAspect="1"/>
                    </pic:cNvPicPr>
                  </pic:nvPicPr>
                  <pic:blipFill>
                    <a:blip r:embed="rId33"/>
                    <a:stretch>
                      <a:fillRect/>
                    </a:stretch>
                  </pic:blipFill>
                  <pic:spPr>
                    <a:xfrm>
                      <a:off x="0" y="0"/>
                      <a:ext cx="5220000" cy="3453412"/>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图3-6 真实快判断记录与成对原文</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图3-7展示人工复核入口，记录处理动作与原文依据。矛盾持续作为待核实事项管理，人员更正与原始建议分别留存。</w:t>
      </w:r>
    </w:p>
    <w:p>
      <w:pPr>
        <w:keepNext w:val="0"/>
        <w:keepLines w:val="0"/>
        <w:widowControl/>
        <w:kinsoku/>
        <w:wordWrap/>
        <w:overflowPunct/>
        <w:topLinePunct w:val="0"/>
        <w:autoSpaceDE/>
        <w:autoSpaceDN/>
        <w:bidi w:val="0"/>
        <w:adjustRightInd/>
        <w:snapToGrid/>
        <w:spacing w:before="120" w:after="80" w:line="240" w:lineRule="auto"/>
        <w:jc w:val="both"/>
        <w:textAlignment w:val="auto"/>
        <w:rPr>
          <w:rFonts w:hint="eastAsia"/>
        </w:rPr>
      </w:pPr>
      <w:r>
        <w:drawing>
          <wp:inline distT="0" distB="0" distL="0" distR="0">
            <wp:extent cx="3383915" cy="2553970"/>
            <wp:effectExtent l="0" t="0" r="0" b="0"/>
            <wp:docPr id="1538903009" name="Picture 1004" descr="疑点人工核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03009" name="Picture 1004" descr="疑点人工核实"/>
                    <pic:cNvPicPr>
                      <a:picLocks noChangeAspect="1"/>
                    </pic:cNvPicPr>
                  </pic:nvPicPr>
                  <pic:blipFill>
                    <a:blip r:embed="rId34"/>
                    <a:stretch>
                      <a:fillRect/>
                    </a:stretch>
                  </pic:blipFill>
                  <pic:spPr>
                    <a:xfrm>
                      <a:off x="0" y="0"/>
                      <a:ext cx="3384000" cy="2554374"/>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图3-7 疑点核实与处理依据入口</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26" w:name="_Toc242347097"/>
      <w:r>
        <w:t>（五）补件处理与版本管理</w:t>
      </w:r>
      <w:bookmarkEnd w:id="26"/>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如图3-8所示，订单缺失时系统生成补件提示；材料补齐后生成新版本，原结果归入历史记录，相关任务重新核验。</w:t>
      </w:r>
    </w:p>
    <w:p>
      <w:pPr>
        <w:keepNext w:val="0"/>
        <w:keepLines w:val="0"/>
        <w:widowControl/>
        <w:kinsoku/>
        <w:wordWrap/>
        <w:overflowPunct/>
        <w:topLinePunct w:val="0"/>
        <w:autoSpaceDE/>
        <w:autoSpaceDN/>
        <w:bidi w:val="0"/>
        <w:adjustRightInd/>
        <w:snapToGrid/>
        <w:spacing w:before="120" w:after="80" w:line="240" w:lineRule="auto"/>
        <w:jc w:val="center"/>
        <w:textAlignment w:val="auto"/>
        <w:rPr>
          <w:rFonts w:hint="eastAsia"/>
        </w:rPr>
      </w:pPr>
      <w:r>
        <w:drawing>
          <wp:inline distT="0" distB="0" distL="0" distR="0">
            <wp:extent cx="5210175" cy="2519680"/>
            <wp:effectExtent l="0" t="0" r="0" b="4445"/>
            <wp:docPr id="2103057762" name="Picture 1004" descr="缺项与补件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62" name="Picture 1004" descr="缺项与补件入口"/>
                    <pic:cNvPicPr>
                      <a:picLocks noChangeAspect="1"/>
                    </pic:cNvPicPr>
                  </pic:nvPicPr>
                  <pic:blipFill>
                    <a:blip r:embed="rId35"/>
                    <a:stretch>
                      <a:fillRect/>
                    </a:stretch>
                  </pic:blipFill>
                  <pic:spPr>
                    <a:xfrm>
                      <a:off x="0" y="0"/>
                      <a:ext cx="5210175" cy="251968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图3-8 缺项提示与补件重跑入口</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图3-9展示当前材料版本下的待办与人员处理记录。已处理任务、待核实疑点和未补齐事项分别显示，供后续综合审查承接。</w:t>
      </w:r>
    </w:p>
    <w:p>
      <w:pPr>
        <w:keepNext w:val="0"/>
        <w:keepLines w:val="0"/>
        <w:widowControl/>
        <w:kinsoku/>
        <w:wordWrap/>
        <w:overflowPunct/>
        <w:topLinePunct w:val="0"/>
        <w:autoSpaceDE/>
        <w:autoSpaceDN/>
        <w:bidi w:val="0"/>
        <w:adjustRightInd/>
        <w:snapToGrid/>
        <w:spacing w:before="120" w:after="80" w:line="240" w:lineRule="auto"/>
        <w:jc w:val="center"/>
        <w:textAlignment w:val="auto"/>
        <w:rPr>
          <w:rFonts w:hint="eastAsia"/>
        </w:rPr>
      </w:pPr>
      <w:r>
        <w:drawing>
          <wp:inline distT="0" distB="0" distL="0" distR="0">
            <wp:extent cx="4911090" cy="3086735"/>
            <wp:effectExtent l="0" t="0" r="3810" b="8890"/>
            <wp:docPr id="144901879" name="Picture 1004" descr="申请与复核待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1879" name="Picture 1004" descr="申请与复核待办"/>
                    <pic:cNvPicPr>
                      <a:picLocks noChangeAspect="1"/>
                    </pic:cNvPicPr>
                  </pic:nvPicPr>
                  <pic:blipFill>
                    <a:blip r:embed="rId36"/>
                    <a:stretch>
                      <a:fillRect/>
                    </a:stretch>
                  </pic:blipFill>
                  <pic:spPr>
                    <a:xfrm>
                      <a:off x="0" y="0"/>
                      <a:ext cx="4911090" cy="3086735"/>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图3-9 申请与复核待办</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27" w:name="_Toc242347098"/>
      <w:r>
        <w:t>（六）核验摘要与结果交接</w:t>
      </w:r>
      <w:bookmarkEnd w:id="27"/>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如图3-10所示，拟向工小审相关任务回传核验事项包，包括答案与来源、成对原文、处理依据、材料版本及未决事项。复杂分析以工银智涌为协同目标，具体接口与权限在银行适配阶段确认。</w:t>
      </w:r>
    </w:p>
    <w:p>
      <w:pPr>
        <w:keepNext w:val="0"/>
        <w:keepLines w:val="0"/>
        <w:widowControl/>
        <w:kinsoku/>
        <w:wordWrap/>
        <w:overflowPunct/>
        <w:topLinePunct w:val="0"/>
        <w:autoSpaceDE/>
        <w:autoSpaceDN/>
        <w:bidi w:val="0"/>
        <w:adjustRightInd/>
        <w:snapToGrid/>
        <w:spacing w:before="120" w:after="80" w:line="240" w:lineRule="auto"/>
        <w:jc w:val="both"/>
        <w:textAlignment w:val="auto"/>
        <w:rPr>
          <w:rFonts w:hint="eastAsia"/>
        </w:rPr>
      </w:pPr>
      <w:r>
        <w:drawing>
          <wp:inline distT="0" distB="0" distL="0" distR="0">
            <wp:extent cx="5543550" cy="2573655"/>
            <wp:effectExtent l="0" t="0" r="0" b="0"/>
            <wp:docPr id="1002" name="Picture 1002" descr="核验事项交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02" descr="核验事项交接"/>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5544000" cy="257400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图3-10 面向工小审的核验事项交接设计</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核验事项包以单项任务为单位交接，记录缺件处理、矛盾核实、复杂分析和人员处置结果。补件后重新核验相关任务，原始建议与更正依据保留，后续评审可持续追踪未决事项。</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如图3-11所示，辅助核验摘要汇总任务答案、成对原文和处理依据，为复核与交接提供一致的信息结构。复杂事项按需进入分析流程。</w:t>
      </w:r>
    </w:p>
    <w:p>
      <w:pPr>
        <w:keepNext w:val="0"/>
        <w:keepLines w:val="0"/>
        <w:widowControl/>
        <w:kinsoku/>
        <w:wordWrap/>
        <w:overflowPunct/>
        <w:topLinePunct w:val="0"/>
        <w:autoSpaceDE/>
        <w:autoSpaceDN/>
        <w:bidi w:val="0"/>
        <w:adjustRightInd/>
        <w:snapToGrid/>
        <w:spacing w:before="120" w:after="80" w:line="240" w:lineRule="auto"/>
        <w:jc w:val="both"/>
        <w:textAlignment w:val="auto"/>
        <w:rPr>
          <w:rFonts w:hint="eastAsia"/>
        </w:rPr>
      </w:pPr>
      <w:r>
        <w:drawing>
          <wp:inline distT="0" distB="0" distL="0" distR="0">
            <wp:extent cx="5619750" cy="4462145"/>
            <wp:effectExtent l="0" t="0" r="0" b="5080"/>
            <wp:docPr id="897266860" name="Picture 1004" descr="辅助核验摘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66860" name="Picture 1004" descr="辅助核验摘要"/>
                    <pic:cNvPicPr>
                      <a:picLocks noChangeAspect="1"/>
                    </pic:cNvPicPr>
                  </pic:nvPicPr>
                  <pic:blipFill>
                    <a:blip r:embed="rId39"/>
                    <a:stretch>
                      <a:fillRect/>
                    </a:stretch>
                  </pic:blipFill>
                  <pic:spPr>
                    <a:xfrm>
                      <a:off x="0" y="0"/>
                      <a:ext cx="5619750" cy="4462145"/>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图3-11 辅助核验摘要</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图3-12展示拟议结果交接内容，包括任务范围、材料版本、核验建议及来源、处理记录和未决事项。原型支持本地预览与导出，接口范围限定为辅助核验信息。</w:t>
      </w:r>
    </w:p>
    <w:p>
      <w:pPr>
        <w:keepNext w:val="0"/>
        <w:keepLines w:val="0"/>
        <w:widowControl/>
        <w:kinsoku/>
        <w:wordWrap/>
        <w:overflowPunct/>
        <w:topLinePunct w:val="0"/>
        <w:autoSpaceDE/>
        <w:autoSpaceDN/>
        <w:bidi w:val="0"/>
        <w:adjustRightInd/>
        <w:snapToGrid/>
        <w:spacing w:before="120" w:after="80" w:line="240" w:lineRule="auto"/>
        <w:jc w:val="both"/>
        <w:textAlignment w:val="auto"/>
        <w:rPr>
          <w:rFonts w:hint="eastAsia"/>
        </w:rPr>
      </w:pPr>
      <w:r>
        <w:drawing>
          <wp:inline distT="0" distB="0" distL="0" distR="0">
            <wp:extent cx="5543550" cy="1143635"/>
            <wp:effectExtent l="0" t="0" r="0" b="0"/>
            <wp:docPr id="1112472506" name="Picture 1004" descr="结果交接内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72506" name="Picture 1004" descr="结果交接内容"/>
                    <pic:cNvPicPr>
                      <a:picLocks noChangeAspect="1"/>
                    </pic:cNvPicPr>
                  </pic:nvPicPr>
                  <pic:blipFill>
                    <a:blip r:embed="rId40"/>
                    <a:stretch>
                      <a:fillRect/>
                    </a:stretch>
                  </pic:blipFill>
                  <pic:spPr>
                    <a:xfrm>
                      <a:off x="0" y="0"/>
                      <a:ext cx="5544000" cy="1144206"/>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图3-12 拟议协同输入与输出</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图3-6取自历史真实推理记录；图3-4、图3-7、图3-8、图3-9、图3-11和图3-12采用独立仿真数据库与预设结论展示操作流程。</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28" w:name="_Toc242347099"/>
      <w:r>
        <w:t>（七）运行模式与功能验证</w:t>
      </w:r>
      <w:bookmarkEnd w:id="28"/>
    </w:p>
    <w:p>
      <w:pPr>
        <w:keepNext w:val="0"/>
        <w:keepLines w:val="0"/>
        <w:widowControl/>
        <w:kinsoku/>
        <w:wordWrap/>
        <w:overflowPunct/>
        <w:topLinePunct w:val="0"/>
        <w:autoSpaceDE/>
        <w:autoSpaceDN/>
        <w:bidi w:val="0"/>
        <w:adjustRightInd/>
        <w:snapToGrid/>
        <w:ind w:firstLine="640" w:firstLineChars="200"/>
        <w:jc w:val="both"/>
        <w:textAlignment w:val="auto"/>
      </w:pPr>
      <w:r>
        <w:t>原型保留流程演示、社区快判断和本地双系统实验，并增加官方Jev独立入口。官方后端承接同一任务规范，沿用材料版本、原文查证、人员复核及事项交接；请求失败或达到上限时转人员处理，原判断与更正记录分别留存。复杂分析通过独立模式评价。</w:t>
      </w:r>
    </w:p>
    <w:p>
      <w:pPr>
        <w:keepNext w:val="0"/>
        <w:keepLines w:val="0"/>
        <w:widowControl/>
        <w:kinsoku/>
        <w:wordWrap/>
        <w:overflowPunct/>
        <w:topLinePunct w:val="0"/>
        <w:autoSpaceDE/>
        <w:autoSpaceDN/>
        <w:bidi w:val="0"/>
        <w:adjustRightInd/>
        <w:snapToGrid/>
        <w:ind w:firstLine="640" w:firstLineChars="200"/>
        <w:jc w:val="both"/>
        <w:textAlignment w:val="auto"/>
      </w:pPr>
      <w:r>
        <w:t>交互围绕三类实际处理动作组织：缺件后补充材料并重跑相关任务；识别矛盾后定位成对原文并记录核实依据；人员纠正后生成包含原始建议、当前结论及未决事项的交接包。每次处理绑定材料版本，帮助经办与复核人员持续追踪疑点。</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原型通过85项软件回归，覆盖材料版本、规则门控、官方判断记录、异常接管和人员交接。官方新增后端的测试检查单项失败不覆盖其他结果、达到请求上限停止调用，以及判断身份和用量随事项包留存。官方两例协议实测按第五章所列配置独立记录。</w:t>
      </w:r>
      <w:r>
        <w:rPr>
          <w:color w:val="000000" w:themeColor="text1"/>
          <w:vertAlign w:val="superscript"/>
          <w14:textFill>
            <w14:solidFill>
              <w14:schemeClr w14:val="tx1"/>
            </w14:solidFill>
          </w14:textFill>
        </w:rPr>
        <w:t>[</w:t>
      </w:r>
      <w:r>
        <w:rPr>
          <w:color w:val="000000" w:themeColor="text1"/>
          <w:vertAlign w:val="superscript"/>
          <w14:textFill>
            <w14:solidFill>
              <w14:schemeClr w14:val="tx1"/>
            </w14:solidFill>
          </w14:textFill>
        </w:rPr>
        <w:footnoteReference w:id="8"/>
      </w:r>
      <w:r>
        <w:rPr>
          <w:color w:val="000000" w:themeColor="text1"/>
          <w:vertAlign w:val="superscript"/>
          <w14:textFill>
            <w14:solidFill>
              <w14:schemeClr w14:val="tx1"/>
            </w14:solidFill>
          </w14:textFill>
        </w:rPr>
        <w:t>]</w:t>
      </w:r>
      <w:r>
        <w:t>如图3-13所示，三种运行模式共用材料版本、复核和交接流程，演示结论、社区推理与官方返回分别标识。</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403350"/>
            <wp:effectExtent l="0" t="0" r="0" b="6350"/>
            <wp:docPr id="2103057776" name="Picture 2103057776" descr="原型运行模式与共同业务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76" name="Picture 2103057776" descr="原型运行模式与共同业务闭环"/>
                    <pic:cNvPicPr>
                      <a:picLocks noChangeAspect="1"/>
                    </pic:cNvPicPr>
                  </pic:nvPicPr>
                  <pic:blipFill>
                    <a:blip r:embed="rId41">
                      <a:extLst>
                        <a:ext uri="{96DAC541-7B7A-43D3-8B79-37D633B846F1}">
                          <asvg:svgBlip xmlns:asvg="http://schemas.microsoft.com/office/drawing/2016/SVG/main" r:embed="rId42"/>
                        </a:ext>
                      </a:extLst>
                    </a:blip>
                    <a:srcRect b="19196"/>
                    <a:stretch>
                      <a:fillRect/>
                    </a:stretch>
                  </pic:blipFill>
                  <pic:spPr>
                    <a:xfrm>
                      <a:off x="0" y="0"/>
                      <a:ext cx="5544000" cy="140335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图3-13 原型运行模式与共同业务闭环</w:t>
      </w:r>
    </w:p>
    <w:p>
      <w:pPr>
        <w:keepNext w:val="0"/>
        <w:keepLines w:val="0"/>
        <w:widowControl/>
        <w:kinsoku/>
        <w:wordWrap/>
        <w:overflowPunct/>
        <w:topLinePunct w:val="0"/>
        <w:autoSpaceDE/>
        <w:autoSpaceDN/>
        <w:bidi w:val="0"/>
        <w:adjustRightInd/>
        <w:snapToGrid/>
        <w:ind w:firstLine="640" w:firstLineChars="200"/>
        <w:jc w:val="both"/>
        <w:textAlignment w:val="auto"/>
      </w:pPr>
      <w:r>
        <w:t>本地原型形成材料提交、任务核验、原文查证、人员处理与事项交接的闭环。下一章进一步说明支撑该流程的能力分工、模型选择及金融场景适配设计。</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p>
    <w:p>
      <w:pPr>
        <w:pStyle w:val="3"/>
        <w:keepNext w:val="0"/>
        <w:keepLines w:val="0"/>
        <w:widowControl/>
        <w:kinsoku/>
        <w:wordWrap/>
        <w:overflowPunct/>
        <w:topLinePunct w:val="0"/>
        <w:autoSpaceDE/>
        <w:autoSpaceDN/>
        <w:bidi w:val="0"/>
        <w:adjustRightInd/>
        <w:snapToGrid/>
        <w:jc w:val="both"/>
        <w:textAlignment w:val="auto"/>
        <w:rPr>
          <w:rFonts w:hint="eastAsia"/>
        </w:rPr>
      </w:pPr>
      <w:bookmarkStart w:id="29" w:name="_Toc242347100"/>
      <w:r>
        <w:t>四、技术架构与方案创新</w:t>
      </w:r>
      <w:bookmarkEnd w:id="29"/>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30" w:name="_Toc242347101"/>
      <w:r>
        <w:t>（一）分层架构与能力分工</w:t>
      </w:r>
      <w:bookmarkEnd w:id="30"/>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技术架构将核验任务与模型实现分开管理。每项任务统一问题、材料范围、候选答案和结果去向，便于维护审查口径、追踪处理依据及替换快层模型。如图4-1所示，各层分别承担材料组织、规则校验、判断、路由与复核职责。</w:t>
      </w:r>
    </w:p>
    <w:p>
      <w:pPr>
        <w:pStyle w:val="179"/>
        <w:keepNext w:val="0"/>
        <w:keepLines w:val="0"/>
        <w:widowControl/>
        <w:kinsoku/>
        <w:wordWrap/>
        <w:overflowPunct/>
        <w:topLinePunct w:val="0"/>
        <w:autoSpaceDE/>
        <w:autoSpaceDN/>
        <w:bidi w:val="0"/>
        <w:adjustRightInd/>
        <w:snapToGrid/>
        <w:spacing w:before="120" w:line="240" w:lineRule="auto"/>
        <w:jc w:val="both"/>
        <w:textAlignment w:val="auto"/>
        <w:rPr>
          <w:rFonts w:hint="eastAsia"/>
        </w:rPr>
      </w:pPr>
      <w:r>
        <w:drawing>
          <wp:inline distT="0" distB="0" distL="0" distR="0">
            <wp:extent cx="5543550" cy="2457450"/>
            <wp:effectExtent l="0" t="0" r="0" b="0"/>
            <wp:docPr id="6" name="Picture 6" descr="图4-1 蓝色技术设计图；正文图注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4-1 蓝色技术设计图；正文图注说明"/>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5544000" cy="245784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图4-1 材料核验的技术分层与职责</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color w:val="000000" w:themeColor="text1"/>
          <w:vertAlign w:val="superscript"/>
          <w14:textFill>
            <w14:solidFill>
              <w14:schemeClr w14:val="tx1"/>
            </w14:solidFill>
          </w14:textFill>
        </w:rPr>
      </w:pPr>
      <w:r>
        <w:t>官方Jev作为可选System 1判断后端，接入项目既有任务规范与材料核验流程；社区AgentJev保留为本地研究基线。两者分别记录模型版本、判断和用量，便于比较与替换。业务任务、原文索引、异常承接和复核责任由本项目管理。</w:t>
      </w:r>
      <w:r>
        <w:rPr>
          <w:color w:val="000000" w:themeColor="text1"/>
          <w:vertAlign w:val="superscript"/>
          <w14:textFill>
            <w14:solidFill>
              <w14:schemeClr w14:val="tx1"/>
            </w14:solidFill>
          </w14:textFill>
        </w:rPr>
        <w:t>[</w:t>
      </w:r>
      <w:bookmarkStart w:id="31" w:name="SourceT1"/>
      <w:r>
        <w:rPr>
          <w:color w:val="000000" w:themeColor="text1"/>
          <w:vertAlign w:val="superscript"/>
          <w14:textFill>
            <w14:solidFill>
              <w14:schemeClr w14:val="tx1"/>
            </w14:solidFill>
          </w14:textFill>
        </w:rPr>
        <w:footnoteReference w:id="9"/>
      </w:r>
      <w:bookmarkEnd w:id="31"/>
      <w:r>
        <w:rPr>
          <w:color w:val="000000" w:themeColor="text1"/>
          <w:vertAlign w:val="superscript"/>
          <w14:textFill>
            <w14:solidFill>
              <w14:schemeClr w14:val="tx1"/>
            </w14:solidFill>
          </w14:textFill>
        </w:rPr>
        <w:t>]</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架构借鉴mu的版本化任务、判断服务、策略编排与运行记录分离方式，复用System One接口约定，将编程任务替换为信贷材料关系核验。模型异常形成真实失败记录并转人工；审计写入失败时暂停采用建议，材料更正触发新版本重跑。规则、判断、复杂分析与人员责任按业务性质分别配置。</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用途一致性与经营陈述矛盾需要理解语义，但结论可限定为三类候选。Jev式判断将材料分析收敛为明确的局部问题，使后续流程依据统一答案处理，而无需先从自由文本中解析结论。规则负责条件检查，快层负责可比材料的关系判断，人员与复杂分析能力承接未决事项。</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本项目借鉴有限候选判断方式，将其与规则、证据和人员交接结合。已有可比材料由快层核验，缺失事实先补充取证，复杂关系按需分析。团队的创新重点是面向金融任务的协同编排。</w:t>
      </w:r>
      <w:r>
        <w:rPr>
          <w:rFonts w:ascii="Times New Roman" w:hAnsi="Times New Roman" w:eastAsia="宋体"/>
          <w:sz w:val="20"/>
          <w:vertAlign w:val="superscript"/>
        </w:rPr>
        <w:t>[</w:t>
      </w:r>
      <w:r>
        <w:fldChar w:fldCharType="begin"/>
      </w:r>
      <w:r>
        <w:rPr>
          <w:rFonts w:hint="eastAsia"/>
        </w:rPr>
        <w:instrText xml:space="preserve">NOTEREF SourceT5 \h \* MERGEFORMAT </w:instrText>
      </w:r>
      <w:r>
        <w:fldChar w:fldCharType="separate"/>
      </w:r>
      <w:r>
        <w:rPr>
          <w:rFonts w:hint="eastAsia"/>
          <w:sz w:val="20"/>
          <w:vertAlign w:val="superscript"/>
        </w:rPr>
        <w:t>7</w:t>
      </w:r>
      <w:r>
        <w:fldChar w:fldCharType="end"/>
      </w:r>
      <w:r>
        <w:rPr>
          <w:rFonts w:ascii="Times New Roman" w:hAnsi="Times New Roman" w:eastAsia="宋体"/>
          <w:sz w:val="20"/>
          <w:vertAlign w:val="superscript"/>
        </w:rPr>
        <w:t>]</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预期工程收益来自有限答案输出与按任务调用：减少自由文本解析，使复杂分析围绕具体疑点展开，并统一记录模型消耗和人员处理。普通分类器与短输出生成模型同样纳入对照；是否采用官方Jev，取决于相同任务下的漏识别、误报、证据支持、响应和完整成本。</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32" w:name="_Toc242347102"/>
      <w:r>
        <w:t>（二）材料组织与判断依据</w:t>
      </w:r>
      <w:bookmarkEnd w:id="32"/>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每项输入绑定主体、期间、原文段落和有效版本。首期使用已整理文本；后续材料解析与检索纳入统一的质量和成本评价。材料中的指令性文字按原文处理，核验规则与处理权限由系统配置控制。</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4-2所示，材料归集后先检查完整性与比较口径，符合条件的用途一致性、经营陈述矛盾任务交由官方Jev判断。限定答案与候选分布、服务置信度分别留存，工作台从材料索引组织原文依据，形成可由人员承接的核验事项包。复杂未决关系按需协同工银智涌的适配路径另行验证。</w:t>
      </w:r>
    </w:p>
    <w:p>
      <w:pPr>
        <w:pStyle w:val="179"/>
        <w:keepNext w:val="0"/>
        <w:keepLines w:val="0"/>
        <w:widowControl/>
        <w:kinsoku/>
        <w:wordWrap/>
        <w:overflowPunct/>
        <w:topLinePunct w:val="0"/>
        <w:autoSpaceDE/>
        <w:autoSpaceDN/>
        <w:bidi w:val="0"/>
        <w:adjustRightInd/>
        <w:snapToGrid/>
        <w:spacing w:before="120" w:line="240" w:lineRule="auto"/>
        <w:jc w:val="both"/>
        <w:textAlignment w:val="auto"/>
        <w:rPr>
          <w:rFonts w:hint="eastAsia"/>
        </w:rPr>
      </w:pPr>
      <w:r>
        <w:drawing>
          <wp:inline distT="0" distB="0" distL="0" distR="0">
            <wp:extent cx="5543550" cy="3220720"/>
            <wp:effectExtent l="0" t="0" r="0" b="8255"/>
            <wp:docPr id="2103057766" name="Picture 2103057766" descr="官方Jev限定判断与材料核验事项交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66" name="Picture 2103057766" descr="官方Jev限定判断与材料核验事项交接"/>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5544000" cy="322080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图4-2 官方Jev判断与贷前核验业务承接</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长材料处理按完整检查范围选取相关片段，并记录选取依据；关键上下文缺失时进入补充或核实流程。核验结论的适用范围随已检查内容一并输出。</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33" w:name="_Toc242347103"/>
      <w:r>
        <w:t>（三）模型适配与选型原则</w:t>
      </w:r>
      <w:bookmarkEnd w:id="33"/>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模型适配采用两条独立路线：官方Jev通过业务状态、任务说明和候选判定标准适配场景；社区模型可在授权与许可范围内训练任务头或微调底座。官方文档明确，其服务不以客户资料进行账户级微调，中文任务应单独验证。</w:t>
      </w:r>
      <w:r>
        <w:rPr>
          <w:vertAlign w:val="superscript"/>
        </w:rPr>
        <w:t>[</w:t>
      </w:r>
      <w:r>
        <w:rPr>
          <w:vertAlign w:val="superscript"/>
        </w:rPr>
        <w:footnoteReference w:id="10"/>
      </w:r>
      <w:r>
        <w:rPr>
          <w:vertAlign w:val="superscript"/>
        </w:rPr>
        <w:t>]</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本轮以公开AgentJev／Qwen3-0.6B检查点为固定基线，训练候选判断头，并与中文BERT加分类头、字符分类器及本地短输出生成模型开展同任务开发对照。任务头适配未增加总体参考一致数，默认模型保持；官方Jev实验另行记录，不继承社区模型成绩。</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候选概率与服务置信度分别留存，均不直接解释为信贷核验正确率、获批率或违约率。分数能否用于路由，需结合中文领域标签、关键错误及接受部分的错误率独立评价；自动完成条件经业务授权后确定。</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color w:val="000000" w:themeColor="text1"/>
          <w:vertAlign w:val="superscript"/>
          <w14:textFill>
            <w14:solidFill>
              <w14:schemeClr w14:val="tx1"/>
            </w14:solidFill>
          </w14:textFill>
        </w:rPr>
      </w:pPr>
      <w:r>
        <w:t>Jev式判断描述任务组织与输出方式，SLM与LLM描述模型规模，Transformer描述网络结构。表4-1从信贷任务角度比较TypeSafe及五家国内厂商的相关服务；规则与中文分类器作为本地对照，模型选型综合考虑核验质量、证据、部署和完整开销。</w:t>
      </w:r>
      <w:r>
        <w:rPr>
          <w:color w:val="000000" w:themeColor="text1"/>
          <w:vertAlign w:val="superscript"/>
          <w14:textFill>
            <w14:solidFill>
              <w14:schemeClr w14:val="tx1"/>
            </w14:solidFill>
          </w14:textFill>
        </w:rPr>
        <w:t>[</w:t>
      </w:r>
      <w:r>
        <w:rPr>
          <w:color w:val="000000" w:themeColor="text1"/>
          <w:vertAlign w:val="superscript"/>
          <w14:textFill>
            <w14:solidFill>
              <w14:schemeClr w14:val="tx1"/>
            </w14:solidFill>
          </w14:textFill>
        </w:rPr>
        <w:footnoteReference w:id="11"/>
      </w:r>
      <w:r>
        <w:rPr>
          <w:color w:val="000000" w:themeColor="text1"/>
          <w:vertAlign w:val="superscript"/>
          <w14:textFill>
            <w14:solidFill>
              <w14:schemeClr w14:val="tx1"/>
            </w14:solidFill>
          </w14:textFill>
        </w:rPr>
        <w:t>]</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表4-1 代表性模型服务与信贷任务对标</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2324"/>
        <w:gridCol w:w="2324"/>
        <w:gridCol w:w="2381"/>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模型或服务</w:t>
            </w:r>
          </w:p>
        </w:tc>
        <w:tc>
          <w:tcPr>
            <w:tcW w:w="2324"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官方能力参照</w:t>
            </w:r>
          </w:p>
        </w:tc>
        <w:tc>
          <w:tcPr>
            <w:tcW w:w="2324"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拟对标的信贷任务</w:t>
            </w:r>
          </w:p>
        </w:tc>
        <w:tc>
          <w:tcPr>
            <w:tcW w:w="2381"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主要验证问题</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Jev 1.13</w:t>
            </w:r>
          </w:p>
        </w:tc>
        <w:tc>
          <w:tcPr>
            <w:tcW w:w="2324"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有限候选、评分与命题判断；结构化返回</w:t>
            </w:r>
          </w:p>
        </w:tc>
        <w:tc>
          <w:tcPr>
            <w:tcW w:w="2324"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用途一致性、经营陈述矛盾等局部核验</w:t>
            </w:r>
          </w:p>
        </w:tc>
        <w:tc>
          <w:tcPr>
            <w:tcW w:w="238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中文关系理解、候选稳定性、分数与错误的对应</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百炼决策服务</w:t>
            </w:r>
            <w:r>
              <w:rPr>
                <w:sz w:val="21"/>
              </w:rPr>
              <w:br w:type="textWrapping"/>
            </w:r>
            <w:r>
              <w:rPr>
                <w:sz w:val="21"/>
              </w:rPr>
              <w:t>decision-model-preview</w:t>
            </w:r>
          </w:p>
        </w:tc>
        <w:tc>
          <w:tcPr>
            <w:tcW w:w="2324"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兼容TypeSafe System One协议；返回判定、分布等</w:t>
            </w:r>
          </w:p>
        </w:tc>
        <w:tc>
          <w:tcPr>
            <w:tcW w:w="2324"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同类判断接口及境内服务适配参照</w:t>
            </w:r>
          </w:p>
        </w:tc>
        <w:tc>
          <w:tcPr>
            <w:tcW w:w="238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服务与底座身份、中文表现、版本及异常接管</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DeepSeek</w:t>
            </w:r>
            <w:r>
              <w:rPr>
                <w:sz w:val="21"/>
              </w:rPr>
              <w:br w:type="textWrapping"/>
            </w:r>
            <w:r>
              <w:rPr>
                <w:sz w:val="21"/>
              </w:rPr>
              <w:t>V4.1-Flash</w:t>
            </w:r>
          </w:p>
        </w:tc>
        <w:tc>
          <w:tcPr>
            <w:tcW w:w="2324"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思考／非思考；JSON输出与工具调用</w:t>
            </w:r>
          </w:p>
        </w:tc>
        <w:tc>
          <w:tcPr>
            <w:tcW w:w="2324"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短答案核验与复杂分析的生成式对照</w:t>
            </w:r>
          </w:p>
        </w:tc>
        <w:tc>
          <w:tcPr>
            <w:tcW w:w="238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模式切换后的纠错增益、缓存复用及完整开销</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智谱GLM-5.2</w:t>
            </w:r>
          </w:p>
        </w:tc>
        <w:tc>
          <w:tcPr>
            <w:tcW w:w="2324"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1M上下文；思考、结构化输出与工具调用</w:t>
            </w:r>
          </w:p>
        </w:tc>
        <w:tc>
          <w:tcPr>
            <w:tcW w:w="2324"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多材料关系分析、审查意见初稿</w:t>
            </w:r>
          </w:p>
        </w:tc>
        <w:tc>
          <w:tcPr>
            <w:tcW w:w="238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原文支持、长文遗漏及对快判断错误的修复</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通义千问Plus</w:t>
            </w:r>
          </w:p>
        </w:tc>
        <w:tc>
          <w:tcPr>
            <w:tcW w:w="2324"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文本生成；思考／非思考分别计费</w:t>
            </w:r>
          </w:p>
        </w:tc>
        <w:tc>
          <w:tcPr>
            <w:tcW w:w="2324"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低成本短答案核验与说明生成对照</w:t>
            </w:r>
          </w:p>
        </w:tc>
        <w:tc>
          <w:tcPr>
            <w:tcW w:w="238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有限输出是否已满足质量，新增快层是否必要</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豆包Seed 2.1 Lite</w:t>
            </w:r>
          </w:p>
        </w:tc>
        <w:tc>
          <w:tcPr>
            <w:tcW w:w="2324"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生成式服务；常规、低延迟等推理档位</w:t>
            </w:r>
          </w:p>
        </w:tc>
        <w:tc>
          <w:tcPr>
            <w:tcW w:w="2324"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材料说明处理、局部核验与服务容量对照</w:t>
            </w:r>
          </w:p>
        </w:tc>
        <w:tc>
          <w:tcPr>
            <w:tcW w:w="238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相同质量下的排队时延、服务档位与复核开销</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Kimi K2.6</w:t>
            </w:r>
          </w:p>
        </w:tc>
        <w:tc>
          <w:tcPr>
            <w:tcW w:w="2324"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256K上下文；文本及视觉、思考与工具调用</w:t>
            </w:r>
          </w:p>
        </w:tc>
        <w:tc>
          <w:tcPr>
            <w:tcW w:w="2324"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较长文本材料的关联分析与解释</w:t>
            </w:r>
          </w:p>
        </w:tc>
        <w:tc>
          <w:tcPr>
            <w:tcW w:w="238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跨段证据完整性、引用支持及长材料开销</w:t>
            </w:r>
          </w:p>
        </w:tc>
      </w:tr>
    </w:tbl>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普通分类器可返回固定标签，生成式SLM或LLM可输出短答案；有限候选判断的增量需在同质量条件下验证。百炼兼容TypeSafe协议属于服务适配参照，具体底座身份在独立模型对照前核定。</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34" w:name="_Toc242347104"/>
      <w:r>
        <w:t>（四）金融场景适配创新</w:t>
      </w:r>
      <w:bookmarkEnd w:id="34"/>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4-3所示，通用模型和结构化判断范式提供技术基础，团队的场景设计围绕金融任务、处理约束与人员协同展开。两项首期任务分别确定主体、期间、材料版本、答案含义和证据要求，为一致的业务口径提供基础。</w:t>
      </w:r>
    </w:p>
    <w:p>
      <w:pPr>
        <w:pStyle w:val="179"/>
        <w:keepNext w:val="0"/>
        <w:keepLines w:val="0"/>
        <w:widowControl/>
        <w:kinsoku/>
        <w:wordWrap/>
        <w:overflowPunct/>
        <w:topLinePunct w:val="0"/>
        <w:autoSpaceDE/>
        <w:autoSpaceDN/>
        <w:bidi w:val="0"/>
        <w:adjustRightInd/>
        <w:snapToGrid/>
        <w:spacing w:before="120" w:after="0" w:line="240" w:lineRule="auto"/>
        <w:jc w:val="both"/>
        <w:textAlignment w:val="auto"/>
        <w:rPr>
          <w:rFonts w:hint="eastAsia"/>
        </w:rPr>
      </w:pPr>
      <w:r>
        <w:drawing>
          <wp:inline distT="0" distB="0" distL="0" distR="0">
            <wp:extent cx="5543550" cy="2323465"/>
            <wp:effectExtent l="0" t="0" r="0" b="0"/>
            <wp:docPr id="28" name="Picture 28" descr="技术继承场景适配与创新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技术继承场景适配与创新验证"/>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5544000" cy="2323832"/>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图4-3 技术继承、场景适配与创新验证</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场景适配将缺件、事实冲突和复杂关系分别管理，并使原文、版本与处理依据随任务流转。同一申请中的疑点独立保留，单项处理完成后继续追踪其他未决事项。</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面向工小审的拟交付成果是核验事项包，支持查看原文、纠正建议和承接未决事项。任务口径、接口和人员责任保持稳定，模型实现可按领域验证结果替换，便于在既有评审体系内逐步适配。</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35" w:name="_Toc242347105"/>
      <w:r>
        <w:t>（五）领域数据与验证设计</w:t>
      </w:r>
      <w:bookmarkEnd w:id="35"/>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仿真材料围绕业务事实构造，标签记录答案、可比条件、原文依据和未决事项，独立复核采用仅含材料的判定表。相同事实的改写和同一申请的多项问题归入同一案例族，分组切分训练、开发与评价资料。</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4-4所示，训练、模型选择、校准、路由条件选择与最终测试分别管理。样本有限时在训练开发范围内进行交叉验证；最终测试在方案冻结后开展。已用于错误分析的资料归入开发回归，后续效果评价采用新的独立资料。</w:t>
      </w:r>
    </w:p>
    <w:p>
      <w:pPr>
        <w:pStyle w:val="179"/>
        <w:keepNext w:val="0"/>
        <w:keepLines w:val="0"/>
        <w:widowControl/>
        <w:kinsoku/>
        <w:wordWrap/>
        <w:overflowPunct/>
        <w:topLinePunct w:val="0"/>
        <w:autoSpaceDE/>
        <w:autoSpaceDN/>
        <w:bidi w:val="0"/>
        <w:adjustRightInd/>
        <w:snapToGrid/>
        <w:spacing w:before="120" w:line="240" w:lineRule="auto"/>
        <w:jc w:val="both"/>
        <w:textAlignment w:val="auto"/>
        <w:rPr>
          <w:rFonts w:hint="eastAsia"/>
        </w:rPr>
      </w:pPr>
      <w:r>
        <w:drawing>
          <wp:inline distT="0" distB="0" distL="0" distR="0">
            <wp:extent cx="5504815" cy="2160270"/>
            <wp:effectExtent l="0" t="0" r="635" b="1905"/>
            <wp:docPr id="8" name="Picture 8" descr="图4-3 蓝色技术设计图；正文图注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4-3 蓝色技术设计图；正文图注说明"/>
                    <pic:cNvPicPr>
                      <a:picLocks noChangeAspect="1"/>
                    </pic:cNvPicPr>
                  </pic:nvPicPr>
                  <pic:blipFill>
                    <a:blip r:embed="rId49">
                      <a:extLst>
                        <a:ext uri="{96DAC541-7B7A-43D3-8B79-37D633B846F1}">
                          <asvg:svgBlip xmlns:asvg="http://schemas.microsoft.com/office/drawing/2016/SVG/main" r:embed="rId50"/>
                        </a:ext>
                      </a:extLst>
                    </a:blip>
                    <a:srcRect r="699" b="9377"/>
                    <a:stretch>
                      <a:fillRect/>
                    </a:stretch>
                  </pic:blipFill>
                  <pic:spPr>
                    <a:xfrm>
                      <a:off x="0" y="0"/>
                      <a:ext cx="5504815" cy="216027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图4-4 领域适配与独立验证的目标路径</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模型评价分别统计漏识别、误报、不可比识别和原文支持情况。分类器、有限候选判断与短输出生成模型采用相近的适配资源，比较核验质量和完整开销；慢分析进一步评价对快判断的纠错增量。</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模型层验证有限候选判断能否在相同任务与输入条件下达到所需语义质量，并减少处理开销。优先设置同底座短输出生成或分类对照，控制模型规模、预训练与领域适配差异，评价判断方式的独立增量。</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流程层固定快慢模型，比较快判断独立处理、简单分数路由和加入证据条件的路由，评价慢分析纠错、新增错误及复核工作量。在质量达标后比较完整成本，分别识别模型选择与协同流程的收益来源。</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36" w:name="_Toc242347106"/>
      <w:r>
        <w:t>（六）任务路由与异常接管</w:t>
      </w:r>
      <w:bookmarkEnd w:id="36"/>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目标路由先确认材料和适用范围，再开展规则或语义判断。低分、缺证据和明确矛盾分别对应分析、补充与核实路径。任务接受条件通过独立验证资料选择，冻结后评价覆盖率与错误率。</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路由设计将材料条件与模型不确定性分开。客观缺件先补件，不可比陈述先核对口径，明确矛盾由人员核实；仅对材料充分、关系复杂且仍有未决问题的任务评价慢分析收益。升级条件按任务在独立验证资料上选择并冻结，同时报告成功纠错、新增错误及未升级错误。当前默认采用快判断与人员复核，双系统保留为实验模式。</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慢分析处理限定的未决问题，保留原快判断、返回依据与实际消耗，失败时转人员。处理顺序由材料信息依赖决定：可比材料先核验，缺失事实先取证，新材料形成后重新核验。</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如图4-5所示，缺失事实、明确矛盾、复杂关系和运行异常采用不同承接方式，人员处理与模型建议分别留存。</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958340"/>
            <wp:effectExtent l="0" t="0" r="0" b="0"/>
            <wp:docPr id="2103057777" name="Picture 2103057777" descr="不确定事项的原因与承接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77" name="Picture 2103057777" descr="不确定事项的原因与承接方式"/>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5544000" cy="195888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图4-5 不确定事项的原因与承接方式</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37" w:name="_Toc242347107"/>
      <w:r>
        <w:t>（七）系统接口与业务适配</w:t>
      </w:r>
      <w:bookmarkEnd w:id="37"/>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图4-6和表4-2列出原型能力及业务适配要求。社区快判断、本地慢分析与版本化判断服务均有真实调用记录；官方Jev已完成两例仿真协议验证，并形成独立工作台入口。同任务领域对照用于确定其适用范围，工银智涌分析和工小审事项承接按银行确认的环境、接口与权限推进。</w:t>
      </w:r>
    </w:p>
    <w:p>
      <w:pPr>
        <w:pStyle w:val="179"/>
        <w:keepNext w:val="0"/>
        <w:keepLines w:val="0"/>
        <w:widowControl/>
        <w:kinsoku/>
        <w:wordWrap/>
        <w:overflowPunct/>
        <w:topLinePunct w:val="0"/>
        <w:autoSpaceDE/>
        <w:autoSpaceDN/>
        <w:bidi w:val="0"/>
        <w:adjustRightInd/>
        <w:snapToGrid/>
        <w:spacing w:before="120" w:line="240" w:lineRule="auto"/>
        <w:jc w:val="both"/>
        <w:textAlignment w:val="auto"/>
        <w:rPr>
          <w:rFonts w:hint="eastAsia"/>
        </w:rPr>
      </w:pPr>
      <w:r>
        <w:drawing>
          <wp:inline distT="0" distB="0" distL="0" distR="0">
            <wp:extent cx="5543550" cy="3030220"/>
            <wp:effectExtent l="0" t="0" r="0" b="0"/>
            <wp:docPr id="9" name="Picture 9" descr="图4-4 蓝色技术设计图；正文图注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4-4 蓝色技术设计图；正文图注说明"/>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544000" cy="303072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图4-6 本地原型与后续业务适配</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表4-2 当前工程状态与后续验收</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17"/>
        <w:gridCol w:w="3685"/>
        <w:gridCol w:w="3628"/>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17"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能力</w:t>
            </w:r>
          </w:p>
        </w:tc>
        <w:tc>
          <w:tcPr>
            <w:tcW w:w="3685"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当前实现及证据范围</w:t>
            </w:r>
          </w:p>
        </w:tc>
        <w:tc>
          <w:tcPr>
            <w:tcW w:w="3628"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下一阶段验收重点</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17"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快判断</w:t>
            </w:r>
          </w:p>
        </w:tc>
        <w:tc>
          <w:tcPr>
            <w:tcW w:w="3685"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社区AgentJev／Qwen3-0.6B公开检查点；已进行本地真实推理</w:t>
            </w:r>
          </w:p>
        </w:tc>
        <w:tc>
          <w:tcPr>
            <w:tcW w:w="3628"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中文信贷适配、合理强对照及独立校准</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17"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慢分析</w:t>
            </w:r>
          </w:p>
        </w:tc>
        <w:tc>
          <w:tcPr>
            <w:tcW w:w="3685"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Qwen2.5-0.5B-Instruct本地真实调用；实验替代模型</w:t>
            </w:r>
          </w:p>
        </w:tc>
        <w:tc>
          <w:tcPr>
            <w:tcW w:w="3628"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选取适合复杂分析的模型，验证语义质量与完整开销</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17"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路由与证据</w:t>
            </w:r>
          </w:p>
        </w:tc>
        <w:tc>
          <w:tcPr>
            <w:tcW w:w="3685"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输入规则、候选与引用检查、失败转人工；全部结果待复核</w:t>
            </w:r>
          </w:p>
        </w:tc>
        <w:tc>
          <w:tcPr>
            <w:tcW w:w="3628"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补足语义证据充分性检查，细分不确定原因</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17"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业务协同</w:t>
            </w:r>
          </w:p>
        </w:tc>
        <w:tc>
          <w:tcPr>
            <w:tcW w:w="3685"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本地工作台、版本记录、复核与结果输出</w:t>
            </w:r>
          </w:p>
        </w:tc>
        <w:tc>
          <w:tcPr>
            <w:tcW w:w="3628"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按银行确认的接口、权限及环境开展适配</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17" w:type="dxa"/>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官方Jev</w:t>
            </w:r>
          </w:p>
        </w:tc>
        <w:tc>
          <w:tcPr>
            <w:tcW w:w="3685" w:type="dxa"/>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jev-1.13.0两次仿真请求成功；独立后端与工作台入口已实现</w:t>
            </w:r>
          </w:p>
        </w:tc>
        <w:tc>
          <w:tcPr>
            <w:tcW w:w="3628" w:type="dxa"/>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同任务领域对照、候选稳定性、关键错误及完整成本</w:t>
            </w:r>
          </w:p>
        </w:tc>
      </w:tr>
    </w:tbl>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业务适配先明确任务入口、材料范围、结果承接方及异常恢复方式，再确认部署与接口方案。具体阶段及进入条件见第八章。</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接口设计以核验事项包为交接单位，明确输入字段、输出建议、原文引用、未决事项和人员处理记录。质量验收通过后，统一核算材料处理、推理、失败重试、复核及维护开销。</w:t>
      </w:r>
    </w:p>
    <w:p>
      <w:pPr>
        <w:pStyle w:val="3"/>
        <w:keepNext w:val="0"/>
        <w:keepLines w:val="0"/>
        <w:widowControl/>
        <w:kinsoku/>
        <w:wordWrap/>
        <w:overflowPunct/>
        <w:topLinePunct w:val="0"/>
        <w:autoSpaceDE/>
        <w:autoSpaceDN/>
        <w:bidi w:val="0"/>
        <w:adjustRightInd/>
        <w:snapToGrid/>
        <w:jc w:val="both"/>
        <w:textAlignment w:val="auto"/>
        <w:rPr>
          <w:rFonts w:hint="eastAsia"/>
        </w:rPr>
      </w:pPr>
      <w:bookmarkStart w:id="38" w:name="_Toc242347108"/>
      <w:r>
        <w:t>五、实验验证与结果分析</w:t>
      </w:r>
      <w:bookmarkEnd w:id="38"/>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39" w:name="_Toc242347109"/>
      <w:r>
        <w:t>（一）验证范围与评价口径</w:t>
      </w:r>
      <w:bookmarkEnd w:id="39"/>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本地验证分为系统功能、模型任务和业务效果三个层次。现有原型已连接材料版本、真实推理与人员处理，系统测试覆盖运行与交接行为；仿真对照评价答案与参考标签的一致情况，业务效果后续通过工时与完整成本测量评价。</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color w:val="000000" w:themeColor="text1"/>
          <w:vertAlign w:val="superscript"/>
          <w14:textFill>
            <w14:solidFill>
              <w14:schemeClr w14:val="tx1"/>
            </w14:solidFill>
          </w14:textFill>
        </w:rPr>
      </w:pPr>
      <w:r>
        <w:t>表5-1列出已有实验阶段。材料均为项目自编仿真文本，参考标签待独立业务复核。六方案开发对照采用54份材料，其中47份语义任务、7份共享规则任务，按12个案例族隔离；官方Jev另完成两例协议实测，并冻结同材料、同任务的后续对照条件。</w:t>
      </w:r>
      <w:r>
        <w:rPr>
          <w:color w:val="000000" w:themeColor="text1"/>
          <w:vertAlign w:val="superscript"/>
          <w14:textFill>
            <w14:solidFill>
              <w14:schemeClr w14:val="tx1"/>
            </w14:solidFill>
          </w14:textFill>
        </w:rPr>
        <w:t>[</w:t>
      </w:r>
      <w:bookmarkStart w:id="40" w:name="SourceT3"/>
      <w:r>
        <w:rPr>
          <w:color w:val="000000" w:themeColor="text1"/>
          <w:vertAlign w:val="superscript"/>
          <w14:textFill>
            <w14:solidFill>
              <w14:schemeClr w14:val="tx1"/>
            </w14:solidFill>
          </w14:textFill>
        </w:rPr>
        <w:footnoteReference w:id="12"/>
      </w:r>
      <w:bookmarkEnd w:id="40"/>
      <w:r>
        <w:rPr>
          <w:color w:val="000000" w:themeColor="text1"/>
          <w:vertAlign w:val="superscript"/>
          <w14:textFill>
            <w14:solidFill>
              <w14:schemeClr w14:val="tx1"/>
            </w14:solidFill>
          </w14:textFill>
        </w:rPr>
        <w:t>]</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表5-1 已有实验阶段与证据范围</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98"/>
        <w:gridCol w:w="3572"/>
        <w:gridCol w:w="3061"/>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098"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阶段与材料</w:t>
            </w:r>
          </w:p>
        </w:tc>
        <w:tc>
          <w:tcPr>
            <w:tcW w:w="3572"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实际对照配置</w:t>
            </w:r>
          </w:p>
        </w:tc>
        <w:tc>
          <w:tcPr>
            <w:tcW w:w="3061"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证据用途</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098"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早期开发：24份</w:t>
            </w:r>
            <w:r>
              <w:rPr>
                <w:sz w:val="21"/>
              </w:rPr>
              <w:br w:type="textWrapping"/>
            </w:r>
            <w:r>
              <w:rPr>
                <w:sz w:val="21"/>
              </w:rPr>
              <w:t>6份规则／18份语义</w:t>
            </w:r>
          </w:p>
        </w:tc>
        <w:tc>
          <w:tcPr>
            <w:tcW w:w="3572"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输入规则；TF-IDF逻辑回归；社区AgentJev</w:t>
            </w:r>
          </w:p>
        </w:tc>
        <w:tc>
          <w:tcPr>
            <w:tcW w:w="3061"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排查任务定义和语义错误；各方案均保留人员处理</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098"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后续挑战：28份</w:t>
            </w:r>
            <w:r>
              <w:rPr>
                <w:sz w:val="21"/>
              </w:rPr>
              <w:br w:type="textWrapping"/>
            </w:r>
            <w:r>
              <w:rPr>
                <w:sz w:val="21"/>
              </w:rPr>
              <w:t>4份规则／24份语义</w:t>
            </w:r>
          </w:p>
        </w:tc>
        <w:tc>
          <w:tcPr>
            <w:tcW w:w="3572"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冻结中文BERT＋分类头；社区快判断；规则＋0.5B生成；实验双系统</w:t>
            </w:r>
          </w:p>
        </w:tc>
        <w:tc>
          <w:tcPr>
            <w:tcW w:w="3061"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补充多方案比较与真实慢调用；结果已用于开发分析</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098" w:type="dxa"/>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领域开发：54份</w:t>
            </w:r>
            <w:r>
              <w:rPr>
                <w:sz w:val="21"/>
              </w:rPr>
              <w:br w:type="textWrapping"/>
            </w:r>
            <w:r>
              <w:rPr>
                <w:sz w:val="21"/>
              </w:rPr>
              <w:t>7份规则／47份语义</w:t>
            </w:r>
          </w:p>
        </w:tc>
        <w:tc>
          <w:tcPr>
            <w:tcW w:w="3572" w:type="dxa"/>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六方案同任务对照；12个案例族隔离，10个语义族训练</w:t>
            </w:r>
          </w:p>
        </w:tc>
        <w:tc>
          <w:tcPr>
            <w:tcW w:w="3061" w:type="dxa"/>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候选适配与逐例错误诊断；不作为独立银行效果评价</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098" w:type="dxa"/>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官方协议：2份仿真任务</w:t>
            </w:r>
          </w:p>
        </w:tc>
        <w:tc>
          <w:tcPr>
            <w:tcW w:w="3572" w:type="dxa"/>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jev-1.13.0；一项用途判断、一项经营矛盾判断</w:t>
            </w:r>
          </w:p>
        </w:tc>
        <w:tc>
          <w:tcPr>
            <w:tcW w:w="3061" w:type="dxa"/>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验证官方结构化返回；领域质量另行评价</w:t>
            </w:r>
          </w:p>
        </w:tc>
      </w:tr>
    </w:tbl>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固定社区快判断、任务头适配、中文BERT加分类头、字符TF-IDF分类器、输入规则及Qwen2.5-0.5B JSON生成共六条路线保留逐例结果。任务头训练使用固定底座，未开展全参微调或领域概率校准；官方Jev与工银智涌不属于本轮对照对象。</w:t>
      </w:r>
      <w:r>
        <w:rPr>
          <w:rFonts w:ascii="Times New Roman" w:hAnsi="Times New Roman" w:eastAsia="宋体"/>
          <w:sz w:val="20"/>
          <w:vertAlign w:val="superscript"/>
        </w:rPr>
        <w:t>[</w:t>
      </w:r>
      <w:bookmarkStart w:id="41" w:name="SourceT2"/>
      <w:r>
        <w:rPr>
          <w:rFonts w:ascii="Times New Roman" w:hAnsi="Times New Roman" w:eastAsia="宋体"/>
          <w:sz w:val="20"/>
          <w:vertAlign w:val="superscript"/>
        </w:rPr>
        <w:footnoteReference w:id="13"/>
      </w:r>
      <w:bookmarkEnd w:id="41"/>
      <w:r>
        <w:rPr>
          <w:rFonts w:ascii="Times New Roman" w:hAnsi="Times New Roman" w:eastAsia="宋体"/>
          <w:sz w:val="20"/>
          <w:vertAlign w:val="superscript"/>
        </w:rPr>
        <w:t>]</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早期规则处理6份材料，均与参考标签一致，其余18份进入语义判断。规则加TF-IDF分类器为8/24，规则加社区快判断为17/24，语义部分分别为2/18和11/18。该阶段分类器训练样本有限，结果用于排查任务定义与模型适配问题。</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42" w:name="_Toc242347110"/>
      <w:r>
        <w:t>（二）领域对照与结果分析</w:t>
      </w:r>
      <w:bookmarkEnd w:id="42"/>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5-1与表5-2所示，最新54份材料中，固定社区快判断与任务头适配均为40/54，中文BERT为33/54，字符分类器为28/54，本地生成对照为25/54。语义任务分别为33/47、33/47、26/47、21/47和18/47。输入规则仅处理7份条件问题，对47份语义任务弃答转人工。</w:t>
      </w:r>
    </w:p>
    <w:p>
      <w:pPr>
        <w:pStyle w:val="179"/>
        <w:keepNext w:val="0"/>
        <w:keepLines w:val="0"/>
        <w:widowControl/>
        <w:kinsoku/>
        <w:wordWrap/>
        <w:overflowPunct/>
        <w:topLinePunct w:val="0"/>
        <w:autoSpaceDE/>
        <w:autoSpaceDN/>
        <w:bidi w:val="0"/>
        <w:adjustRightInd/>
        <w:snapToGrid/>
        <w:spacing w:before="120" w:line="240" w:lineRule="auto"/>
        <w:jc w:val="both"/>
        <w:textAlignment w:val="auto"/>
        <w:rPr>
          <w:rFonts w:hint="eastAsia"/>
        </w:rPr>
      </w:pPr>
      <w:r>
        <w:drawing>
          <wp:inline distT="0" distB="0" distL="0" distR="0">
            <wp:extent cx="5543550" cy="2874645"/>
            <wp:effectExtent l="0" t="0" r="0" b="0"/>
            <wp:docPr id="2103057764" name="Picture 2103057764" descr="图6-1_六方案开发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64" name="Picture 2103057764" descr="图6-1_六方案开发对照"/>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5544000" cy="2874667"/>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图5-1 六方案同任务领域开发对照</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18份参考矛盾中，固定社区快判断未识别1份，任务头适配未识别2份；矛盾误报分别为13份和12份。分任务看，用途一致性的语义参考一致由22/25降至19/25，经营陈述矛盾由11/22增至14/22，总体仍为40/54。适配改善3例、退化3例，因此候选权重用于诊断，默认模型保持。该结果支持按任务评价适配收益，不外推为Jev范式的普遍优劣。</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历史28份挑战的配对重算见图5-2：7份升级任务中，成功纠错0份、新增错误2份、正确保持4份、错误保持1份；未升级路径另保留10份错误，快判断与双系统参考一致分别为17/28和15/28。双系统请求慢模型7次，对照24次；逐例流程耗时合计为82.85秒和74.46秒，均不含此前模型加载。该次协同未形成质量或耗时增量，后续验证重点为不确定原因区分、任务升级条件及分析模型选择。</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976755"/>
            <wp:effectExtent l="0" t="0" r="0" b="0"/>
            <wp:docPr id="2103057769" name="Picture 2103057769" descr="历史双系统升级任务的配对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69" name="Picture 2103057769" descr="历史双系统升级任务的配对结果"/>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544000" cy="197736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图5-2 历史双系统升级任务的配对结果</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最新对照中，社区判断特征提取、BERT特征提取与生成对照的本机CPU中位耗时分别为3.42秒、0.26秒和4.21秒。前两项不含加载、训练和后续处理，生成对照含输出与引用校验，不能据此认定端到端时延优势。生成对照实际47次调用、格式检查均通过，答案一致为18/47，显示格式正确与语义正确需分别评价。</w:t>
      </w:r>
      <w:r>
        <w:rPr>
          <w:color w:val="000000" w:themeColor="text1"/>
          <w:vertAlign w:val="superscript"/>
          <w14:textFill>
            <w14:solidFill>
              <w14:schemeClr w14:val="tx1"/>
            </w14:solidFill>
          </w14:textFill>
        </w:rPr>
        <w:t>[</w:t>
      </w:r>
      <w:r>
        <w:rPr>
          <w:color w:val="000000" w:themeColor="text1"/>
          <w:vertAlign w:val="superscript"/>
          <w14:textFill>
            <w14:solidFill>
              <w14:schemeClr w14:val="tx1"/>
            </w14:solidFill>
          </w14:textFill>
        </w:rPr>
        <w:footnoteReference w:id="14"/>
      </w:r>
      <w:r>
        <w:rPr>
          <w:color w:val="000000" w:themeColor="text1"/>
          <w:vertAlign w:val="superscript"/>
          <w14:textFill>
            <w14:solidFill>
              <w14:schemeClr w14:val="tx1"/>
            </w14:solidFill>
          </w14:textFill>
        </w:rPr>
        <w:t>]</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表5-2 同任务开发结果与关键错误</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65"/>
        <w:gridCol w:w="1361"/>
        <w:gridCol w:w="1361"/>
        <w:gridCol w:w="1814"/>
        <w:gridCol w:w="1531"/>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665" w:type="dxa"/>
            <w:shd w:val="clear" w:color="auto" w:fill="DCEBF8"/>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处理方案</w:t>
            </w:r>
          </w:p>
        </w:tc>
        <w:tc>
          <w:tcPr>
            <w:tcW w:w="1361" w:type="dxa"/>
            <w:shd w:val="clear" w:color="auto" w:fill="DCEBF8"/>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语义一致/47</w:t>
            </w:r>
          </w:p>
        </w:tc>
        <w:tc>
          <w:tcPr>
            <w:tcW w:w="1361" w:type="dxa"/>
            <w:shd w:val="clear" w:color="auto" w:fill="DCEBF8"/>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总体一致/54</w:t>
            </w:r>
          </w:p>
        </w:tc>
        <w:tc>
          <w:tcPr>
            <w:tcW w:w="1814" w:type="dxa"/>
            <w:shd w:val="clear" w:color="auto" w:fill="DCEBF8"/>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矛盾未识别/18</w:t>
            </w:r>
          </w:p>
        </w:tc>
        <w:tc>
          <w:tcPr>
            <w:tcW w:w="1531" w:type="dxa"/>
            <w:shd w:val="clear" w:color="auto" w:fill="DCEBF8"/>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矛盾误报/36</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5"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输入规则</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0</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7</w:t>
            </w:r>
          </w:p>
        </w:tc>
        <w:tc>
          <w:tcPr>
            <w:tcW w:w="1814"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18（弃答）</w:t>
            </w:r>
          </w:p>
        </w:tc>
        <w:tc>
          <w:tcPr>
            <w:tcW w:w="153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0</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5"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固定AgentJev</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33</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40</w:t>
            </w:r>
          </w:p>
        </w:tc>
        <w:tc>
          <w:tcPr>
            <w:tcW w:w="1814"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1</w:t>
            </w:r>
          </w:p>
        </w:tc>
        <w:tc>
          <w:tcPr>
            <w:tcW w:w="153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13</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5"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AgentJev任务头适配</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33</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40</w:t>
            </w:r>
          </w:p>
        </w:tc>
        <w:tc>
          <w:tcPr>
            <w:tcW w:w="1814"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2</w:t>
            </w:r>
          </w:p>
        </w:tc>
        <w:tc>
          <w:tcPr>
            <w:tcW w:w="153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12</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5"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中文BERT＋分类头</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26</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33</w:t>
            </w:r>
          </w:p>
        </w:tc>
        <w:tc>
          <w:tcPr>
            <w:tcW w:w="1814"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8</w:t>
            </w:r>
          </w:p>
        </w:tc>
        <w:tc>
          <w:tcPr>
            <w:tcW w:w="153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9</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5"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字符TF-IDF分类器</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21</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28</w:t>
            </w:r>
          </w:p>
        </w:tc>
        <w:tc>
          <w:tcPr>
            <w:tcW w:w="1814"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8</w:t>
            </w:r>
          </w:p>
        </w:tc>
        <w:tc>
          <w:tcPr>
            <w:tcW w:w="153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10</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5"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Qwen JSON生成</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18</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25</w:t>
            </w:r>
          </w:p>
        </w:tc>
        <w:tc>
          <w:tcPr>
            <w:tcW w:w="1814"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9</w:t>
            </w:r>
          </w:p>
        </w:tc>
        <w:tc>
          <w:tcPr>
            <w:tcW w:w="153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13</w:t>
            </w:r>
          </w:p>
        </w:tc>
      </w:tr>
    </w:tbl>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表中一致数均按项目参考标签计算。规则的18份矛盾未识别均为语义弃答，不代表错误放行；各路线的预训练、参数规模和输出要求不同，本表评价具体处理方案。</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2026年10月7日，官方Jev返回模型版本jev-1.13.0，两次请求均成功：用途一致性选择“一致”，经营陈述核验选择“发现明确矛盾”，均与对应项目参考标签一致，详见表5-3。此阶段验证限定候选判断与业务任务的连接方式；中文领域质量通过后续同任务对照和独立资料评价。</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表5-3 官方Jev最小协议实测</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2268"/>
        <w:gridCol w:w="1814"/>
        <w:gridCol w:w="1361"/>
        <w:gridCol w:w="1361"/>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shd w:val="clear" w:color="auto" w:fill="DCEBF8"/>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仿真任务</w:t>
            </w:r>
          </w:p>
        </w:tc>
        <w:tc>
          <w:tcPr>
            <w:tcW w:w="2268" w:type="dxa"/>
            <w:shd w:val="clear" w:color="auto" w:fill="DCEBF8"/>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官方选择</w:t>
            </w:r>
          </w:p>
        </w:tc>
        <w:tc>
          <w:tcPr>
            <w:tcW w:w="1814" w:type="dxa"/>
            <w:shd w:val="clear" w:color="auto" w:fill="DCEBF8"/>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客户端耗时/ms</w:t>
            </w:r>
          </w:p>
        </w:tc>
        <w:tc>
          <w:tcPr>
            <w:tcW w:w="1361" w:type="dxa"/>
            <w:shd w:val="clear" w:color="auto" w:fill="DCEBF8"/>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输入Token</w:t>
            </w:r>
          </w:p>
        </w:tc>
        <w:tc>
          <w:tcPr>
            <w:tcW w:w="1361" w:type="dxa"/>
            <w:shd w:val="clear" w:color="auto" w:fill="DCEBF8"/>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b/>
                <w:sz w:val="21"/>
              </w:rPr>
              <w:t>输出Token</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资金用途一致性</w:t>
            </w:r>
          </w:p>
        </w:tc>
        <w:tc>
          <w:tcPr>
            <w:tcW w:w="2268"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一致</w:t>
            </w:r>
          </w:p>
        </w:tc>
        <w:tc>
          <w:tcPr>
            <w:tcW w:w="1814"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1223.1</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564</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48</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经营陈述矛盾</w:t>
            </w:r>
          </w:p>
        </w:tc>
        <w:tc>
          <w:tcPr>
            <w:tcW w:w="2268"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发现明确矛盾</w:t>
            </w:r>
          </w:p>
        </w:tc>
        <w:tc>
          <w:tcPr>
            <w:tcW w:w="1814"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1091.32</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594</w:t>
            </w:r>
          </w:p>
        </w:tc>
        <w:tc>
          <w:tcPr>
            <w:tcW w:w="1361" w:type="dxa"/>
            <w:shd w:val="clear" w:color="auto" w:fill="FFFFFF"/>
          </w:tcPr>
          <w:p>
            <w:pPr>
              <w:keepNext w:val="0"/>
              <w:keepLines w:val="0"/>
              <w:widowControl/>
              <w:kinsoku/>
              <w:wordWrap/>
              <w:overflowPunct/>
              <w:topLinePunct w:val="0"/>
              <w:autoSpaceDE/>
              <w:autoSpaceDN/>
              <w:bidi w:val="0"/>
              <w:adjustRightInd/>
              <w:snapToGrid/>
              <w:spacing w:before="60" w:after="60" w:line="320" w:lineRule="exact"/>
              <w:jc w:val="both"/>
              <w:textAlignment w:val="auto"/>
              <w:rPr>
                <w:rFonts w:hint="eastAsia"/>
              </w:rPr>
            </w:pPr>
            <w:r>
              <w:rPr>
                <w:sz w:val="21"/>
              </w:rPr>
              <w:t>64</w:t>
            </w:r>
          </w:p>
        </w:tc>
      </w:tr>
    </w:tbl>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两例合计输入1158 Token、输出112 Token。耗时为客户端请求至完整返回，包含外部网络；输出用量为官方结构化响应Token。数据用于协议验证，不作领域准确率、服务SLA或费用节约估计。</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2026年10月5日，在同一AgentJev权重上比较原任务说明与增加资金归属、经营口径约束的候选说明。全部52份均为已见开发材料，参考标签待独立复核；结果见表5-4。</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表5-4 任务说明改写的配对开发结果</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2041"/>
        <w:gridCol w:w="1814"/>
        <w:gridCol w:w="1474"/>
        <w:gridCol w:w="1474"/>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shd w:val="clear" w:color="auto" w:fill="DFEAF7"/>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材料</w:t>
            </w:r>
          </w:p>
        </w:tc>
        <w:tc>
          <w:tcPr>
            <w:tcW w:w="2041" w:type="dxa"/>
            <w:shd w:val="clear" w:color="auto" w:fill="DFEAF7"/>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说明版本</w:t>
            </w:r>
          </w:p>
        </w:tc>
        <w:tc>
          <w:tcPr>
            <w:tcW w:w="1814" w:type="dxa"/>
            <w:shd w:val="clear" w:color="auto" w:fill="DFEAF7"/>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参考一致</w:t>
            </w:r>
          </w:p>
        </w:tc>
        <w:tc>
          <w:tcPr>
            <w:tcW w:w="1474" w:type="dxa"/>
            <w:shd w:val="clear" w:color="auto" w:fill="DFEAF7"/>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漏识别</w:t>
            </w:r>
          </w:p>
        </w:tc>
        <w:tc>
          <w:tcPr>
            <w:tcW w:w="1474" w:type="dxa"/>
            <w:shd w:val="clear" w:color="auto" w:fill="DFEAF7"/>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误报</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28份已见挑战</w:t>
            </w:r>
          </w:p>
        </w:tc>
        <w:tc>
          <w:tcPr>
            <w:tcW w:w="2041"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原说明</w:t>
            </w:r>
          </w:p>
        </w:tc>
        <w:tc>
          <w:tcPr>
            <w:tcW w:w="1814"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17/28</w:t>
            </w:r>
          </w:p>
        </w:tc>
        <w:tc>
          <w:tcPr>
            <w:tcW w:w="1474"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1</w:t>
            </w:r>
          </w:p>
        </w:tc>
        <w:tc>
          <w:tcPr>
            <w:tcW w:w="1474"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10</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28份已见挑战</w:t>
            </w:r>
          </w:p>
        </w:tc>
        <w:tc>
          <w:tcPr>
            <w:tcW w:w="2041"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候选说明</w:t>
            </w:r>
          </w:p>
        </w:tc>
        <w:tc>
          <w:tcPr>
            <w:tcW w:w="1814"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16/28</w:t>
            </w:r>
          </w:p>
        </w:tc>
        <w:tc>
          <w:tcPr>
            <w:tcW w:w="1474"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1</w:t>
            </w:r>
          </w:p>
        </w:tc>
        <w:tc>
          <w:tcPr>
            <w:tcW w:w="1474"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11</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24份旧开发</w:t>
            </w:r>
          </w:p>
        </w:tc>
        <w:tc>
          <w:tcPr>
            <w:tcW w:w="2041"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原说明</w:t>
            </w:r>
          </w:p>
        </w:tc>
        <w:tc>
          <w:tcPr>
            <w:tcW w:w="1814"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20/24</w:t>
            </w:r>
          </w:p>
        </w:tc>
        <w:tc>
          <w:tcPr>
            <w:tcW w:w="1474"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0</w:t>
            </w:r>
          </w:p>
        </w:tc>
        <w:tc>
          <w:tcPr>
            <w:tcW w:w="1474" w:type="dxa"/>
            <w:shd w:val="clear" w:color="auto" w:fill="FFFFFF"/>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4</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24份旧开发</w:t>
            </w:r>
          </w:p>
        </w:tc>
        <w:tc>
          <w:tcPr>
            <w:tcW w:w="2041"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候选说明</w:t>
            </w:r>
          </w:p>
        </w:tc>
        <w:tc>
          <w:tcPr>
            <w:tcW w:w="1814"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17/24</w:t>
            </w:r>
          </w:p>
        </w:tc>
        <w:tc>
          <w:tcPr>
            <w:tcW w:w="1474"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0</w:t>
            </w:r>
          </w:p>
        </w:tc>
        <w:tc>
          <w:tcPr>
            <w:tcW w:w="1474" w:type="dxa"/>
            <w:shd w:val="clear" w:color="auto" w:fill="F4F7FB"/>
            <w:tcMar>
              <w:top w:w="75" w:type="dxa"/>
              <w:left w:w="75" w:type="dxa"/>
              <w:bottom w:w="75" w:type="dxa"/>
              <w:right w:w="7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6</w:t>
            </w:r>
          </w:p>
        </w:tc>
      </w:tr>
    </w:tbl>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候选说明未通过预定门槛，默认配置保持原版。原正确项退化4份，关键用途冲突仍未修复，说明单独增加任务描述未改善本次领域判断。后续优化转向领域适配与合理对照。</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43" w:name="_Toc242347111"/>
      <w:r>
        <w:t>（三）模型质量与业务效果</w:t>
      </w:r>
      <w:bookmarkEnd w:id="43"/>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模型层比较有限候选判断、领域适配的中文分类器、生成式小模型及复杂分析模型，统一材料、答案含义与证据要求。具备条件时采用同一底座及相近适配资源对比输出方式；不同底座的结果按具体配置分别报告。</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流程层固定模型与材料，比较快判断独立处理、按需慢分析及带证据条件的路由，统计成功纠错、新增错误、误报和仍需人工处理的任务，评价协同是否减少疑点与复核负担。</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业务层按表5-5评价完整路径。单项自动核验条件通过独立验证资料选定后冻结测试。当前全部结果经人员复核，后续受控适配阶段重点评价人员工时、接口衔接和责任承接。</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表5-5 验证指标与业务采用判断</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3515"/>
        <w:gridCol w:w="3515"/>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评价问题</w:t>
            </w:r>
          </w:p>
        </w:tc>
        <w:tc>
          <w:tcPr>
            <w:tcW w:w="3515"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共同报告的指标</w:t>
            </w:r>
          </w:p>
        </w:tc>
        <w:tc>
          <w:tcPr>
            <w:tcW w:w="3515" w:type="dxa"/>
            <w:shd w:val="clear" w:color="auto" w:fill="DFEAF7"/>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采用判断</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核验是否可靠</w:t>
            </w:r>
          </w:p>
        </w:tc>
        <w:tc>
          <w:tcPr>
            <w:tcW w:w="3515"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分任务漏检、误报、不可比识别；结论的原文支持</w:t>
            </w:r>
          </w:p>
        </w:tc>
        <w:tc>
          <w:tcPr>
            <w:tcW w:w="3515"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满足预设关键错误要求后评价资源收益</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路由是否有效</w:t>
            </w:r>
          </w:p>
        </w:tc>
        <w:tc>
          <w:tcPr>
            <w:tcW w:w="3515"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补件、人工与慢分析去向；升级前后的纠错和新增错误</w:t>
            </w:r>
          </w:p>
        </w:tc>
        <w:tc>
          <w:tcPr>
            <w:tcW w:w="3515"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升级须解决疑点；失败及未决事项有明确承接</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直接处理是否可控</w:t>
            </w:r>
          </w:p>
        </w:tc>
        <w:tc>
          <w:tcPr>
            <w:tcW w:w="3515"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完成覆盖、完成部分错误；全部待复核任务量</w:t>
            </w:r>
          </w:p>
        </w:tc>
        <w:tc>
          <w:tcPr>
            <w:tcW w:w="3515" w:type="dxa"/>
            <w:shd w:val="clear" w:color="auto" w:fill="FFFFFF"/>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同时评价完成覆盖与接受部分错误；零自动完成时错误率不适用</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完整收益是否成立</w:t>
            </w:r>
          </w:p>
        </w:tc>
        <w:tc>
          <w:tcPr>
            <w:tcW w:w="3515"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实际请求、失败重试、端到端耗时；部署与复核成本</w:t>
            </w:r>
          </w:p>
        </w:tc>
        <w:tc>
          <w:tcPr>
            <w:tcW w:w="3515" w:type="dxa"/>
            <w:shd w:val="clear" w:color="auto" w:fill="F4F7FB"/>
            <w:tcMar>
              <w:top w:w="90" w:type="dxa"/>
              <w:left w:w="90" w:type="dxa"/>
              <w:bottom w:w="90" w:type="dxa"/>
              <w:right w:w="90"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在同等质量下核算完整处理成本差额</w:t>
            </w:r>
          </w:p>
        </w:tc>
      </w:tr>
    </w:tbl>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44" w:name="_Toc242347112"/>
      <w:r>
        <w:t>（四）数据管理与版本验证</w:t>
      </w:r>
      <w:bookmarkEnd w:id="44"/>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迭代以明确的错误类型与修改依据为起点，对任务表达、训练材料及模型适配进行版本管理。仿真样本成对覆盖支持、矛盾、缺证据和不可比情形；同一事实的改写和同一申请的多项任务归入同组。</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训练、校准、路由选择与最终评价分别管理。独立复核人员先依据材料判定，再对分歧进行裁定；模型预测与原标签不进入首次判定材料。现有28份材料的复核册及填写表已准备，独立复核尚未开展。标签更正记录依据与版本，新的效果评价采用未参与调整的资料。</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数据、标签、模型、规则或路由条件更新后，先进行针对性回归，再在同一新版评价资料上重跑受影响的比较方案，历史记录留存。业务范围改变时重新定义任务与评价口径，形成独立版本结果。</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如图5-3所示，领域迭代从具体错误出发，保留候选和原版，完成开发回归后以新资料评价采用效果。</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681480"/>
            <wp:effectExtent l="0" t="0" r="0" b="0"/>
            <wp:docPr id="2103057778" name="Picture 2103057778" descr="领域迭代与版本验证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78" name="Picture 2103057778" descr="领域迭代与版本验证闭环"/>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5544000" cy="168168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图5-3 领域迭代与版本验证闭环</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45" w:name="_Toc242347113"/>
      <w:r>
        <w:t>（五）模型采用与验证安排</w:t>
      </w:r>
      <w:bookmarkEnd w:id="45"/>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独立评价前完成标签复核、案例族划分、候选配置、关键错误上限与测量安排，随后冻结模型及分流条件。样本规模根据错误上限和估计精度确定，报告任务、类别、案例族数量与结果不确定性，并同时评价校准效果和接受部分错误。</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采用决策依据领域效果确定：快判断达标且慢分析无增益时，采用快判断与人工承接；分类器效果相当且成本更低时，替换快层模型；部分任务获得稳定收益时，限定使用范围。</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本阶段已形成领域候选、六方案逐例结果、官方Jev两例协议实测和可替换判断后端。官方同任务对照已冻结54份开发材料，其中47份纳入官方语义请求范围，7份由共享规则处理；正式执行时逐例留存模型身份、判断、用量及失败记录。领域对照结果、独立标签裁定和新资料评价形成后，再评价复核工时、接口时延与完整处理成本。</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如图5-4所示，核验质量、协同增量和完整收益构成逐层采用依据，各项任务按证据确定模型与使用范围。</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657350"/>
            <wp:effectExtent l="0" t="0" r="0" b="0"/>
            <wp:docPr id="2103057779" name="Picture 2103057779" descr="模型采用的分层判断依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79" name="Picture 2103057779" descr="模型采用的分层判断依据"/>
                    <pic:cNvPicPr>
                      <a:picLocks noChangeAspect="1"/>
                    </pic:cNvPicPr>
                  </pic:nvPicPr>
                  <pic:blipFill>
                    <a:blip r:embed="rId61">
                      <a:extLst>
                        <a:ext uri="{96DAC541-7B7A-43D3-8B79-37D633B846F1}">
                          <asvg:svgBlip xmlns:asvg="http://schemas.microsoft.com/office/drawing/2016/SVG/main" r:embed="rId62"/>
                        </a:ext>
                      </a:extLst>
                    </a:blip>
                    <a:srcRect b="10309"/>
                    <a:stretch>
                      <a:fillRect/>
                    </a:stretch>
                  </pic:blipFill>
                  <pic:spPr>
                    <a:xfrm>
                      <a:off x="0" y="0"/>
                      <a:ext cx="5544000" cy="165735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图5-4 模型采用的分层判断依据</w:t>
      </w:r>
    </w:p>
    <w:p>
      <w:pPr>
        <w:pStyle w:val="3"/>
        <w:keepNext w:val="0"/>
        <w:keepLines w:val="0"/>
        <w:widowControl/>
        <w:kinsoku/>
        <w:wordWrap/>
        <w:overflowPunct/>
        <w:topLinePunct w:val="0"/>
        <w:autoSpaceDE/>
        <w:autoSpaceDN/>
        <w:bidi w:val="0"/>
        <w:adjustRightInd/>
        <w:snapToGrid/>
        <w:jc w:val="both"/>
        <w:textAlignment w:val="auto"/>
        <w:rPr>
          <w:rFonts w:hint="eastAsia"/>
        </w:rPr>
      </w:pPr>
      <w:bookmarkStart w:id="46" w:name="_Toc242347114"/>
      <w:r>
        <w:t>六、业务价值与成本分析</w:t>
      </w:r>
      <w:bookmarkEnd w:id="46"/>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47" w:name="_Toc242347115"/>
      <w:r>
        <w:t>（一）业务价值与评价范围</w:t>
      </w:r>
      <w:bookmarkEnd w:id="47"/>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组件按核验任务配置能力：规则检查客观缺项，快层形成有限候选建议，复杂关系按需慢分析，人员承接疑点。业务价值从材料准备、原文查证、事项交接和资源配置四方面评价。</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如图6-1所示，成本评价比较“待语义判断任务全部调用同一生成模型”与“快判断前置、按需分析”两条实验路径，两者共用材料处理、规则和复核要求。</w:t>
      </w:r>
    </w:p>
    <w:p>
      <w:pPr>
        <w:pStyle w:val="179"/>
        <w:keepNext w:val="0"/>
        <w:keepLines w:val="0"/>
        <w:widowControl/>
        <w:kinsoku/>
        <w:wordWrap/>
        <w:overflowPunct/>
        <w:topLinePunct w:val="0"/>
        <w:autoSpaceDE/>
        <w:autoSpaceDN/>
        <w:bidi w:val="0"/>
        <w:adjustRightInd/>
        <w:snapToGrid/>
        <w:spacing w:before="120" w:line="240" w:lineRule="auto"/>
        <w:jc w:val="both"/>
        <w:textAlignment w:val="auto"/>
        <w:rPr>
          <w:rFonts w:hint="eastAsia"/>
        </w:rPr>
      </w:pPr>
      <w:r>
        <w:drawing>
          <wp:inline distT="0" distB="0" distL="0" distR="0">
            <wp:extent cx="5543550" cy="3279140"/>
            <wp:effectExtent l="0" t="0" r="0" b="6985"/>
            <wp:docPr id="13" name="Picture 13" descr="图7-1 分层分工的成本比较设计，非实测收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7-1 分层分工的成本比较设计，非实测收益"/>
                    <pic:cNvPicPr>
                      <a:picLocks noChangeAspect="1"/>
                    </pic:cNvPicPr>
                  </pic:nvPicPr>
                  <pic:blipFill>
                    <a:blip r:embed="rId63">
                      <a:extLst>
                        <a:ext uri="{96DAC541-7B7A-43D3-8B79-37D633B846F1}">
                          <asvg:svgBlip xmlns:asvg="http://schemas.microsoft.com/office/drawing/2016/SVG/main" r:embed="rId64"/>
                        </a:ext>
                      </a:extLst>
                    </a:blip>
                    <a:srcRect b="7089"/>
                    <a:stretch>
                      <a:fillRect/>
                    </a:stretch>
                  </pic:blipFill>
                  <pic:spPr>
                    <a:xfrm>
                      <a:off x="0" y="0"/>
                      <a:ext cx="5544000" cy="327914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图6-1 分层分工的完整成本比较路径</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48" w:name="_Toc242347116"/>
      <w:r>
        <w:t>（二）核验质量与工作效率</w:t>
      </w:r>
      <w:bookmarkEnd w:id="48"/>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业务评价分别记录补件往返、复核查证工时及交接遗漏，同时统计漏识别、误报和证据支持情况。核验质量达标后，比较响应、排队、推理与部署开销。</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生成式对照采用与任务匹配的短答案、结构化输出、缓存和推理模式，并与分层路径保持相同工作量和证据要求。当前收益测算范围为材料核验及任务交接，贷款审批时效与自动完成比例尚无实测数据。</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如图6-2所示，测量范围覆盖材料准备、模型处理、疑点处置和结果交接，人员操作工时与外部等待分别记录。</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847850"/>
            <wp:effectExtent l="0" t="0" r="0" b="0"/>
            <wp:docPr id="2103057780" name="Picture 2103057780" descr="完整核验路径的工时与时延测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80" name="Picture 2103057780" descr="完整核验路径的工时与时延测量"/>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5544000" cy="184800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图6-2 完整核验路径的工时与时延测量</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49" w:name="_Toc242347117"/>
      <w:r>
        <w:t>（三）服务计费与完整成本</w:t>
      </w:r>
      <w:bookmarkEnd w:id="49"/>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color w:val="000000" w:themeColor="text1"/>
          <w:vertAlign w:val="superscript"/>
          <w14:textFill>
            <w14:solidFill>
              <w14:schemeClr w14:val="tx1"/>
            </w14:solidFill>
          </w14:textFill>
        </w:rPr>
      </w:pPr>
      <w:r>
        <w:t>表6-1列示截至2026年10月2日的官方API价格，单位为每百万Token，保留原币种。公开计费作为成本测算参照，实际核算按所选模型版本、地区、档位与用量开展；社区自部署和银行内部成本分别计量。</w:t>
      </w:r>
      <w:r>
        <w:rPr>
          <w:color w:val="000000" w:themeColor="text1"/>
          <w:vertAlign w:val="superscript"/>
          <w14:textFill>
            <w14:solidFill>
              <w14:schemeClr w14:val="tx1"/>
            </w14:solidFill>
          </w14:textFill>
        </w:rPr>
        <w:t>[</w:t>
      </w:r>
      <w:r>
        <w:rPr>
          <w:color w:val="000000" w:themeColor="text1"/>
          <w:vertAlign w:val="superscript"/>
          <w14:textFill>
            <w14:solidFill>
              <w14:schemeClr w14:val="tx1"/>
            </w14:solidFill>
          </w14:textFill>
        </w:rPr>
        <w:footnoteReference w:id="15"/>
      </w:r>
      <w:r>
        <w:rPr>
          <w:color w:val="000000" w:themeColor="text1"/>
          <w:vertAlign w:val="superscript"/>
          <w14:textFill>
            <w14:solidFill>
              <w14:schemeClr w14:val="tx1"/>
            </w14:solidFill>
          </w14:textFill>
        </w:rPr>
        <w:t>]</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表6-1 官方API计费参照与适用条件</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907"/>
        <w:gridCol w:w="1417"/>
        <w:gridCol w:w="850"/>
        <w:gridCol w:w="3855"/>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服务与币种</w:t>
            </w:r>
          </w:p>
        </w:tc>
        <w:tc>
          <w:tcPr>
            <w:tcW w:w="907"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输入</w:t>
            </w:r>
          </w:p>
        </w:tc>
        <w:tc>
          <w:tcPr>
            <w:tcW w:w="1417"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缓存命中输入</w:t>
            </w:r>
          </w:p>
        </w:tc>
        <w:tc>
          <w:tcPr>
            <w:tcW w:w="850"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输出</w:t>
            </w:r>
          </w:p>
        </w:tc>
        <w:tc>
          <w:tcPr>
            <w:tcW w:w="3855"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本表采用的计费条件</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Jev 1.13</w:t>
            </w:r>
            <w:r>
              <w:rPr>
                <w:sz w:val="21"/>
              </w:rPr>
              <w:br w:type="textWrapping"/>
            </w:r>
            <w:r>
              <w:rPr>
                <w:sz w:val="21"/>
              </w:rPr>
              <w:t>美元</w:t>
            </w:r>
          </w:p>
        </w:tc>
        <w:tc>
          <w:tcPr>
            <w:tcW w:w="907"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0.042</w:t>
            </w:r>
          </w:p>
        </w:tc>
        <w:tc>
          <w:tcPr>
            <w:tcW w:w="1417"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未单列折扣</w:t>
            </w:r>
          </w:p>
        </w:tc>
        <w:tc>
          <w:tcPr>
            <w:tcW w:w="850"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不收费</w:t>
            </w:r>
          </w:p>
        </w:tc>
        <w:tc>
          <w:tcPr>
            <w:tcW w:w="3855"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按输入计费；官方API价</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百炼决策服务</w:t>
            </w:r>
            <w:r>
              <w:rPr>
                <w:sz w:val="21"/>
              </w:rPr>
              <w:br w:type="textWrapping"/>
            </w:r>
            <w:r>
              <w:rPr>
                <w:sz w:val="21"/>
              </w:rPr>
              <w:t>人民币</w:t>
            </w:r>
          </w:p>
        </w:tc>
        <w:tc>
          <w:tcPr>
            <w:tcW w:w="907"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限时免费</w:t>
            </w:r>
          </w:p>
        </w:tc>
        <w:tc>
          <w:tcPr>
            <w:tcW w:w="1417"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未单列</w:t>
            </w:r>
          </w:p>
        </w:tc>
        <w:tc>
          <w:tcPr>
            <w:tcW w:w="850"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无文本生成</w:t>
            </w:r>
          </w:p>
        </w:tc>
        <w:tc>
          <w:tcPr>
            <w:tcW w:w="3855"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预览服务；限时免费按实际计费期间核算</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DeepSeek Flash</w:t>
            </w:r>
            <w:r>
              <w:rPr>
                <w:sz w:val="21"/>
              </w:rPr>
              <w:br w:type="textWrapping"/>
            </w:r>
            <w:r>
              <w:rPr>
                <w:sz w:val="21"/>
              </w:rPr>
              <w:t>人民币</w:t>
            </w:r>
          </w:p>
        </w:tc>
        <w:tc>
          <w:tcPr>
            <w:tcW w:w="907"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1／2</w:t>
            </w:r>
          </w:p>
        </w:tc>
        <w:tc>
          <w:tcPr>
            <w:tcW w:w="1417"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0.02／0.04</w:t>
            </w:r>
          </w:p>
        </w:tc>
        <w:tc>
          <w:tcPr>
            <w:tcW w:w="850"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4／8</w:t>
            </w:r>
          </w:p>
        </w:tc>
        <w:tc>
          <w:tcPr>
            <w:tcW w:w="3855"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依次为空闲／高峰；官方直供价</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GLM-5.2</w:t>
            </w:r>
            <w:r>
              <w:rPr>
                <w:sz w:val="21"/>
              </w:rPr>
              <w:br w:type="textWrapping"/>
            </w:r>
            <w:r>
              <w:rPr>
                <w:sz w:val="21"/>
              </w:rPr>
              <w:t>人民币</w:t>
            </w:r>
          </w:p>
        </w:tc>
        <w:tc>
          <w:tcPr>
            <w:tcW w:w="907"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8</w:t>
            </w:r>
          </w:p>
        </w:tc>
        <w:tc>
          <w:tcPr>
            <w:tcW w:w="1417"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2</w:t>
            </w:r>
          </w:p>
        </w:tc>
        <w:tc>
          <w:tcPr>
            <w:tcW w:w="850"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28</w:t>
            </w:r>
          </w:p>
        </w:tc>
        <w:tc>
          <w:tcPr>
            <w:tcW w:w="3855"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中国开放平台；缓存存储暂免费</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千问Plus</w:t>
            </w:r>
            <w:r>
              <w:rPr>
                <w:sz w:val="21"/>
              </w:rPr>
              <w:br w:type="textWrapping"/>
            </w:r>
            <w:r>
              <w:rPr>
                <w:sz w:val="21"/>
              </w:rPr>
              <w:t>人民币</w:t>
            </w:r>
          </w:p>
        </w:tc>
        <w:tc>
          <w:tcPr>
            <w:tcW w:w="907"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0.8</w:t>
            </w:r>
          </w:p>
        </w:tc>
        <w:tc>
          <w:tcPr>
            <w:tcW w:w="1417"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本档未列</w:t>
            </w:r>
          </w:p>
        </w:tc>
        <w:tc>
          <w:tcPr>
            <w:tcW w:w="850"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2</w:t>
            </w:r>
          </w:p>
        </w:tc>
        <w:tc>
          <w:tcPr>
            <w:tcW w:w="3855"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北京、实时非思考、输入≤128K</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豆包2.1 Lite</w:t>
            </w:r>
            <w:r>
              <w:rPr>
                <w:sz w:val="21"/>
              </w:rPr>
              <w:br w:type="textWrapping"/>
            </w:r>
            <w:r>
              <w:rPr>
                <w:sz w:val="21"/>
              </w:rPr>
              <w:t>人民币</w:t>
            </w:r>
          </w:p>
        </w:tc>
        <w:tc>
          <w:tcPr>
            <w:tcW w:w="907"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0.8</w:t>
            </w:r>
          </w:p>
        </w:tc>
        <w:tc>
          <w:tcPr>
            <w:tcW w:w="1417"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0.16</w:t>
            </w:r>
          </w:p>
        </w:tc>
        <w:tc>
          <w:tcPr>
            <w:tcW w:w="850"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2.7</w:t>
            </w:r>
          </w:p>
        </w:tc>
        <w:tc>
          <w:tcPr>
            <w:tcW w:w="3855"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常规在线、非音频、输入≤1024K</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Kimi K2.6</w:t>
            </w:r>
            <w:r>
              <w:rPr>
                <w:sz w:val="21"/>
              </w:rPr>
              <w:br w:type="textWrapping"/>
            </w:r>
            <w:r>
              <w:rPr>
                <w:sz w:val="21"/>
              </w:rPr>
              <w:t>人民币</w:t>
            </w:r>
          </w:p>
        </w:tc>
        <w:tc>
          <w:tcPr>
            <w:tcW w:w="907"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6.5</w:t>
            </w:r>
          </w:p>
        </w:tc>
        <w:tc>
          <w:tcPr>
            <w:tcW w:w="1417"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1.1</w:t>
            </w:r>
          </w:p>
        </w:tc>
        <w:tc>
          <w:tcPr>
            <w:tcW w:w="850"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27</w:t>
            </w:r>
          </w:p>
        </w:tc>
        <w:tc>
          <w:tcPr>
            <w:tcW w:w="3855"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官方API；256K上下文</w:t>
            </w:r>
          </w:p>
        </w:tc>
      </w:tr>
    </w:tbl>
    <w:p>
      <w:pPr>
        <w:keepNext w:val="0"/>
        <w:keepLines w:val="0"/>
        <w:widowControl/>
        <w:kinsoku/>
        <w:wordWrap/>
        <w:overflowPunct/>
        <w:topLinePunct w:val="0"/>
        <w:autoSpaceDE/>
        <w:autoSpaceDN/>
        <w:bidi w:val="0"/>
        <w:adjustRightInd/>
        <w:snapToGrid/>
        <w:spacing w:line="300" w:lineRule="exact"/>
        <w:jc w:val="both"/>
        <w:textAlignment w:val="auto"/>
        <w:rPr>
          <w:rFonts w:hint="eastAsia"/>
        </w:rPr>
      </w:pPr>
      <w:r>
        <w:rPr>
          <w:sz w:val="18"/>
        </w:rPr>
        <w:t>计价口径：DeepSeek按空闲与高峰分别计费；千问采用qwen-plus-2025-12-01的实时非思考档；豆包缓存存储另计0.017元／百万Token／小时。思考、批量、缓存及临时优惠按实际配置单独核算。</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完整处理成本包括材料准备、输入编码、推理、请求失败、人员复核及部署维护。结果不收输出费的判断服务仍存在其他处理开销，生成模型的缓存复用也纳入比较。表6-2列出统一核算范围。</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表6-2 完整处理成本与记录口径</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3231"/>
        <w:gridCol w:w="3628"/>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871"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成本组成</w:t>
            </w:r>
          </w:p>
        </w:tc>
        <w:tc>
          <w:tcPr>
            <w:tcW w:w="3231"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记录内容</w:t>
            </w:r>
          </w:p>
        </w:tc>
        <w:tc>
          <w:tcPr>
            <w:tcW w:w="3628"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核算约定</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材料与规则</w:t>
            </w:r>
          </w:p>
        </w:tc>
        <w:tc>
          <w:tcPr>
            <w:tcW w:w="323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解析、检索、索引、规则及工具</w:t>
            </w:r>
          </w:p>
        </w:tc>
        <w:tc>
          <w:tcPr>
            <w:tcW w:w="3628"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两条路径用相同材料和检查要求</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模型处理</w:t>
            </w:r>
          </w:p>
        </w:tc>
        <w:tc>
          <w:tcPr>
            <w:tcW w:w="323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两层实际输入输出、排队、失败与重试</w:t>
            </w:r>
          </w:p>
        </w:tc>
        <w:tc>
          <w:tcPr>
            <w:tcW w:w="3628"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明确模式、服务档位、缓存及计价来源</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人员承接</w:t>
            </w:r>
          </w:p>
        </w:tc>
        <w:tc>
          <w:tcPr>
            <w:tcW w:w="3231"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复核、纠正、补件和未决事项处理</w:t>
            </w:r>
          </w:p>
        </w:tc>
        <w:tc>
          <w:tcPr>
            <w:tcW w:w="3628"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实际操作与外部等待分别记录</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部署与维护</w:t>
            </w:r>
          </w:p>
        </w:tc>
        <w:tc>
          <w:tcPr>
            <w:tcW w:w="3231"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设备、接入、监控、训练及版本维护</w:t>
            </w:r>
          </w:p>
        </w:tc>
        <w:tc>
          <w:tcPr>
            <w:tcW w:w="3628"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训练与建设投入按约定周期摊销</w:t>
            </w:r>
          </w:p>
        </w:tc>
      </w:tr>
    </w:tbl>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50" w:name="_Toc242347118"/>
      <w:r>
        <w:t>（四）收益测量与采用条件</w:t>
      </w:r>
      <w:bookmarkEnd w:id="50"/>
    </w:p>
    <w:p>
      <w:pPr>
        <w:keepNext w:val="0"/>
        <w:keepLines w:val="0"/>
        <w:widowControl/>
        <w:kinsoku/>
        <w:wordWrap/>
        <w:overflowPunct/>
        <w:topLinePunct w:val="0"/>
        <w:autoSpaceDE/>
        <w:autoSpaceDN/>
        <w:bidi w:val="0"/>
        <w:adjustRightInd/>
        <w:snapToGrid/>
        <w:ind w:firstLine="640"/>
        <w:jc w:val="both"/>
        <w:textAlignment w:val="auto"/>
        <w:rPr>
          <w:rFonts w:hint="eastAsia"/>
        </w:rPr>
      </w:pPr>
      <w:r>
        <w:t>收益测量采用同一批任务、相同材料版本及质量要求，对照路径与分层路径分别记录材料处理、快慢调用、失败重试、人员查证与纠正、部署维护分摊。人员有效操作与外部等待单独计时。净节约为两条路径完整费用之差，采用条件是核验质量与人员负担满足要求，节省的复杂分析开销能够覆盖新增组件投入。风险评价首先报告核验漏识别和误报；贷款违约或损失改善需以另行跟踪资料评价。</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系统时延定义为客户端发起请求至收到完整结构化结果的时间，在同一材料长度与并发配置下重复测量，分别记录首次加载、稳定运行和高负载表现。首Token时间、输出速度、人员处理及外部补件等待分别统计。</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产品采用以业务增量为依据。领域质量不足时保持规则、原文定位与人员承接；分类器或短生成更适合时调整快层实现；仅在查证或交接环节获得收益时，限定为该范围的辅助审查能力。</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如图6-3所示，两条路径采用相同材料和质量要求，核算模型、人员与维护的完整成本差额。</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487805"/>
            <wp:effectExtent l="0" t="0" r="0" b="7620"/>
            <wp:docPr id="2103057781" name="Picture 2103057781" descr="分层处理的完整成本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81" name="Picture 2103057781" descr="分层处理的完整成本构成"/>
                    <pic:cNvPicPr>
                      <a:picLocks noChangeAspect="1"/>
                    </pic:cNvPicPr>
                  </pic:nvPicPr>
                  <pic:blipFill>
                    <a:blip r:embed="rId67">
                      <a:extLst>
                        <a:ext uri="{96DAC541-7B7A-43D3-8B79-37D633B846F1}">
                          <asvg:svgBlip xmlns:asvg="http://schemas.microsoft.com/office/drawing/2016/SVG/main" r:embed="rId68"/>
                        </a:ext>
                      </a:extLst>
                    </a:blip>
                    <a:srcRect b="16112"/>
                    <a:stretch>
                      <a:fillRect/>
                    </a:stretch>
                  </pic:blipFill>
                  <pic:spPr>
                    <a:xfrm>
                      <a:off x="0" y="0"/>
                      <a:ext cx="5544000" cy="1487805"/>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图6-3 分层处理的完整成本构成</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51" w:name="_Toc242347119"/>
      <w:r>
        <w:t>（五）交付内容与服务方式</w:t>
      </w:r>
      <w:bookmarkEnd w:id="51"/>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面向银行交付任务规范、组件接口、原型、评测记录和版本管理方案，按确认的环境、权限及责任开展受控适配。服务与维护范围以任务种类、处理量和接口要求确定，公开API成本仅作为技术与经济性研究参照。</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如图6-4所示，业务任务规范、技术组件和验证档案共同构成适配交付，由银行相应责任方确认环境与验收要求。</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2254250"/>
            <wp:effectExtent l="0" t="0" r="0" b="0"/>
            <wp:docPr id="2103057782" name="Picture 2103057782" descr="银行适配交付内容与承接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82" name="Picture 2103057782" descr="银行适配交付内容与承接关系"/>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5544000" cy="225456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图6-4 银行适配交付内容与承接关系</w:t>
      </w:r>
    </w:p>
    <w:p>
      <w:pPr>
        <w:pStyle w:val="3"/>
        <w:keepNext w:val="0"/>
        <w:keepLines w:val="0"/>
        <w:widowControl/>
        <w:kinsoku/>
        <w:wordWrap/>
        <w:overflowPunct/>
        <w:topLinePunct w:val="0"/>
        <w:autoSpaceDE/>
        <w:autoSpaceDN/>
        <w:bidi w:val="0"/>
        <w:adjustRightInd/>
        <w:snapToGrid/>
        <w:jc w:val="both"/>
        <w:textAlignment w:val="auto"/>
        <w:rPr>
          <w:rFonts w:hint="eastAsia"/>
        </w:rPr>
      </w:pPr>
      <w:bookmarkStart w:id="52" w:name="_Toc242347120"/>
      <w:r>
        <w:rPr>
          <w:rFonts w:hint="eastAsia"/>
          <w:lang w:val="en-US" w:eastAsia="zh-CN"/>
        </w:rPr>
        <w:t>2</w:t>
      </w:r>
      <w:r>
        <w:t>七、风险管理与数据治理</w:t>
      </w:r>
      <w:bookmarkEnd w:id="52"/>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53" w:name="_Toc242347121"/>
      <w:r>
        <w:t>（一）数据使用与责任分工</w:t>
      </w:r>
      <w:bookmarkEnd w:id="53"/>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治理随核验任务进入流程：经办人员确认材料来源与使用范围，审查人员核对依据并处理疑点，技术人员管理版本、权限与运行异常。《银行保险机构数据安全管理办法》为数据使用和访问控制提供依据。</w:t>
      </w:r>
      <w:r>
        <w:rPr>
          <w:sz w:val="18"/>
          <w:vertAlign w:val="superscript"/>
        </w:rPr>
        <w:t>[</w:t>
      </w:r>
      <w:r>
        <w:rPr>
          <w:sz w:val="18"/>
          <w:vertAlign w:val="superscript"/>
        </w:rPr>
        <w:fldChar w:fldCharType="begin"/>
      </w:r>
      <w:r>
        <w:rPr>
          <w:sz w:val="18"/>
          <w:vertAlign w:val="superscript"/>
        </w:rPr>
        <w:instrText xml:space="preserve">NOTEREF SourceS8</w:instrText>
      </w:r>
      <w:r>
        <w:rPr>
          <w:sz w:val="18"/>
          <w:vertAlign w:val="superscript"/>
        </w:rPr>
        <w:fldChar w:fldCharType="separate"/>
      </w:r>
      <w:r>
        <w:rPr>
          <w:rFonts w:hint="eastAsia"/>
          <w:sz w:val="20"/>
          <w:vertAlign w:val="superscript"/>
        </w:rPr>
        <w:t>2</w:t>
      </w:r>
      <w:r>
        <w:rPr>
          <w:sz w:val="18"/>
          <w:vertAlign w:val="superscript"/>
        </w:rPr>
        <w:fldChar w:fldCharType="end"/>
      </w:r>
      <w:r>
        <w:rPr>
          <w:sz w:val="18"/>
          <w:vertAlign w:val="superscript"/>
        </w:rPr>
        <w:t>]</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当前演示与官方API协议实验均采用项目自编仿真文本。银行评估由业务、数据与技术责任方确认材料授权、部署位置、服务访问、留存及承接责任；客户资料仅在获准的数据与模型环境中处理。外部服务的公开性能和保留政策不替代银行对数据处理方案的审核。</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如图7-1所示，材料进入、处理和交接各阶段分别确认授权、访问与责任，治理要求贯穿核验全过程。</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811020"/>
            <wp:effectExtent l="0" t="0" r="0" b="0"/>
            <wp:docPr id="2103057783" name="Picture 2103057783" descr="数据处理授权与责任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83" name="Picture 2103057783" descr="数据处理授权与责任边界"/>
                    <pic:cNvPicPr>
                      <a:picLocks noChangeAspect="1"/>
                    </pic:cNvPicPr>
                  </pic:nvPicPr>
                  <pic:blipFill>
                    <a:blip r:embed="rId71">
                      <a:extLst>
                        <a:ext uri="{96DAC541-7B7A-43D3-8B79-37D633B846F1}">
                          <asvg:svgBlip xmlns:asvg="http://schemas.microsoft.com/office/drawing/2016/SVG/main" r:embed="rId72"/>
                        </a:ext>
                      </a:extLst>
                    </a:blip>
                    <a:stretch>
                      <a:fillRect/>
                    </a:stretch>
                  </pic:blipFill>
                  <pic:spPr>
                    <a:xfrm>
                      <a:off x="0" y="0"/>
                      <a:ext cx="5544000" cy="181104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图7-1 数据处理授权与责任边界</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54" w:name="_Toc242347122"/>
      <w:r>
        <w:t>（二）证据管理与版本留存</w:t>
      </w:r>
      <w:bookmarkEnd w:id="54"/>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每次运行绑定材料、任务和模型版本，保留原始答案、引用及人员更正。补件产生新版本并重新核验，历史记录归档为过程资料；未解决的矛盾和事项持续保留，供后续评审承接。</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材料中的指令性文字属于待分析内容，不改变任务配置与允许动作。解析或检索应保留处理范围，人员同时核对引用是否存在、原文是否支持结论。图7-2以数据和模型两条线组织这些控制。</w:t>
      </w:r>
    </w:p>
    <w:p>
      <w:pPr>
        <w:pStyle w:val="179"/>
        <w:keepNext w:val="0"/>
        <w:keepLines w:val="0"/>
        <w:widowControl/>
        <w:kinsoku/>
        <w:wordWrap/>
        <w:overflowPunct/>
        <w:topLinePunct w:val="0"/>
        <w:autoSpaceDE/>
        <w:autoSpaceDN/>
        <w:bidi w:val="0"/>
        <w:adjustRightInd/>
        <w:snapToGrid/>
        <w:spacing w:before="120" w:line="240" w:lineRule="auto"/>
        <w:jc w:val="both"/>
        <w:textAlignment w:val="auto"/>
        <w:rPr>
          <w:rFonts w:hint="eastAsia"/>
        </w:rPr>
      </w:pPr>
      <w:r>
        <w:drawing>
          <wp:inline distT="0" distB="0" distL="0" distR="0">
            <wp:extent cx="5543550" cy="3562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3"/>
                    <a:stretch>
                      <a:fillRect/>
                    </a:stretch>
                  </pic:blipFill>
                  <pic:spPr>
                    <a:xfrm>
                      <a:off x="0" y="0"/>
                      <a:ext cx="5544000" cy="3562911"/>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图7-2 数据与模型双层治理框架</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本地记录支持流程回放。银行环境中的身份认证、授权、访问审计、留存与恢复要求，在正式适配时统一落实。</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55" w:name="_Toc242347123"/>
      <w:r>
        <w:t>（三）风险识别与处置机制</w:t>
      </w:r>
      <w:bookmarkEnd w:id="55"/>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表7-1将核验风险对应到可观察信号、处置动作与责任人员。关键错误和证据不足进入人工核实路径，结论分数与格式检查作为辅助信息，任务质量按独立评价结果管理。</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表7-1 核验风险与处置责任</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345"/>
        <w:gridCol w:w="3118"/>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风险信号</w:t>
            </w:r>
          </w:p>
        </w:tc>
        <w:tc>
          <w:tcPr>
            <w:tcW w:w="3345"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处理动作</w:t>
            </w:r>
          </w:p>
        </w:tc>
        <w:tc>
          <w:tcPr>
            <w:tcW w:w="3118"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承接职责与恢复依据</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材料来源或授权不明</w:t>
            </w:r>
          </w:p>
        </w:tc>
        <w:tc>
          <w:tcPr>
            <w:tcW w:w="3345"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暂停相关材料处理，核实来源与范围</w:t>
            </w:r>
          </w:p>
        </w:tc>
        <w:tc>
          <w:tcPr>
            <w:tcW w:w="3118"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经办与数据管理方确认后恢复</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矛盾漏检、误报或证据错配</w:t>
            </w:r>
          </w:p>
        </w:tc>
        <w:tc>
          <w:tcPr>
            <w:tcW w:w="3345"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展示原文，记录纠正与未决事项</w:t>
            </w:r>
          </w:p>
        </w:tc>
        <w:tc>
          <w:tcPr>
            <w:tcW w:w="3118"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审查人员核实；技术人员回归相关错误</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历史结论用于新材料</w:t>
            </w:r>
          </w:p>
        </w:tc>
        <w:tc>
          <w:tcPr>
            <w:tcW w:w="3345"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阻止旧结果作为当前结论，重新核验</w:t>
            </w:r>
          </w:p>
        </w:tc>
        <w:tc>
          <w:tcPr>
            <w:tcW w:w="3118"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经办补齐材料；复核人员确认新版本</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调用失败或无法接管</w:t>
            </w:r>
          </w:p>
        </w:tc>
        <w:tc>
          <w:tcPr>
            <w:tcW w:w="3345"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保留失败、快判断及消耗，转原处理流程</w:t>
            </w:r>
          </w:p>
        </w:tc>
        <w:tc>
          <w:tcPr>
            <w:tcW w:w="3118"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技术人员定位；责任人员确认恢复条件</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质量或完整成本不达要求</w:t>
            </w:r>
          </w:p>
        </w:tc>
        <w:tc>
          <w:tcPr>
            <w:tcW w:w="3345"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暂停扩大使用，调整任务或模型配置</w:t>
            </w:r>
          </w:p>
        </w:tc>
        <w:tc>
          <w:tcPr>
            <w:tcW w:w="3118"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业务与技术人员按预设要求重新评价</w:t>
            </w:r>
          </w:p>
        </w:tc>
      </w:tr>
    </w:tbl>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56" w:name="_Toc242347124"/>
      <w:r>
        <w:t>（四）停止使用与恢复条件</w:t>
      </w:r>
      <w:bookmarkEnd w:id="56"/>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出现越权处理、关键证据不可追溯、人员无法接管，或关键错误超过预设上限时，停止受影响任务并恢复原有处理方式。完成问题定位、修复回归及责任确认后恢复使用；新增任务和模型版本逐项验收。</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如图7-3所示，受影响任务停止采用建议后，由原业务流程承接，完成问题修复与回归验收后按范围恢复。</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588770"/>
            <wp:effectExtent l="0" t="0" r="0" b="0"/>
            <wp:docPr id="2103057784" name="Picture 2103057784" descr="异常停止与业务恢复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84" name="Picture 2103057784" descr="异常停止与业务恢复闭环"/>
                    <pic:cNvPicPr>
                      <a:picLocks noChangeAspect="1"/>
                    </pic:cNvPicPr>
                  </pic:nvPicPr>
                  <pic:blipFill>
                    <a:blip r:embed="rId74">
                      <a:extLst>
                        <a:ext uri="{96DAC541-7B7A-43D3-8B79-37D633B846F1}">
                          <asvg:svgBlip xmlns:asvg="http://schemas.microsoft.com/office/drawing/2016/SVG/main" r:embed="rId75"/>
                        </a:ext>
                      </a:extLst>
                    </a:blip>
                    <a:stretch>
                      <a:fillRect/>
                    </a:stretch>
                  </pic:blipFill>
                  <pic:spPr>
                    <a:xfrm>
                      <a:off x="0" y="0"/>
                      <a:ext cx="5544000" cy="158928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图7-3 异常停止与业务恢复闭环</w:t>
      </w:r>
    </w:p>
    <w:p>
      <w:pPr>
        <w:pStyle w:val="3"/>
        <w:keepNext w:val="0"/>
        <w:keepLines w:val="0"/>
        <w:widowControl/>
        <w:kinsoku/>
        <w:wordWrap/>
        <w:overflowPunct/>
        <w:topLinePunct w:val="0"/>
        <w:autoSpaceDE/>
        <w:autoSpaceDN/>
        <w:bidi w:val="0"/>
        <w:adjustRightInd/>
        <w:snapToGrid/>
        <w:jc w:val="both"/>
        <w:textAlignment w:val="auto"/>
        <w:rPr>
          <w:rFonts w:hint="eastAsia"/>
        </w:rPr>
      </w:pPr>
      <w:bookmarkStart w:id="57" w:name="_Toc242347125"/>
      <w:r>
        <w:t>八、实施路径与推广规划</w:t>
      </w:r>
      <w:bookmarkEnd w:id="57"/>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58" w:name="_Toc242347126"/>
      <w:r>
        <w:t>（一）实施阶段与验收条件</w:t>
      </w:r>
      <w:bookmarkEnd w:id="58"/>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项目按本地原型、领域验证、银行离线评估、有限辅助使用和同类任务扩展五个阶段推进。本地版本化服务与六方案领域开发对照已完成，阶段建设重点转向独立标签、未见资料评价、银行任务适配与同质量收益测量。</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8-1所示，实施计划以项目启动为M0，设置0—14个月的相对时间窗口，横向条形表示各阶段建议工期，菱形表示阶段验收节点。阶段转换以表8-1的质量、权限和人员承接条件为准，银行评估与使用范围由相应责任方确认；时间安排结合资源和验收结果细化。</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2586990"/>
            <wp:effectExtent l="0" t="0" r="0" b="0"/>
            <wp:docPr id="2103057770" name="Picture 2103057770" descr="分阶段实施标准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70" name="Picture 2103057770" descr="分阶段实施标准甘特图"/>
                    <pic:cNvPicPr>
                      <a:picLocks noChangeAspect="1"/>
                    </pic:cNvPicPr>
                  </pic:nvPicPr>
                  <pic:blipFill>
                    <a:blip r:embed="rId76">
                      <a:extLst>
                        <a:ext uri="{96DAC541-7B7A-43D3-8B79-37D633B846F1}">
                          <asvg:svgBlip xmlns:asvg="http://schemas.microsoft.com/office/drawing/2016/SVG/main" r:embed="rId77"/>
                        </a:ext>
                      </a:extLst>
                    </a:blip>
                    <a:stretch>
                      <a:fillRect/>
                    </a:stretch>
                  </pic:blipFill>
                  <pic:spPr>
                    <a:xfrm>
                      <a:off x="0" y="0"/>
                      <a:ext cx="5544000" cy="258720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图8-1 分阶段实施标准甘特图</w:t>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表8-1 分阶段交付与进入条件</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57"/>
        <w:gridCol w:w="3402"/>
        <w:gridCol w:w="3572"/>
      </w:tblGrid>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57"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阶段</w:t>
            </w:r>
          </w:p>
        </w:tc>
        <w:tc>
          <w:tcPr>
            <w:tcW w:w="3402"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主要交付</w:t>
            </w:r>
          </w:p>
        </w:tc>
        <w:tc>
          <w:tcPr>
            <w:tcW w:w="3572" w:type="dxa"/>
            <w:shd w:val="clear" w:color="auto" w:fill="DFEAF7"/>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进入下一阶段的条件</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P0 本地原型</w:t>
            </w:r>
          </w:p>
        </w:tc>
        <w:tc>
          <w:tcPr>
            <w:tcW w:w="3402"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两项任务、真实推理、版本复核与异常记录</w:t>
            </w:r>
          </w:p>
        </w:tc>
        <w:tc>
          <w:tcPr>
            <w:tcW w:w="3572"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链路可复现，真实调用与模拟分支明确区分</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P1 领域验证</w:t>
            </w:r>
          </w:p>
        </w:tc>
        <w:tc>
          <w:tcPr>
            <w:tcW w:w="3402"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可靠标签、领域适配、合理对照与完整成本记录</w:t>
            </w:r>
          </w:p>
        </w:tc>
        <w:tc>
          <w:tcPr>
            <w:tcW w:w="3572"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独立评价满足约定质量；采用范围有证据支持</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P2 银行离线评估</w:t>
            </w:r>
          </w:p>
        </w:tc>
        <w:tc>
          <w:tcPr>
            <w:tcW w:w="3402"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获准数据与环境、任务映射、责任和退出安排</w:t>
            </w:r>
          </w:p>
        </w:tc>
        <w:tc>
          <w:tcPr>
            <w:tcW w:w="3572"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业务与技术方确认效果、权限及人员承接</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P3 有限辅助使用</w:t>
            </w:r>
          </w:p>
        </w:tc>
        <w:tc>
          <w:tcPr>
            <w:tcW w:w="3402"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限定人员和任务范围、运行监测与回退</w:t>
            </w:r>
          </w:p>
        </w:tc>
        <w:tc>
          <w:tcPr>
            <w:tcW w:w="3572" w:type="dxa"/>
            <w:shd w:val="clear" w:color="auto" w:fill="F4F7FB"/>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持续满足质量与运行要求，新增范围逐项评估</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P4 同类任务扩展</w:t>
            </w:r>
          </w:p>
        </w:tc>
        <w:tc>
          <w:tcPr>
            <w:tcW w:w="3402"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新任务规范、材料要求与验证记录</w:t>
            </w:r>
          </w:p>
        </w:tc>
        <w:tc>
          <w:tcPr>
            <w:tcW w:w="3572" w:type="dxa"/>
            <w:shd w:val="clear" w:color="auto" w:fill="FFFFFF"/>
            <w:tcMar>
              <w:top w:w="85" w:type="dxa"/>
              <w:left w:w="85" w:type="dxa"/>
              <w:bottom w:w="85" w:type="dxa"/>
              <w:right w:w="85" w:type="dxa"/>
            </w:tcMar>
            <w:vAlign w:val="center"/>
          </w:tcPr>
          <w:p>
            <w:pPr>
              <w:keepNext w:val="0"/>
              <w:keepLines w:val="0"/>
              <w:widowControl/>
              <w:kinsoku/>
              <w:wordWrap/>
              <w:overflowPunct/>
              <w:topLinePunct w:val="0"/>
              <w:autoSpaceDE/>
              <w:autoSpaceDN/>
              <w:bidi w:val="0"/>
              <w:adjustRightInd/>
              <w:snapToGrid/>
              <w:spacing w:line="320" w:lineRule="exact"/>
              <w:jc w:val="both"/>
              <w:textAlignment w:val="auto"/>
              <w:rPr>
                <w:rFonts w:hint="eastAsia"/>
              </w:rPr>
            </w:pPr>
            <w:r>
              <w:rPr>
                <w:sz w:val="21"/>
              </w:rPr>
              <w:t>每项新增能力重新验收并确定适用条件</w:t>
            </w:r>
          </w:p>
        </w:tc>
      </w:tr>
    </w:tbl>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59" w:name="_Toc242347127"/>
      <w:r>
        <w:t>（二）工小审任务适配</w:t>
      </w:r>
      <w:bookmarkEnd w:id="59"/>
    </w:p>
    <w:p>
      <w:pPr>
        <w:keepNext w:val="0"/>
        <w:keepLines w:val="0"/>
        <w:widowControl/>
        <w:kinsoku/>
        <w:wordWrap/>
        <w:overflowPunct/>
        <w:topLinePunct w:val="0"/>
        <w:autoSpaceDE/>
        <w:autoSpaceDN/>
        <w:bidi w:val="0"/>
        <w:adjustRightInd/>
        <w:snapToGrid/>
        <w:ind w:firstLine="640"/>
        <w:jc w:val="both"/>
        <w:textAlignment w:val="auto"/>
        <w:rPr>
          <w:rFonts w:hint="eastAsia"/>
        </w:rPr>
      </w:pPr>
      <w:r>
        <w:t>首期选择用途一致性或经营陈述矛盾中的一项任务，由银行确认现有工小审处理方式、输入材料、复核岗位及输出要求，形成同任务比较基线。组件路径保持相同材料和责任，分别记录关键错误、原文支持、查证工时、事项遗漏及完整成本；达到预登记的采用条件后确定协同范围。事项包映射任务、有效版本、原文位置和未决事项，输出用于辅助核验信息交接，授信和放款结果由原业务体系承接。</w:t>
      </w:r>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组件不可用时恢复原有处理流程，保留已产生的核验与复核记录。正式适配统一完成身份认证、权限审计、容量与恢复验证，接口操作范围限定为材料核验与结果交接。</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如图8-2所示，适配围绕任务输入、核验处理和事项输出建立映射，原文位置与有效版本随结果交接。</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921510"/>
            <wp:effectExtent l="0" t="0" r="0" b="0"/>
            <wp:docPr id="2103057785" name="Picture 2103057785" descr="工小审任务与核验事项包适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85" name="Picture 2103057785" descr="工小审任务与核验事项包适配"/>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5544000" cy="192192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图8-2 工小审任务与核验事项包适配</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60" w:name="_Toc242347128"/>
      <w:r>
        <w:t>（三）银行离线评估与受控使用</w:t>
      </w:r>
      <w:bookmarkEnd w:id="60"/>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如图8-3所示，银行评估先完成任务映射与独立盲评，再以旁路记录观察建议的质量、人员负担及资源开销，原业务流程持续运行。达到预先约定的质量与运行条件后，限定任务与使用人员开展辅助使用；权限、审计、恢复和责任承接共同验收。</w:t>
      </w:r>
    </w:p>
    <w:p>
      <w:pPr>
        <w:pStyle w:val="179"/>
        <w:keepNext w:val="0"/>
        <w:keepLines w:val="0"/>
        <w:widowControl/>
        <w:kinsoku/>
        <w:wordWrap/>
        <w:overflowPunct/>
        <w:topLinePunct w:val="0"/>
        <w:autoSpaceDE/>
        <w:autoSpaceDN/>
        <w:bidi w:val="0"/>
        <w:adjustRightInd/>
        <w:snapToGrid/>
        <w:spacing w:before="120" w:line="240" w:lineRule="auto"/>
        <w:jc w:val="both"/>
        <w:textAlignment w:val="auto"/>
        <w:rPr>
          <w:rFonts w:hint="eastAsia"/>
        </w:rPr>
      </w:pPr>
      <w:r>
        <w:drawing>
          <wp:inline distT="0" distB="0" distL="0" distR="0">
            <wp:extent cx="5543550" cy="2833370"/>
            <wp:effectExtent l="0" t="0" r="0" b="0"/>
            <wp:docPr id="2103057765" name="Picture 2103057765" descr="图9-2_银行离线与受控协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65" name="Picture 2103057765" descr="图9-2_银行离线与受控协同"/>
                    <pic:cNvPicPr>
                      <a:picLocks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5544000" cy="283360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图8-3 银行离线评价与受控协同路径</w:t>
      </w:r>
    </w:p>
    <w:p>
      <w:pPr>
        <w:pStyle w:val="4"/>
        <w:keepNext w:val="0"/>
        <w:keepLines w:val="0"/>
        <w:widowControl/>
        <w:kinsoku/>
        <w:wordWrap/>
        <w:overflowPunct/>
        <w:topLinePunct w:val="0"/>
        <w:autoSpaceDE/>
        <w:autoSpaceDN/>
        <w:bidi w:val="0"/>
        <w:adjustRightInd/>
        <w:snapToGrid/>
        <w:jc w:val="both"/>
        <w:textAlignment w:val="auto"/>
        <w:rPr>
          <w:rFonts w:hint="eastAsia"/>
        </w:rPr>
      </w:pPr>
      <w:bookmarkStart w:id="61" w:name="_Toc242347129"/>
      <w:r>
        <w:t>（四）阶段交付与任务扩展</w:t>
      </w:r>
      <w:bookmarkEnd w:id="61"/>
    </w:p>
    <w:p>
      <w:pPr>
        <w:keepNext w:val="0"/>
        <w:keepLines w:val="0"/>
        <w:widowControl/>
        <w:kinsoku/>
        <w:wordWrap/>
        <w:overflowPunct/>
        <w:topLinePunct w:val="0"/>
        <w:autoSpaceDE/>
        <w:autoSpaceDN/>
        <w:bidi w:val="0"/>
        <w:adjustRightInd/>
        <w:snapToGrid/>
        <w:ind w:firstLine="640" w:firstLineChars="200"/>
        <w:jc w:val="both"/>
        <w:textAlignment w:val="auto"/>
        <w:rPr>
          <w:rFonts w:hint="eastAsia"/>
        </w:rPr>
      </w:pPr>
      <w:r>
        <w:t>阶段交付覆盖任务规范、版本化服务、原型、评测记录与离线交接包。后续按领域质量、人员工作量和完整成本确定采用范围，新增任务逐项验证后扩展。</w:t>
      </w:r>
    </w:p>
    <w:p>
      <w:pPr>
        <w:keepNext w:val="0"/>
        <w:keepLines w:val="0"/>
        <w:widowControl/>
        <w:kinsoku/>
        <w:wordWrap/>
        <w:overflowPunct/>
        <w:topLinePunct w:val="0"/>
        <w:autoSpaceDE/>
        <w:autoSpaceDN/>
        <w:bidi w:val="0"/>
        <w:adjustRightInd/>
        <w:snapToGrid/>
        <w:ind w:firstLine="640"/>
        <w:jc w:val="both"/>
        <w:textAlignment w:val="auto"/>
        <w:rPr>
          <w:rFonts w:hint="eastAsia"/>
        </w:rPr>
      </w:pPr>
      <w:r>
        <w:t>如图8-4所示，同类任务扩展沿用稳定的版本与证据组件，新任务分别定义材料、候选和验收依据。</w:t>
      </w:r>
    </w:p>
    <w:p>
      <w:pPr>
        <w:pStyle w:val="184"/>
        <w:keepNext w:val="0"/>
        <w:keepLines w:val="0"/>
        <w:widowControl/>
        <w:kinsoku/>
        <w:wordWrap/>
        <w:overflowPunct/>
        <w:topLinePunct w:val="0"/>
        <w:autoSpaceDE/>
        <w:autoSpaceDN/>
        <w:bidi w:val="0"/>
        <w:adjustRightInd/>
        <w:snapToGrid/>
        <w:spacing w:before="100" w:line="240" w:lineRule="auto"/>
        <w:jc w:val="center"/>
        <w:textAlignment w:val="auto"/>
        <w:rPr>
          <w:rFonts w:hint="eastAsia"/>
        </w:rPr>
      </w:pPr>
      <w:r>
        <w:drawing>
          <wp:inline distT="0" distB="0" distL="0" distR="0">
            <wp:extent cx="5543550" cy="1348740"/>
            <wp:effectExtent l="0" t="0" r="0" b="0"/>
            <wp:docPr id="2103057786" name="Picture 2103057786" descr="同类任务扩展与交付验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7786" name="Picture 2103057786" descr="同类任务扩展与交付验收"/>
                    <pic:cNvPicPr>
                      <a:picLocks noChangeAspect="1"/>
                    </pic:cNvPicPr>
                  </pic:nvPicPr>
                  <pic:blipFill>
                    <a:blip r:embed="rId82">
                      <a:extLst>
                        <a:ext uri="{96DAC541-7B7A-43D3-8B79-37D633B846F1}">
                          <asvg:svgBlip xmlns:asvg="http://schemas.microsoft.com/office/drawing/2016/SVG/main" r:embed="rId83"/>
                        </a:ext>
                      </a:extLst>
                    </a:blip>
                    <a:stretch>
                      <a:fillRect/>
                    </a:stretch>
                  </pic:blipFill>
                  <pic:spPr>
                    <a:xfrm>
                      <a:off x="0" y="0"/>
                      <a:ext cx="5544000" cy="1349040"/>
                    </a:xfrm>
                    <a:prstGeom prst="rect">
                      <a:avLst/>
                    </a:prstGeom>
                  </pic:spPr>
                </pic:pic>
              </a:graphicData>
            </a:graphic>
          </wp:inline>
        </w:drawing>
      </w:r>
    </w:p>
    <w:p>
      <w:pPr>
        <w:pStyle w:val="183"/>
        <w:keepNext w:val="0"/>
        <w:keepLines w:val="0"/>
        <w:widowControl/>
        <w:kinsoku/>
        <w:wordWrap/>
        <w:overflowPunct/>
        <w:topLinePunct w:val="0"/>
        <w:autoSpaceDE/>
        <w:autoSpaceDN/>
        <w:bidi w:val="0"/>
        <w:adjustRightInd/>
        <w:snapToGrid/>
        <w:spacing w:before="80" w:after="120" w:line="320" w:lineRule="exact"/>
        <w:jc w:val="center"/>
        <w:textAlignment w:val="auto"/>
        <w:rPr>
          <w:rFonts w:hint="eastAsia"/>
        </w:rPr>
      </w:pPr>
      <w:r>
        <w:rPr>
          <w:rFonts w:eastAsia="宋体" w:cs="宋体"/>
        </w:rPr>
        <w:t>图8-4 同类任务扩展与交付验收</w:t>
      </w:r>
    </w:p>
    <w:sectPr>
      <w:footerReference r:id="rId6" w:type="default"/>
      <w:type w:val="continuous"/>
      <w:pgSz w:w="11906" w:h="16838"/>
      <w:pgMar w:top="1701" w:right="1587" w:bottom="1587" w:left="1587" w:header="567" w:footer="624"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86"/>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FFont-Family"/>
    <w:panose1 w:val="00000000000000000000"/>
    <w:charset w:val="86"/>
    <w:family w:val="auto"/>
    <w:pitch w:val="default"/>
    <w:sig w:usb0="00000000" w:usb1="00000000" w:usb2="00000000" w:usb3="00000000" w:csb0="00000000" w:csb1="00000000"/>
  </w:font>
  <w:font w:name="ＭＳ 明朝">
    <w:altName w:val="FFont-Family"/>
    <w:panose1 w:val="00000000000000000000"/>
    <w:charset w:val="86"/>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rPr>
        <w:rFonts w:hint="eastAsia"/>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4"/>
                            <w:rPr>
                              <w:rFonts w:hint="eastAsia" w:eastAsia="仿宋"/>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24"/>
                      <w:rPr>
                        <w:rFonts w:hint="eastAsia" w:eastAsia="仿宋"/>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rPr>
        <w:rFonts w:hint="eastAsia"/>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4"/>
                            <w:rPr>
                              <w:rFonts w:hint="eastAsia" w:eastAsia="仿宋"/>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ufGT8ICAADWBQAADgAAAAAA&#10;AAABACAAAAAfAQAAZHJzL2Uyb0RvYy54bWxQSwUGAAAAAAYABgBZAQAAUwYAAAAA&#10;">
              <v:fill on="f" focussize="0,0"/>
              <v:stroke on="f" weight="0.5pt"/>
              <v:imagedata o:title=""/>
              <o:lock v:ext="edit" aspectratio="f"/>
              <v:textbox inset="0mm,0mm,0mm,0mm" style="mso-fit-shape-to-text:t;">
                <w:txbxContent>
                  <w:p>
                    <w:pPr>
                      <w:pStyle w:val="24"/>
                      <w:rPr>
                        <w:rFonts w:hint="eastAsia" w:eastAsia="仿宋"/>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spacing w:after="20" w:line="270" w:lineRule="exact"/>
        <w:rPr>
          <w:rFonts w:hint="eastAsia"/>
        </w:rPr>
      </w:pPr>
      <w:r>
        <w:rPr>
          <w:rFonts w:ascii="Times New Roman" w:hAnsi="Times New Roman" w:eastAsia="宋体"/>
          <w:sz w:val="20"/>
          <w:vertAlign w:val="superscript"/>
        </w:rPr>
        <w:t>[</w:t>
      </w:r>
      <w:r>
        <w:rPr>
          <w:rFonts w:ascii="Times New Roman" w:hAnsi="Times New Roman" w:eastAsia="宋体"/>
          <w:sz w:val="20"/>
          <w:vertAlign w:val="superscript"/>
        </w:rPr>
        <w:footnoteRef/>
      </w:r>
      <w:r>
        <w:rPr>
          <w:rFonts w:ascii="Times New Roman" w:hAnsi="Times New Roman" w:eastAsia="宋体"/>
          <w:sz w:val="20"/>
          <w:vertAlign w:val="superscript"/>
        </w:rPr>
        <w:t>]</w:t>
      </w:r>
      <w:r>
        <w:rPr>
          <w:rFonts w:ascii="Times New Roman" w:hAnsi="Times New Roman" w:eastAsia="宋体"/>
          <w:sz w:val="20"/>
        </w:rPr>
        <w:t xml:space="preserve"> </w:t>
      </w:r>
      <w:r>
        <w:fldChar w:fldCharType="begin"/>
      </w:r>
      <w:r>
        <w:instrText xml:space="preserve"> HYPERLINK "https://www.gov.cn/zhengce/content/202310/content_6908495.htm" \h </w:instrText>
      </w:r>
      <w:r>
        <w:fldChar w:fldCharType="separate"/>
      </w:r>
      <w:r>
        <w:rPr>
          <w:rFonts w:ascii="Times New Roman" w:hAnsi="Times New Roman" w:eastAsia="宋体"/>
          <w:sz w:val="20"/>
        </w:rPr>
        <w:t>国务院：关于推进普惠金融高质量发展的实施意见，国发〔2023〕15号，成文2023年9月25日，发布2023年10月11日。</w:t>
      </w:r>
      <w:r>
        <w:rPr>
          <w:rFonts w:ascii="Times New Roman" w:hAnsi="Times New Roman" w:eastAsia="宋体"/>
          <w:sz w:val="20"/>
        </w:rPr>
        <w:fldChar w:fldCharType="end"/>
      </w:r>
    </w:p>
  </w:footnote>
  <w:footnote w:id="1">
    <w:p>
      <w:pPr>
        <w:spacing w:after="20" w:line="270" w:lineRule="exact"/>
        <w:rPr>
          <w:rFonts w:hint="eastAsia"/>
        </w:rPr>
      </w:pPr>
      <w:r>
        <w:rPr>
          <w:rFonts w:ascii="Times New Roman" w:hAnsi="Times New Roman" w:eastAsia="宋体"/>
          <w:sz w:val="20"/>
          <w:vertAlign w:val="superscript"/>
        </w:rPr>
        <w:t>[</w:t>
      </w:r>
      <w:r>
        <w:rPr>
          <w:rFonts w:ascii="Times New Roman" w:hAnsi="Times New Roman" w:eastAsia="宋体"/>
          <w:sz w:val="20"/>
          <w:vertAlign w:val="superscript"/>
        </w:rPr>
        <w:footnoteRef/>
      </w:r>
      <w:r>
        <w:rPr>
          <w:rFonts w:ascii="Times New Roman" w:hAnsi="Times New Roman" w:eastAsia="宋体"/>
          <w:sz w:val="20"/>
          <w:vertAlign w:val="superscript"/>
        </w:rPr>
        <w:t>]</w:t>
      </w:r>
      <w:r>
        <w:rPr>
          <w:rFonts w:ascii="Times New Roman" w:hAnsi="Times New Roman" w:eastAsia="宋体"/>
          <w:sz w:val="20"/>
        </w:rPr>
        <w:t xml:space="preserve"> </w:t>
      </w:r>
      <w:r>
        <w:fldChar w:fldCharType="begin"/>
      </w:r>
      <w:r>
        <w:instrText xml:space="preserve"> HYPERLINK "https://app.www.gov.cn/govdata/gov/202412/29/523120/article.html" \h </w:instrText>
      </w:r>
      <w:r>
        <w:fldChar w:fldCharType="separate"/>
      </w:r>
      <w:r>
        <w:rPr>
          <w:rFonts w:ascii="Times New Roman" w:hAnsi="Times New Roman" w:eastAsia="宋体"/>
          <w:sz w:val="20"/>
        </w:rPr>
        <w:t>国家金融监督管理总局：银行保险机构数据安全管理办法，金规〔2024〕24号，2024年12月27日。政府网公开文本</w:t>
      </w:r>
      <w:r>
        <w:rPr>
          <w:rFonts w:ascii="Times New Roman" w:hAnsi="Times New Roman" w:eastAsia="宋体"/>
          <w:sz w:val="20"/>
        </w:rPr>
        <w:fldChar w:fldCharType="end"/>
      </w:r>
    </w:p>
  </w:footnote>
  <w:footnote w:id="2">
    <w:p>
      <w:pPr>
        <w:spacing w:after="20" w:line="270" w:lineRule="exact"/>
        <w:rPr>
          <w:rFonts w:hint="eastAsia"/>
        </w:rPr>
      </w:pPr>
      <w:r>
        <w:rPr>
          <w:rFonts w:ascii="Times New Roman" w:hAnsi="Times New Roman" w:eastAsia="宋体"/>
          <w:sz w:val="20"/>
          <w:vertAlign w:val="superscript"/>
        </w:rPr>
        <w:t>[</w:t>
      </w:r>
      <w:r>
        <w:rPr>
          <w:rFonts w:ascii="Times New Roman" w:hAnsi="Times New Roman" w:eastAsia="宋体"/>
          <w:sz w:val="20"/>
          <w:vertAlign w:val="superscript"/>
        </w:rPr>
        <w:footnoteRef/>
      </w:r>
      <w:r>
        <w:rPr>
          <w:rFonts w:ascii="Times New Roman" w:hAnsi="Times New Roman" w:eastAsia="宋体"/>
          <w:sz w:val="20"/>
          <w:vertAlign w:val="superscript"/>
        </w:rPr>
        <w:t>]</w:t>
      </w:r>
      <w:r>
        <w:rPr>
          <w:rFonts w:ascii="Times New Roman" w:hAnsi="Times New Roman" w:eastAsia="宋体"/>
          <w:sz w:val="20"/>
        </w:rPr>
        <w:t xml:space="preserve"> </w:t>
      </w:r>
      <w:r>
        <w:fldChar w:fldCharType="begin"/>
      </w:r>
      <w:r>
        <w:instrText xml:space="preserve"> HYPERLINK "https://v.icbc.com.cn/userfiles/resources/icbcltd/download/2026/2025AnnualReportA.pdf" \h </w:instrText>
      </w:r>
      <w:r>
        <w:fldChar w:fldCharType="separate"/>
      </w:r>
      <w:r>
        <w:rPr>
          <w:rFonts w:ascii="Times New Roman" w:hAnsi="Times New Roman" w:eastAsia="宋体"/>
          <w:sz w:val="20"/>
        </w:rPr>
        <w:t>中国工商银行股份有限公司：2025年度报告A股，2026年披露版，讨论与分析中信用风险管理数智赋能段落。</w:t>
      </w:r>
      <w:r>
        <w:rPr>
          <w:rFonts w:ascii="Times New Roman" w:hAnsi="Times New Roman" w:eastAsia="宋体"/>
          <w:sz w:val="20"/>
        </w:rPr>
        <w:fldChar w:fldCharType="end"/>
      </w:r>
    </w:p>
  </w:footnote>
  <w:footnote w:id="3">
    <w:p>
      <w:pPr>
        <w:spacing w:after="20" w:line="270" w:lineRule="exact"/>
        <w:rPr>
          <w:rFonts w:hint="eastAsia"/>
        </w:rPr>
      </w:pPr>
      <w:r>
        <w:rPr>
          <w:rFonts w:ascii="Times New Roman" w:hAnsi="Times New Roman" w:eastAsia="宋体"/>
          <w:sz w:val="20"/>
          <w:vertAlign w:val="superscript"/>
        </w:rPr>
        <w:t>[</w:t>
      </w:r>
      <w:r>
        <w:rPr>
          <w:rFonts w:ascii="Times New Roman" w:hAnsi="Times New Roman" w:eastAsia="宋体"/>
          <w:sz w:val="20"/>
          <w:vertAlign w:val="superscript"/>
        </w:rPr>
        <w:footnoteRef/>
      </w:r>
      <w:r>
        <w:rPr>
          <w:rFonts w:ascii="Times New Roman" w:hAnsi="Times New Roman" w:eastAsia="宋体"/>
          <w:sz w:val="20"/>
          <w:vertAlign w:val="superscript"/>
        </w:rPr>
        <w:t>]</w:t>
      </w:r>
      <w:r>
        <w:rPr>
          <w:rFonts w:ascii="Times New Roman" w:hAnsi="Times New Roman" w:eastAsia="宋体"/>
          <w:sz w:val="20"/>
        </w:rPr>
        <w:t xml:space="preserve"> </w:t>
      </w:r>
      <w:r>
        <w:fldChar w:fldCharType="begin"/>
      </w:r>
      <w:r>
        <w:instrText xml:space="preserve"> HYPERLINK "https://www.icbc.com.cn/column/819888235210981377.html" \h </w:instrText>
      </w:r>
      <w:r>
        <w:fldChar w:fldCharType="separate"/>
      </w:r>
      <w:r>
        <w:rPr>
          <w:rFonts w:ascii="Times New Roman" w:hAnsi="Times New Roman" w:eastAsia="宋体"/>
          <w:sz w:val="20"/>
        </w:rPr>
        <w:t>中国工商银行：经营快贷官方产品说明，访问日期2026年9月27日。</w:t>
      </w:r>
      <w:r>
        <w:rPr>
          <w:rFonts w:ascii="Times New Roman" w:hAnsi="Times New Roman" w:eastAsia="宋体"/>
          <w:sz w:val="20"/>
        </w:rPr>
        <w:fldChar w:fldCharType="end"/>
      </w:r>
    </w:p>
  </w:footnote>
  <w:footnote w:id="4">
    <w:p>
      <w:pPr>
        <w:spacing w:after="20" w:line="270" w:lineRule="exact"/>
        <w:rPr>
          <w:rFonts w:hint="eastAsia"/>
        </w:rPr>
      </w:pPr>
      <w:r>
        <w:rPr>
          <w:rFonts w:ascii="Times New Roman" w:hAnsi="Times New Roman" w:eastAsia="宋体"/>
          <w:sz w:val="20"/>
          <w:vertAlign w:val="superscript"/>
        </w:rPr>
        <w:t>[</w:t>
      </w:r>
      <w:r>
        <w:rPr>
          <w:rFonts w:ascii="Times New Roman" w:hAnsi="Times New Roman" w:eastAsia="宋体"/>
          <w:sz w:val="20"/>
          <w:vertAlign w:val="superscript"/>
        </w:rPr>
        <w:footnoteRef/>
      </w:r>
      <w:r>
        <w:rPr>
          <w:rFonts w:ascii="Times New Roman" w:hAnsi="Times New Roman" w:eastAsia="宋体"/>
          <w:sz w:val="20"/>
          <w:vertAlign w:val="superscript"/>
        </w:rPr>
        <w:t>]</w:t>
      </w:r>
      <w:r>
        <w:rPr>
          <w:rFonts w:ascii="Times New Roman" w:hAnsi="Times New Roman" w:eastAsia="宋体"/>
          <w:sz w:val="20"/>
        </w:rPr>
        <w:t xml:space="preserve"> </w:t>
      </w:r>
      <w:r>
        <w:fldChar w:fldCharType="begin"/>
      </w:r>
      <w:r>
        <w:instrText xml:space="preserve"> HYPERLINK "https://jrj.sh.gov.cn/SCDT197/20240524/262eb293814d4f75a318bc2f7e276551.html" \h </w:instrText>
      </w:r>
      <w:r>
        <w:fldChar w:fldCharType="separate"/>
      </w:r>
      <w:r>
        <w:rPr>
          <w:rFonts w:ascii="Times New Roman" w:hAnsi="Times New Roman" w:eastAsia="宋体"/>
          <w:sz w:val="20"/>
        </w:rPr>
        <w:t>经济日报：我国普惠金融提质增效，2024年5月24日，上海市委金融办网站转载。</w:t>
      </w:r>
      <w:r>
        <w:rPr>
          <w:rFonts w:ascii="Times New Roman" w:hAnsi="Times New Roman" w:eastAsia="宋体"/>
          <w:sz w:val="20"/>
        </w:rPr>
        <w:fldChar w:fldCharType="end"/>
      </w:r>
    </w:p>
  </w:footnote>
  <w:footnote w:id="5">
    <w:p>
      <w:pPr>
        <w:spacing w:line="240" w:lineRule="exact"/>
        <w:rPr>
          <w:rFonts w:hint="eastAsia"/>
        </w:rPr>
      </w:pPr>
      <w:r>
        <w:rPr>
          <w:rFonts w:ascii="宋体" w:hAnsi="宋体" w:eastAsia="宋体"/>
          <w:sz w:val="18"/>
        </w:rPr>
        <w:t>[</w:t>
      </w:r>
      <w:r>
        <w:rPr>
          <w:rFonts w:ascii="宋体" w:hAnsi="宋体" w:eastAsia="宋体"/>
          <w:sz w:val="18"/>
        </w:rPr>
        <w:footnoteRef/>
      </w:r>
      <w:r>
        <w:rPr>
          <w:rFonts w:ascii="宋体" w:hAnsi="宋体" w:eastAsia="宋体"/>
          <w:sz w:val="18"/>
        </w:rPr>
        <w:t>] 金融时报：词元消耗量激增 银行需平衡算力投入与价值产出，2026年9月16日。https://www.financialnews.com.cn/2026-09/16/content_457184.html，2026年10月8日查阅。用于银行AI投入产出背景，不作为工行信贷专项成本统计。</w:t>
      </w:r>
    </w:p>
  </w:footnote>
  <w:footnote w:id="6">
    <w:p>
      <w:pPr>
        <w:spacing w:after="20" w:line="270" w:lineRule="exact"/>
        <w:rPr>
          <w:rFonts w:hint="eastAsia"/>
        </w:rPr>
      </w:pPr>
      <w:r>
        <w:rPr>
          <w:rFonts w:ascii="Times New Roman" w:hAnsi="Times New Roman" w:eastAsia="宋体"/>
          <w:sz w:val="20"/>
          <w:vertAlign w:val="superscript"/>
        </w:rPr>
        <w:t>[</w:t>
      </w:r>
      <w:r>
        <w:rPr>
          <w:rFonts w:ascii="Times New Roman" w:hAnsi="Times New Roman" w:eastAsia="宋体"/>
          <w:sz w:val="20"/>
          <w:vertAlign w:val="superscript"/>
        </w:rPr>
        <w:footnoteRef/>
      </w:r>
      <w:r>
        <w:rPr>
          <w:rFonts w:ascii="Times New Roman" w:hAnsi="Times New Roman" w:eastAsia="宋体"/>
          <w:sz w:val="20"/>
          <w:vertAlign w:val="superscript"/>
        </w:rPr>
        <w:t>]</w:t>
      </w:r>
      <w:r>
        <w:rPr>
          <w:rFonts w:ascii="Times New Roman" w:hAnsi="Times New Roman" w:eastAsia="宋体"/>
          <w:sz w:val="20"/>
        </w:rPr>
        <w:t xml:space="preserve"> </w:t>
      </w:r>
      <w:r>
        <w:fldChar w:fldCharType="begin"/>
      </w:r>
      <w:r>
        <w:instrText xml:space="preserve"> HYPERLINK "https://mp.weixin.qq.com/s/D1La4jMoVZ5Ip_RrVY1kPw" \h </w:instrText>
      </w:r>
      <w:r>
        <w:fldChar w:fldCharType="separate"/>
      </w:r>
      <w:r>
        <w:rPr>
          <w:rFonts w:ascii="Times New Roman" w:hAnsi="Times New Roman" w:eastAsia="宋体"/>
          <w:sz w:val="20"/>
        </w:rPr>
        <w:t>daryl：《一万字Jev 工程实践长文：把 Agent 的“判断题”从大模型里拆出来》，腾讯技术工程，2026年9月29日访问。</w:t>
      </w:r>
      <w:r>
        <w:rPr>
          <w:rFonts w:ascii="Times New Roman" w:hAnsi="Times New Roman" w:eastAsia="宋体"/>
          <w:sz w:val="20"/>
        </w:rPr>
        <w:fldChar w:fldCharType="end"/>
      </w:r>
    </w:p>
  </w:footnote>
  <w:footnote w:id="7">
    <w:p>
      <w:pPr>
        <w:spacing w:after="20" w:line="270" w:lineRule="exact"/>
        <w:rPr>
          <w:rFonts w:hint="eastAsia"/>
        </w:rPr>
      </w:pPr>
      <w:r>
        <w:rPr>
          <w:rFonts w:ascii="Times New Roman" w:hAnsi="Times New Roman" w:eastAsia="宋体"/>
          <w:sz w:val="20"/>
          <w:vertAlign w:val="superscript"/>
        </w:rPr>
        <w:t>[</w:t>
      </w:r>
      <w:r>
        <w:rPr>
          <w:rFonts w:ascii="Times New Roman" w:hAnsi="Times New Roman" w:eastAsia="宋体"/>
          <w:sz w:val="20"/>
          <w:vertAlign w:val="superscript"/>
        </w:rPr>
        <w:footnoteRef/>
      </w:r>
      <w:r>
        <w:rPr>
          <w:rFonts w:ascii="Times New Roman" w:hAnsi="Times New Roman" w:eastAsia="宋体"/>
          <w:sz w:val="20"/>
          <w:vertAlign w:val="superscript"/>
        </w:rPr>
        <w:t>]</w:t>
      </w:r>
      <w:r>
        <w:rPr>
          <w:rFonts w:ascii="Times New Roman" w:hAnsi="Times New Roman" w:eastAsia="宋体"/>
          <w:sz w:val="20"/>
        </w:rPr>
        <w:t xml:space="preserve"> </w:t>
      </w:r>
      <w:r>
        <w:fldChar w:fldCharType="begin"/>
      </w:r>
      <w:r>
        <w:instrText xml:space="preserve"> HYPERLINK "https://www.icbc.com.cn/page/1211022925399216128.html" \h </w:instrText>
      </w:r>
      <w:r>
        <w:fldChar w:fldCharType="separate"/>
      </w:r>
      <w:r>
        <w:rPr>
          <w:rFonts w:ascii="Times New Roman" w:hAnsi="Times New Roman" w:eastAsia="宋体"/>
          <w:sz w:val="20"/>
        </w:rPr>
        <w:t>中国工商银行：中国工商银行2025年经营发展向新向优，2026年3月27日。</w:t>
      </w:r>
      <w:r>
        <w:rPr>
          <w:rFonts w:ascii="Times New Roman" w:hAnsi="Times New Roman" w:eastAsia="宋体"/>
          <w:sz w:val="20"/>
        </w:rPr>
        <w:fldChar w:fldCharType="end"/>
      </w:r>
    </w:p>
  </w:footnote>
  <w:footnote w:id="8">
    <w:p>
      <w:pPr>
        <w:spacing w:line="240" w:lineRule="exact"/>
        <w:rPr>
          <w:rFonts w:hint="eastAsia"/>
        </w:rPr>
      </w:pPr>
      <w:r>
        <w:rPr>
          <w:rFonts w:ascii="宋体" w:hAnsi="宋体" w:eastAsia="宋体"/>
          <w:sz w:val="18"/>
        </w:rPr>
        <w:t>[</w:t>
      </w:r>
      <w:r>
        <w:rPr>
          <w:rFonts w:ascii="宋体" w:hAnsi="宋体" w:eastAsia="宋体"/>
          <w:sz w:val="18"/>
        </w:rPr>
        <w:footnoteRef/>
      </w:r>
      <w:r>
        <w:rPr>
          <w:rFonts w:ascii="宋体" w:hAnsi="宋体" w:eastAsia="宋体"/>
          <w:sz w:val="18"/>
        </w:rPr>
        <w:t>] 项目系统验证记录，2026年10月7日：原型85项软件回归通过，新增官方后端覆盖规则门控、真实返回字段、用量留存、请求上限、失败接管及材料版本交接。官方最小协议工具另通过15项离线检查；同任务对照协议通过3项完整性检查。</w:t>
      </w:r>
    </w:p>
  </w:footnote>
  <w:footnote w:id="9">
    <w:p>
      <w:pPr>
        <w:spacing w:after="20" w:line="270" w:lineRule="exact"/>
        <w:rPr>
          <w:rFonts w:hint="eastAsia"/>
        </w:rPr>
      </w:pPr>
      <w:r>
        <w:rPr>
          <w:rFonts w:ascii="Times New Roman" w:hAnsi="Times New Roman" w:eastAsia="宋体"/>
          <w:sz w:val="18"/>
          <w:szCs w:val="18"/>
        </w:rPr>
        <w:t>[</w:t>
      </w:r>
      <w:r>
        <w:rPr>
          <w:rFonts w:hint="eastAsia" w:ascii="Times New Roman" w:hAnsi="Times New Roman" w:eastAsia="宋体"/>
          <w:sz w:val="18"/>
          <w:szCs w:val="18"/>
          <w:lang w:eastAsia="zh-CN"/>
        </w:rPr>
        <w:t>9</w:t>
      </w:r>
      <w:r>
        <w:rPr>
          <w:rFonts w:ascii="Times New Roman" w:hAnsi="Times New Roman" w:eastAsia="宋体"/>
          <w:sz w:val="18"/>
          <w:szCs w:val="18"/>
        </w:rPr>
        <w:t xml:space="preserve">] </w:t>
      </w:r>
      <w:r>
        <w:fldChar w:fldCharType="begin"/>
      </w:r>
      <w:r>
        <w:instrText xml:space="preserve"> HYPERLINK "https://github.com/li-xiu-qi/XiaokeAILabs/tree/24277dc067e2c1809013068a559c6b273b202d5d/experiments/test_jev_open_source/text_jev_train" \h </w:instrText>
      </w:r>
      <w:r>
        <w:fldChar w:fldCharType="separate"/>
      </w:r>
      <w:r>
        <w:rPr>
          <w:rFonts w:ascii="Times New Roman" w:hAnsi="Times New Roman" w:eastAsia="宋体"/>
          <w:sz w:val="18"/>
          <w:szCs w:val="18"/>
        </w:rPr>
        <w:t>XiaokeAILabs，text_jev_train，固定提交24277dc067e2c1809013068a559c6b273b202d5d。</w:t>
      </w:r>
      <w:r>
        <w:rPr>
          <w:rFonts w:ascii="Times New Roman" w:hAnsi="Times New Roman" w:eastAsia="宋体"/>
          <w:sz w:val="18"/>
          <w:szCs w:val="18"/>
        </w:rPr>
        <w:fldChar w:fldCharType="end"/>
      </w:r>
      <w:r>
        <w:rPr>
          <w:rFonts w:ascii="Times New Roman" w:hAnsi="Times New Roman" w:eastAsia="宋体"/>
          <w:sz w:val="18"/>
          <w:szCs w:val="18"/>
        </w:rPr>
        <w:t>；TypeSafe官方文档 Introduction、System One、Design、Confidence、Models（2026年10月2日查阅）：https://docs.typesafe.ai/introduction 。宋志学（Datawhale）：《一顿麦当劳早餐，人人都可训练自己的Jev决策模型！》，2026年10月2日，https://mp.weixin.qq.com/s/Hiy30Gnmk9h6kIXp_3Ucgw。</w:t>
      </w:r>
    </w:p>
  </w:footnote>
  <w:footnote w:id="10">
    <w:p>
      <w:pPr>
        <w:spacing w:line="240" w:lineRule="exact"/>
        <w:rPr>
          <w:rFonts w:hint="eastAsia"/>
        </w:rPr>
      </w:pPr>
      <w:r>
        <w:rPr>
          <w:rFonts w:ascii="宋体" w:hAnsi="宋体" w:eastAsia="宋体"/>
          <w:sz w:val="18"/>
        </w:rPr>
        <w:t>[</w:t>
      </w:r>
      <w:r>
        <w:rPr>
          <w:sz w:val="18"/>
        </w:rPr>
        <w:footnoteRef/>
      </w:r>
      <w:r>
        <w:rPr>
          <w:rFonts w:ascii="宋体" w:hAnsi="宋体" w:eastAsia="宋体"/>
          <w:sz w:val="18"/>
        </w:rPr>
        <w:t>] TypeSafe官方文档，API reference与Models，2026年10月7日查阅：https://docs.typesafe.ai/api；https://docs.typesafe.ai/models。mu架构参考：https://github.com/qybaihe/mu，固定提交47c51b0c68f622e9953b7f501d165fe474eec588；判断模块MIT许可。本项目独立实现协议适配与银行编排。</w:t>
      </w:r>
    </w:p>
  </w:footnote>
  <w:footnote w:id="11">
    <w:p>
      <w:pPr>
        <w:spacing w:line="220" w:lineRule="auto"/>
        <w:rPr>
          <w:rFonts w:hint="eastAsia"/>
        </w:rPr>
      </w:pPr>
      <w:r>
        <w:rPr>
          <w:rFonts w:ascii="宋体" w:hAnsi="宋体" w:eastAsia="宋体"/>
          <w:sz w:val="18"/>
          <w:szCs w:val="18"/>
        </w:rPr>
        <w:footnoteRef/>
      </w:r>
      <w:r>
        <w:rPr>
          <w:rFonts w:ascii="宋体" w:hAnsi="宋体" w:eastAsia="宋体"/>
          <w:sz w:val="18"/>
          <w:szCs w:val="18"/>
        </w:rPr>
        <w:t>官方文档及计费页面（访问日期：2026年10月2日）：</w:t>
      </w:r>
      <w:r>
        <w:fldChar w:fldCharType="begin"/>
      </w:r>
      <w:r>
        <w:instrText xml:space="preserve"> HYPERLINK "https://docs.typesafe.ai/models" \h </w:instrText>
      </w:r>
      <w:r>
        <w:fldChar w:fldCharType="separate"/>
      </w:r>
      <w:r>
        <w:rPr>
          <w:rFonts w:ascii="宋体" w:hAnsi="宋体" w:eastAsia="宋体"/>
          <w:sz w:val="18"/>
          <w:szCs w:val="18"/>
        </w:rPr>
        <w:t>TypeSafe模型</w:t>
      </w:r>
      <w:r>
        <w:rPr>
          <w:rFonts w:ascii="宋体" w:hAnsi="宋体" w:eastAsia="宋体"/>
          <w:sz w:val="18"/>
          <w:szCs w:val="18"/>
        </w:rPr>
        <w:fldChar w:fldCharType="end"/>
      </w:r>
      <w:r>
        <w:rPr>
          <w:rFonts w:ascii="宋体" w:hAnsi="宋体" w:eastAsia="宋体"/>
          <w:sz w:val="18"/>
          <w:szCs w:val="18"/>
        </w:rPr>
        <w:t>；</w:t>
      </w:r>
      <w:r>
        <w:fldChar w:fldCharType="begin"/>
      </w:r>
      <w:r>
        <w:instrText xml:space="preserve"> HYPERLINK "https://api-docs.deepseek.com/zh-cn/quick_start/pricing" \h </w:instrText>
      </w:r>
      <w:r>
        <w:fldChar w:fldCharType="separate"/>
      </w:r>
      <w:r>
        <w:rPr>
          <w:rFonts w:ascii="宋体" w:hAnsi="宋体" w:eastAsia="宋体"/>
          <w:sz w:val="18"/>
          <w:szCs w:val="18"/>
        </w:rPr>
        <w:t>DeepSeek模型与价格</w:t>
      </w:r>
      <w:r>
        <w:rPr>
          <w:rFonts w:ascii="宋体" w:hAnsi="宋体" w:eastAsia="宋体"/>
          <w:sz w:val="18"/>
          <w:szCs w:val="18"/>
        </w:rPr>
        <w:fldChar w:fldCharType="end"/>
      </w:r>
      <w:r>
        <w:rPr>
          <w:rFonts w:ascii="宋体" w:hAnsi="宋体" w:eastAsia="宋体"/>
          <w:sz w:val="18"/>
          <w:szCs w:val="18"/>
        </w:rPr>
        <w:t>；</w:t>
      </w:r>
      <w:r>
        <w:fldChar w:fldCharType="begin"/>
      </w:r>
      <w:r>
        <w:instrText xml:space="preserve"> HYPERLINK "https://docs.bigmodel.cn/cn/guide/models/text/glm-5.2" \h </w:instrText>
      </w:r>
      <w:r>
        <w:fldChar w:fldCharType="separate"/>
      </w:r>
      <w:r>
        <w:rPr>
          <w:rFonts w:ascii="宋体" w:hAnsi="宋体" w:eastAsia="宋体"/>
          <w:sz w:val="18"/>
          <w:szCs w:val="18"/>
        </w:rPr>
        <w:t>智谱GLM-5.2</w:t>
      </w:r>
      <w:r>
        <w:rPr>
          <w:rFonts w:ascii="宋体" w:hAnsi="宋体" w:eastAsia="宋体"/>
          <w:sz w:val="18"/>
          <w:szCs w:val="18"/>
        </w:rPr>
        <w:fldChar w:fldCharType="end"/>
      </w:r>
      <w:r>
        <w:rPr>
          <w:rFonts w:ascii="宋体" w:hAnsi="宋体" w:eastAsia="宋体"/>
          <w:sz w:val="18"/>
          <w:szCs w:val="18"/>
        </w:rPr>
        <w:t>；</w:t>
      </w:r>
      <w:r>
        <w:fldChar w:fldCharType="begin"/>
      </w:r>
      <w:r>
        <w:instrText xml:space="preserve"> HYPERLINK "https://help.aliyun.com/zh/model-studio/decision-model-preview" \h </w:instrText>
      </w:r>
      <w:r>
        <w:fldChar w:fldCharType="separate"/>
      </w:r>
      <w:r>
        <w:rPr>
          <w:rFonts w:ascii="宋体" w:hAnsi="宋体" w:eastAsia="宋体"/>
          <w:sz w:val="18"/>
          <w:szCs w:val="18"/>
        </w:rPr>
        <w:t>百炼决策服务</w:t>
      </w:r>
      <w:r>
        <w:rPr>
          <w:rFonts w:ascii="宋体" w:hAnsi="宋体" w:eastAsia="宋体"/>
          <w:sz w:val="18"/>
          <w:szCs w:val="18"/>
        </w:rPr>
        <w:fldChar w:fldCharType="end"/>
      </w:r>
      <w:r>
        <w:rPr>
          <w:rFonts w:ascii="宋体" w:hAnsi="宋体" w:eastAsia="宋体"/>
          <w:sz w:val="18"/>
          <w:szCs w:val="18"/>
        </w:rPr>
        <w:t>；</w:t>
      </w:r>
      <w:r>
        <w:fldChar w:fldCharType="begin"/>
      </w:r>
      <w:r>
        <w:instrText xml:space="preserve"> HYPERLINK "https://help.aliyun.com/zh/model-studio/decision-model-api" \h </w:instrText>
      </w:r>
      <w:r>
        <w:fldChar w:fldCharType="separate"/>
      </w:r>
      <w:r>
        <w:rPr>
          <w:rFonts w:ascii="宋体" w:hAnsi="宋体" w:eastAsia="宋体"/>
          <w:sz w:val="18"/>
          <w:szCs w:val="18"/>
        </w:rPr>
        <w:t>百炼决策协议</w:t>
      </w:r>
      <w:r>
        <w:rPr>
          <w:rFonts w:ascii="宋体" w:hAnsi="宋体" w:eastAsia="宋体"/>
          <w:sz w:val="18"/>
          <w:szCs w:val="18"/>
        </w:rPr>
        <w:fldChar w:fldCharType="end"/>
      </w:r>
      <w:r>
        <w:rPr>
          <w:rFonts w:ascii="宋体" w:hAnsi="宋体" w:eastAsia="宋体"/>
          <w:sz w:val="18"/>
          <w:szCs w:val="18"/>
        </w:rPr>
        <w:t>；</w:t>
      </w:r>
      <w:r>
        <w:fldChar w:fldCharType="begin"/>
      </w:r>
      <w:r>
        <w:instrText xml:space="preserve"> HYPERLINK "https://help.aliyun.com/zh/model-studio/model-pricing" \h </w:instrText>
      </w:r>
      <w:r>
        <w:fldChar w:fldCharType="separate"/>
      </w:r>
      <w:r>
        <w:rPr>
          <w:rFonts w:ascii="宋体" w:hAnsi="宋体" w:eastAsia="宋体"/>
          <w:sz w:val="18"/>
          <w:szCs w:val="18"/>
        </w:rPr>
        <w:t>百炼模型价格</w:t>
      </w:r>
      <w:r>
        <w:rPr>
          <w:rFonts w:ascii="宋体" w:hAnsi="宋体" w:eastAsia="宋体"/>
          <w:sz w:val="18"/>
          <w:szCs w:val="18"/>
        </w:rPr>
        <w:fldChar w:fldCharType="end"/>
      </w:r>
      <w:r>
        <w:rPr>
          <w:rFonts w:ascii="宋体" w:hAnsi="宋体" w:eastAsia="宋体"/>
          <w:sz w:val="18"/>
          <w:szCs w:val="18"/>
        </w:rPr>
        <w:t>；</w:t>
      </w:r>
      <w:r>
        <w:fldChar w:fldCharType="begin"/>
      </w:r>
      <w:r>
        <w:instrText xml:space="preserve"> HYPERLINK "https://docs.volcengine.com/docs/82379/1544106" \h </w:instrText>
      </w:r>
      <w:r>
        <w:fldChar w:fldCharType="separate"/>
      </w:r>
      <w:r>
        <w:rPr>
          <w:rFonts w:ascii="宋体" w:hAnsi="宋体" w:eastAsia="宋体"/>
          <w:sz w:val="18"/>
          <w:szCs w:val="18"/>
        </w:rPr>
        <w:t>火山模型价格</w:t>
      </w:r>
      <w:r>
        <w:rPr>
          <w:rFonts w:ascii="宋体" w:hAnsi="宋体" w:eastAsia="宋体"/>
          <w:sz w:val="18"/>
          <w:szCs w:val="18"/>
        </w:rPr>
        <w:fldChar w:fldCharType="end"/>
      </w:r>
      <w:r>
        <w:rPr>
          <w:rFonts w:ascii="宋体" w:hAnsi="宋体" w:eastAsia="宋体"/>
          <w:sz w:val="18"/>
          <w:szCs w:val="18"/>
        </w:rPr>
        <w:t>；</w:t>
      </w:r>
      <w:r>
        <w:fldChar w:fldCharType="begin"/>
      </w:r>
      <w:r>
        <w:instrText xml:space="preserve"> HYPERLINK "https://platform.kimi.com/docs/guide/kimi-k2-6-quickstart" \h </w:instrText>
      </w:r>
      <w:r>
        <w:fldChar w:fldCharType="separate"/>
      </w:r>
      <w:r>
        <w:rPr>
          <w:rFonts w:ascii="宋体" w:hAnsi="宋体" w:eastAsia="宋体"/>
          <w:sz w:val="18"/>
          <w:szCs w:val="18"/>
        </w:rPr>
        <w:t>Kimi K2.6</w:t>
      </w:r>
      <w:r>
        <w:rPr>
          <w:rFonts w:ascii="宋体" w:hAnsi="宋体" w:eastAsia="宋体"/>
          <w:sz w:val="18"/>
          <w:szCs w:val="18"/>
        </w:rPr>
        <w:fldChar w:fldCharType="end"/>
      </w:r>
      <w:r>
        <w:rPr>
          <w:rFonts w:ascii="宋体" w:hAnsi="宋体" w:eastAsia="宋体"/>
          <w:sz w:val="18"/>
          <w:szCs w:val="18"/>
        </w:rPr>
        <w:t>。</w:t>
      </w:r>
    </w:p>
  </w:footnote>
  <w:footnote w:id="12">
    <w:p>
      <w:pPr>
        <w:spacing w:line="240" w:lineRule="exact"/>
        <w:rPr>
          <w:rFonts w:hint="eastAsia"/>
        </w:rPr>
      </w:pPr>
      <w:r>
        <w:rPr>
          <w:rFonts w:ascii="宋体" w:hAnsi="宋体" w:eastAsia="宋体"/>
          <w:sz w:val="18"/>
        </w:rPr>
        <w:t>[</w:t>
      </w:r>
      <w:r>
        <w:rPr>
          <w:rFonts w:ascii="Times New Roman" w:hAnsi="Times New Roman" w:eastAsia="宋体"/>
          <w:sz w:val="18"/>
        </w:rPr>
        <w:footnoteRef/>
      </w:r>
      <w:r>
        <w:rPr>
          <w:rFonts w:ascii="宋体" w:hAnsi="宋体" w:eastAsia="宋体"/>
          <w:sz w:val="18"/>
        </w:rPr>
        <w:t>] 项目开发实验记录：早期24份材料、后续28份材料及52份任务说明配对；2026年10月7日54份六方案领域开发对照。冻结配置、逐例预测和版本记录归档。</w:t>
      </w:r>
    </w:p>
  </w:footnote>
  <w:footnote w:id="13">
    <w:p>
      <w:pPr>
        <w:spacing w:after="20" w:line="270" w:lineRule="exact"/>
        <w:rPr>
          <w:rFonts w:hint="eastAsia"/>
        </w:rPr>
      </w:pPr>
      <w:r>
        <w:rPr>
          <w:rFonts w:ascii="Times New Roman" w:hAnsi="Times New Roman" w:eastAsia="宋体"/>
          <w:sz w:val="20"/>
          <w:vertAlign w:val="superscript"/>
        </w:rPr>
        <w:t>[</w:t>
      </w:r>
      <w:r>
        <w:rPr>
          <w:rFonts w:ascii="Times New Roman" w:hAnsi="Times New Roman" w:eastAsia="宋体"/>
          <w:sz w:val="20"/>
          <w:vertAlign w:val="superscript"/>
        </w:rPr>
        <w:footnoteRef/>
      </w:r>
      <w:r>
        <w:rPr>
          <w:rFonts w:ascii="Times New Roman" w:hAnsi="Times New Roman" w:eastAsia="宋体"/>
          <w:sz w:val="20"/>
          <w:vertAlign w:val="superscript"/>
        </w:rPr>
        <w:t>]</w:t>
      </w:r>
      <w:r>
        <w:rPr>
          <w:rFonts w:ascii="Times New Roman" w:hAnsi="Times New Roman" w:eastAsia="宋体"/>
          <w:sz w:val="20"/>
        </w:rPr>
        <w:t xml:space="preserve"> 公开检查点aimeigaoshou/agent-jev，版本0e2593e6e6c0eade0700712ac13c4389aa7654cc。来源、权重哈希与许可记录见项目demo/models/agentjev-public及demo/vendor/agentjev。</w:t>
      </w:r>
    </w:p>
  </w:footnote>
  <w:footnote w:id="14">
    <w:p>
      <w:pPr>
        <w:spacing w:line="240" w:lineRule="exact"/>
        <w:rPr>
          <w:rFonts w:hint="eastAsia"/>
        </w:rPr>
      </w:pPr>
      <w:r>
        <w:rPr>
          <w:rFonts w:ascii="宋体" w:hAnsi="宋体" w:eastAsia="宋体"/>
          <w:sz w:val="18"/>
        </w:rPr>
        <w:t>[</w:t>
      </w:r>
      <w:r>
        <w:rPr>
          <w:sz w:val="18"/>
        </w:rPr>
        <w:footnoteRef/>
      </w:r>
      <w:r>
        <w:rPr>
          <w:rFonts w:ascii="宋体" w:hAnsi="宋体" w:eastAsia="宋体"/>
          <w:sz w:val="18"/>
        </w:rPr>
        <w:t>] 项目领域开发对照记录，2026年10月7日：54份自编仿真资料，12个案例族，10个语义族折外训练；冻结协议、47次生成对照及逐例统计留档。标签尚待独立业务复核。</w:t>
      </w:r>
    </w:p>
  </w:footnote>
  <w:footnote w:id="15">
    <w:p>
      <w:pPr>
        <w:spacing w:line="240" w:lineRule="exact"/>
        <w:rPr>
          <w:rFonts w:hint="eastAsia"/>
        </w:rPr>
      </w:pPr>
      <w:r>
        <w:rPr>
          <w:rFonts w:ascii="宋体" w:hAnsi="宋体" w:eastAsia="宋体"/>
          <w:sz w:val="18"/>
        </w:rPr>
        <w:t>[</w:t>
      </w:r>
      <w:r>
        <w:rPr>
          <w:rFonts w:ascii="宋体" w:hAnsi="宋体" w:eastAsia="宋体"/>
          <w:sz w:val="18"/>
        </w:rPr>
        <w:footnoteRef/>
      </w:r>
      <w:r>
        <w:rPr>
          <w:rFonts w:ascii="宋体" w:hAnsi="宋体" w:eastAsia="宋体"/>
          <w:sz w:val="18"/>
        </w:rPr>
        <w:t>] 官方文档及计费页面（访问日期：2026年10月2日）：TypeSafe；DeepSeek；智谱；百炼价格；百炼决策服务；火山方舟；Kimi。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rPr>
        <w:rFonts w:hint="eastAsia"/>
        <w:lang w:eastAsia="zh-CN"/>
      </w:rPr>
    </w:pPr>
    <w:r>
      <w:rPr>
        <w:rFonts w:hint="eastAsia"/>
        <w:lang w:eastAsia="zh-CN"/>
      </w:rPr>
      <w:drawing>
        <wp:anchor distT="0" distB="0" distL="114300" distR="114300" simplePos="0" relativeHeight="251658240" behindDoc="1" locked="0" layoutInCell="1" allowOverlap="1">
          <wp:simplePos x="0" y="0"/>
          <wp:positionH relativeFrom="column">
            <wp:posOffset>-1010920</wp:posOffset>
          </wp:positionH>
          <wp:positionV relativeFrom="paragraph">
            <wp:posOffset>-351155</wp:posOffset>
          </wp:positionV>
          <wp:extent cx="7524115" cy="10655935"/>
          <wp:effectExtent l="0" t="0" r="635" b="2540"/>
          <wp:wrapNone/>
          <wp:docPr id="4" name="图片 4" descr="gongyin-edai-ice-blue-body-backgroun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ongyin-edai-ice-blue-body-background-a4"/>
                  <pic:cNvPicPr>
                    <a:picLocks noChangeAspect="1"/>
                  </pic:cNvPicPr>
                </pic:nvPicPr>
                <pic:blipFill>
                  <a:blip r:embed="rId1"/>
                  <a:stretch>
                    <a:fillRect/>
                  </a:stretch>
                </pic:blipFill>
                <pic:spPr>
                  <a:xfrm>
                    <a:off x="0" y="0"/>
                    <a:ext cx="7524115" cy="1065593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isplayBackgroundShape w:val="1"/>
  <w:documentProtection w:enforcement="0"/>
  <w:defaultTabStop w:val="720"/>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76DC"/>
    <w:rsid w:val="00034616"/>
    <w:rsid w:val="000363EE"/>
    <w:rsid w:val="0004301A"/>
    <w:rsid w:val="000541D6"/>
    <w:rsid w:val="0006063C"/>
    <w:rsid w:val="00063472"/>
    <w:rsid w:val="000657F2"/>
    <w:rsid w:val="00065E3D"/>
    <w:rsid w:val="00071BC0"/>
    <w:rsid w:val="00081397"/>
    <w:rsid w:val="000E5F0B"/>
    <w:rsid w:val="000F78E8"/>
    <w:rsid w:val="00104EAF"/>
    <w:rsid w:val="00107BD3"/>
    <w:rsid w:val="0015074B"/>
    <w:rsid w:val="001510F0"/>
    <w:rsid w:val="00151D72"/>
    <w:rsid w:val="00172A27"/>
    <w:rsid w:val="00181ADA"/>
    <w:rsid w:val="00197612"/>
    <w:rsid w:val="001A74C1"/>
    <w:rsid w:val="001C74B7"/>
    <w:rsid w:val="002373DE"/>
    <w:rsid w:val="00256FE8"/>
    <w:rsid w:val="00287E10"/>
    <w:rsid w:val="0029639D"/>
    <w:rsid w:val="002B4611"/>
    <w:rsid w:val="002C3654"/>
    <w:rsid w:val="002C5B0C"/>
    <w:rsid w:val="002D57A0"/>
    <w:rsid w:val="00326F90"/>
    <w:rsid w:val="00363168"/>
    <w:rsid w:val="00374EB5"/>
    <w:rsid w:val="00377893"/>
    <w:rsid w:val="00380CB9"/>
    <w:rsid w:val="0038546E"/>
    <w:rsid w:val="003A1F95"/>
    <w:rsid w:val="003D79EB"/>
    <w:rsid w:val="003F3516"/>
    <w:rsid w:val="00403067"/>
    <w:rsid w:val="00426FF3"/>
    <w:rsid w:val="004438F8"/>
    <w:rsid w:val="00475363"/>
    <w:rsid w:val="00480FA5"/>
    <w:rsid w:val="0051497E"/>
    <w:rsid w:val="00514E3B"/>
    <w:rsid w:val="00522C03"/>
    <w:rsid w:val="00523EAB"/>
    <w:rsid w:val="005439D4"/>
    <w:rsid w:val="00547C59"/>
    <w:rsid w:val="00580BCC"/>
    <w:rsid w:val="005837EB"/>
    <w:rsid w:val="005D17AC"/>
    <w:rsid w:val="00621D6B"/>
    <w:rsid w:val="00641357"/>
    <w:rsid w:val="006546C6"/>
    <w:rsid w:val="006724B5"/>
    <w:rsid w:val="00690CD4"/>
    <w:rsid w:val="006C6469"/>
    <w:rsid w:val="00716231"/>
    <w:rsid w:val="00722C2B"/>
    <w:rsid w:val="00734E04"/>
    <w:rsid w:val="00750D34"/>
    <w:rsid w:val="00761CAE"/>
    <w:rsid w:val="00766948"/>
    <w:rsid w:val="00780C47"/>
    <w:rsid w:val="007C05F1"/>
    <w:rsid w:val="007C556B"/>
    <w:rsid w:val="007E28A0"/>
    <w:rsid w:val="007E7E59"/>
    <w:rsid w:val="0080386A"/>
    <w:rsid w:val="00835595"/>
    <w:rsid w:val="00847D85"/>
    <w:rsid w:val="008A18AF"/>
    <w:rsid w:val="008A6A2E"/>
    <w:rsid w:val="008C5F9C"/>
    <w:rsid w:val="008C60DE"/>
    <w:rsid w:val="00907D96"/>
    <w:rsid w:val="00912FEF"/>
    <w:rsid w:val="00940848"/>
    <w:rsid w:val="009475CA"/>
    <w:rsid w:val="00964E36"/>
    <w:rsid w:val="00976263"/>
    <w:rsid w:val="00A06EF1"/>
    <w:rsid w:val="00A103AC"/>
    <w:rsid w:val="00A26CEE"/>
    <w:rsid w:val="00A31B41"/>
    <w:rsid w:val="00A32400"/>
    <w:rsid w:val="00A67471"/>
    <w:rsid w:val="00AA1D8D"/>
    <w:rsid w:val="00AC4239"/>
    <w:rsid w:val="00AC59C1"/>
    <w:rsid w:val="00AC6E28"/>
    <w:rsid w:val="00AD4CAB"/>
    <w:rsid w:val="00AF49B3"/>
    <w:rsid w:val="00B12F2C"/>
    <w:rsid w:val="00B25F03"/>
    <w:rsid w:val="00B44D9F"/>
    <w:rsid w:val="00B47730"/>
    <w:rsid w:val="00B6582B"/>
    <w:rsid w:val="00B72D59"/>
    <w:rsid w:val="00B73CBD"/>
    <w:rsid w:val="00B74F87"/>
    <w:rsid w:val="00B905D1"/>
    <w:rsid w:val="00B92B9C"/>
    <w:rsid w:val="00B94FDA"/>
    <w:rsid w:val="00B95887"/>
    <w:rsid w:val="00BA389D"/>
    <w:rsid w:val="00BD0D21"/>
    <w:rsid w:val="00BE17AF"/>
    <w:rsid w:val="00C035F9"/>
    <w:rsid w:val="00C03ACD"/>
    <w:rsid w:val="00C346DE"/>
    <w:rsid w:val="00C73F1E"/>
    <w:rsid w:val="00C84B0B"/>
    <w:rsid w:val="00C91255"/>
    <w:rsid w:val="00CA28AC"/>
    <w:rsid w:val="00CB0664"/>
    <w:rsid w:val="00CC2857"/>
    <w:rsid w:val="00D3003B"/>
    <w:rsid w:val="00D46A6F"/>
    <w:rsid w:val="00D95E56"/>
    <w:rsid w:val="00DF2470"/>
    <w:rsid w:val="00E25427"/>
    <w:rsid w:val="00E41D87"/>
    <w:rsid w:val="00E81D63"/>
    <w:rsid w:val="00EA07C4"/>
    <w:rsid w:val="00ED1DE7"/>
    <w:rsid w:val="00EE5E82"/>
    <w:rsid w:val="00F20A87"/>
    <w:rsid w:val="00F36FA5"/>
    <w:rsid w:val="00F600AA"/>
    <w:rsid w:val="00F94711"/>
    <w:rsid w:val="00FC693F"/>
    <w:rsid w:val="02AA10A8"/>
    <w:rsid w:val="05CE5547"/>
    <w:rsid w:val="1EBF0431"/>
    <w:rsid w:val="3EBD0017"/>
    <w:rsid w:val="43480955"/>
    <w:rsid w:val="43DA2A43"/>
    <w:rsid w:val="4432771B"/>
    <w:rsid w:val="4B756F3F"/>
    <w:rsid w:val="5AA54784"/>
    <w:rsid w:val="67844EE7"/>
    <w:rsid w:val="67EE21ED"/>
    <w:rsid w:val="75B06959"/>
    <w:rsid w:val="79FF5B3B"/>
    <w:rsid w:val="7B152A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590" w:lineRule="exact"/>
    </w:pPr>
    <w:rPr>
      <w:rFonts w:ascii="仿宋" w:hAnsi="仿宋" w:eastAsia="仿宋" w:cs="仿宋"/>
      <w:color w:val="000000"/>
      <w:sz w:val="32"/>
      <w:szCs w:val="22"/>
      <w:lang w:val="en-US" w:eastAsia="en-US" w:bidi="ar-SA"/>
    </w:rPr>
  </w:style>
  <w:style w:type="paragraph" w:styleId="3">
    <w:name w:val="heading 1"/>
    <w:basedOn w:val="1"/>
    <w:next w:val="1"/>
    <w:link w:val="141"/>
    <w:qFormat/>
    <w:uiPriority w:val="9"/>
    <w:pPr>
      <w:keepNext/>
      <w:keepLines/>
      <w:outlineLvl w:val="0"/>
    </w:pPr>
    <w:rPr>
      <w:rFonts w:ascii="黑体" w:hAnsi="黑体" w:eastAsia="黑体" w:cs="黑体"/>
      <w:szCs w:val="28"/>
    </w:rPr>
  </w:style>
  <w:style w:type="paragraph" w:styleId="4">
    <w:name w:val="heading 2"/>
    <w:basedOn w:val="1"/>
    <w:next w:val="1"/>
    <w:link w:val="142"/>
    <w:unhideWhenUsed/>
    <w:qFormat/>
    <w:uiPriority w:val="9"/>
    <w:pPr>
      <w:keepNext/>
      <w:keepLines/>
      <w:outlineLvl w:val="1"/>
    </w:pPr>
    <w:rPr>
      <w:rFonts w:ascii="楷体" w:hAnsi="楷体" w:eastAsia="楷体" w:cs="楷体"/>
      <w:szCs w:val="26"/>
    </w:rPr>
  </w:style>
  <w:style w:type="paragraph" w:styleId="5">
    <w:name w:val="heading 3"/>
    <w:basedOn w:val="1"/>
    <w:next w:val="1"/>
    <w:link w:val="143"/>
    <w:unhideWhenUsed/>
    <w:qFormat/>
    <w:uiPriority w:val="9"/>
    <w:pPr>
      <w:keepNext/>
      <w:keepLines/>
      <w:outlineLvl w:val="2"/>
    </w:pPr>
  </w:style>
  <w:style w:type="paragraph" w:styleId="6">
    <w:name w:val="heading 4"/>
    <w:basedOn w:val="1"/>
    <w:next w:val="1"/>
    <w:link w:val="153"/>
    <w:semiHidden/>
    <w:unhideWhenUsed/>
    <w:qFormat/>
    <w:uiPriority w:val="9"/>
    <w:pPr>
      <w:keepNext/>
      <w:keepLines/>
      <w:outlineLvl w:val="3"/>
    </w:pPr>
    <w:rPr>
      <w:iCs/>
    </w:rPr>
  </w:style>
  <w:style w:type="paragraph" w:styleId="7">
    <w:name w:val="heading 5"/>
    <w:basedOn w:val="1"/>
    <w:next w:val="1"/>
    <w:link w:val="154"/>
    <w:semiHidden/>
    <w:unhideWhenUsed/>
    <w:qFormat/>
    <w:uiPriority w:val="9"/>
    <w:pPr>
      <w:keepNext/>
      <w:keepLines/>
      <w:outlineLvl w:val="4"/>
    </w:pPr>
  </w:style>
  <w:style w:type="paragraph" w:styleId="8">
    <w:name w:val="heading 6"/>
    <w:basedOn w:val="1"/>
    <w:next w:val="1"/>
    <w:link w:val="155"/>
    <w:semiHidden/>
    <w:unhideWhenUsed/>
    <w:qFormat/>
    <w:uiPriority w:val="9"/>
    <w:pPr>
      <w:keepNext/>
      <w:keepLines/>
      <w:outlineLvl w:val="5"/>
    </w:pPr>
    <w:rPr>
      <w:iCs/>
    </w:rPr>
  </w:style>
  <w:style w:type="paragraph" w:styleId="9">
    <w:name w:val="heading 7"/>
    <w:basedOn w:val="1"/>
    <w:next w:val="1"/>
    <w:link w:val="156"/>
    <w:semiHidden/>
    <w:unhideWhenUsed/>
    <w:qFormat/>
    <w:uiPriority w:val="9"/>
    <w:pPr>
      <w:keepNext/>
      <w:keepLines/>
      <w:outlineLvl w:val="6"/>
    </w:pPr>
    <w:rPr>
      <w:iCs/>
    </w:rPr>
  </w:style>
  <w:style w:type="paragraph" w:styleId="10">
    <w:name w:val="heading 8"/>
    <w:basedOn w:val="1"/>
    <w:next w:val="1"/>
    <w:link w:val="157"/>
    <w:semiHidden/>
    <w:unhideWhenUsed/>
    <w:qFormat/>
    <w:uiPriority w:val="9"/>
    <w:pPr>
      <w:keepNext/>
      <w:keepLines/>
      <w:outlineLvl w:val="7"/>
    </w:pPr>
    <w:rPr>
      <w:szCs w:val="20"/>
    </w:rPr>
  </w:style>
  <w:style w:type="paragraph" w:styleId="11">
    <w:name w:val="heading 9"/>
    <w:basedOn w:val="1"/>
    <w:next w:val="1"/>
    <w:link w:val="158"/>
    <w:semiHidden/>
    <w:unhideWhenUsed/>
    <w:qFormat/>
    <w:uiPriority w:val="9"/>
    <w:pPr>
      <w:keepNext/>
      <w:keepLines/>
      <w:outlineLvl w:val="8"/>
    </w:pPr>
    <w:rPr>
      <w:iCs/>
      <w:szCs w:val="20"/>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0" w:line="590" w:lineRule="exact"/>
    </w:pPr>
    <w:rPr>
      <w:rFonts w:ascii="仿宋" w:hAnsi="仿宋" w:eastAsia="仿宋" w:cs="仿宋"/>
      <w:color w:val="000000"/>
      <w:sz w:val="32"/>
      <w:lang w:val="en-US" w:eastAsia="en-US" w:bidi="ar-SA"/>
    </w:rPr>
  </w:style>
  <w:style w:type="paragraph" w:styleId="12">
    <w:name w:val="List 3"/>
    <w:basedOn w:val="1"/>
    <w:unhideWhenUsed/>
    <w:qFormat/>
    <w:uiPriority w:val="99"/>
    <w:pPr>
      <w:ind w:left="1080"/>
      <w:contextualSpacing/>
    </w:pPr>
  </w:style>
  <w:style w:type="paragraph" w:styleId="13">
    <w:name w:val="List Number 2"/>
    <w:basedOn w:val="1"/>
    <w:unhideWhenUsed/>
    <w:qFormat/>
    <w:uiPriority w:val="99"/>
    <w:pPr>
      <w:numPr>
        <w:ilvl w:val="0"/>
        <w:numId w:val="1"/>
      </w:numPr>
      <w:ind w:firstLine="0"/>
      <w:contextualSpacing/>
    </w:pPr>
  </w:style>
  <w:style w:type="paragraph" w:styleId="14">
    <w:name w:val="List Number"/>
    <w:basedOn w:val="1"/>
    <w:unhideWhenUsed/>
    <w:qFormat/>
    <w:uiPriority w:val="99"/>
    <w:pPr>
      <w:numPr>
        <w:ilvl w:val="0"/>
        <w:numId w:val="2"/>
      </w:numPr>
      <w:ind w:firstLine="0"/>
      <w:contextualSpacing/>
    </w:pPr>
  </w:style>
  <w:style w:type="paragraph" w:styleId="15">
    <w:name w:val="caption"/>
    <w:basedOn w:val="1"/>
    <w:next w:val="1"/>
    <w:semiHidden/>
    <w:unhideWhenUsed/>
    <w:qFormat/>
    <w:uiPriority w:val="35"/>
    <w:rPr>
      <w:szCs w:val="18"/>
    </w:rPr>
  </w:style>
  <w:style w:type="paragraph" w:styleId="16">
    <w:name w:val="List Bullet"/>
    <w:basedOn w:val="1"/>
    <w:unhideWhenUsed/>
    <w:qFormat/>
    <w:uiPriority w:val="99"/>
    <w:pPr>
      <w:numPr>
        <w:ilvl w:val="0"/>
        <w:numId w:val="3"/>
      </w:numPr>
      <w:ind w:firstLine="0"/>
      <w:contextualSpacing/>
    </w:pPr>
  </w:style>
  <w:style w:type="paragraph" w:styleId="17">
    <w:name w:val="Body Text 3"/>
    <w:basedOn w:val="1"/>
    <w:link w:val="149"/>
    <w:unhideWhenUsed/>
    <w:qFormat/>
    <w:uiPriority w:val="99"/>
    <w:rPr>
      <w:szCs w:val="16"/>
    </w:rPr>
  </w:style>
  <w:style w:type="paragraph" w:styleId="18">
    <w:name w:val="List Bullet 3"/>
    <w:basedOn w:val="1"/>
    <w:unhideWhenUsed/>
    <w:qFormat/>
    <w:uiPriority w:val="99"/>
    <w:pPr>
      <w:numPr>
        <w:ilvl w:val="0"/>
        <w:numId w:val="4"/>
      </w:numPr>
      <w:ind w:firstLine="0"/>
      <w:contextualSpacing/>
    </w:pPr>
  </w:style>
  <w:style w:type="paragraph" w:styleId="19">
    <w:name w:val="Body Text"/>
    <w:basedOn w:val="1"/>
    <w:link w:val="147"/>
    <w:unhideWhenUsed/>
    <w:qFormat/>
    <w:uiPriority w:val="99"/>
  </w:style>
  <w:style w:type="paragraph" w:styleId="20">
    <w:name w:val="List Number 3"/>
    <w:basedOn w:val="1"/>
    <w:unhideWhenUsed/>
    <w:qFormat/>
    <w:uiPriority w:val="99"/>
    <w:pPr>
      <w:numPr>
        <w:ilvl w:val="0"/>
        <w:numId w:val="5"/>
      </w:numPr>
      <w:ind w:firstLine="0"/>
      <w:contextualSpacing/>
    </w:pPr>
  </w:style>
  <w:style w:type="paragraph" w:styleId="21">
    <w:name w:val="List 2"/>
    <w:basedOn w:val="1"/>
    <w:unhideWhenUsed/>
    <w:qFormat/>
    <w:uiPriority w:val="99"/>
    <w:pPr>
      <w:ind w:left="72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ind w:firstLine="0"/>
      <w:contextualSpacing/>
    </w:pPr>
  </w:style>
  <w:style w:type="paragraph" w:styleId="24">
    <w:name w:val="footer"/>
    <w:basedOn w:val="1"/>
    <w:link w:val="139"/>
    <w:unhideWhenUsed/>
    <w:qFormat/>
    <w:uiPriority w:val="99"/>
    <w:pPr>
      <w:tabs>
        <w:tab w:val="center" w:pos="4680"/>
        <w:tab w:val="right" w:pos="9360"/>
      </w:tabs>
    </w:pPr>
    <w:rPr>
      <w:sz w:val="24"/>
    </w:rPr>
  </w:style>
  <w:style w:type="paragraph" w:styleId="25">
    <w:name w:val="header"/>
    <w:basedOn w:val="1"/>
    <w:link w:val="138"/>
    <w:unhideWhenUsed/>
    <w:qFormat/>
    <w:uiPriority w:val="99"/>
    <w:pPr>
      <w:tabs>
        <w:tab w:val="center" w:pos="4680"/>
        <w:tab w:val="right" w:pos="9360"/>
      </w:tabs>
    </w:pPr>
  </w:style>
  <w:style w:type="paragraph" w:styleId="26">
    <w:name w:val="toc 1"/>
    <w:basedOn w:val="1"/>
    <w:next w:val="1"/>
    <w:unhideWhenUsed/>
    <w:qFormat/>
    <w:uiPriority w:val="39"/>
  </w:style>
  <w:style w:type="paragraph" w:styleId="27">
    <w:name w:val="Subtitle"/>
    <w:basedOn w:val="1"/>
    <w:next w:val="1"/>
    <w:link w:val="145"/>
    <w:qFormat/>
    <w:uiPriority w:val="11"/>
    <w:pPr>
      <w:keepNext/>
    </w:pPr>
    <w:rPr>
      <w:iCs/>
      <w:spacing w:val="15"/>
      <w:szCs w:val="24"/>
    </w:rPr>
  </w:style>
  <w:style w:type="paragraph" w:styleId="28">
    <w:name w:val="List"/>
    <w:basedOn w:val="1"/>
    <w:unhideWhenUsed/>
    <w:qFormat/>
    <w:uiPriority w:val="99"/>
    <w:pPr>
      <w:ind w:left="360"/>
      <w:contextualSpacing/>
    </w:pPr>
  </w:style>
  <w:style w:type="paragraph" w:styleId="29">
    <w:name w:val="toc 2"/>
    <w:basedOn w:val="1"/>
    <w:next w:val="1"/>
    <w:unhideWhenUsed/>
    <w:qFormat/>
    <w:uiPriority w:val="39"/>
    <w:pPr>
      <w:ind w:left="420" w:leftChars="200"/>
    </w:pPr>
  </w:style>
  <w:style w:type="paragraph" w:styleId="30">
    <w:name w:val="Body Text 2"/>
    <w:basedOn w:val="1"/>
    <w:link w:val="148"/>
    <w:unhideWhenUsed/>
    <w:qFormat/>
    <w:uiPriority w:val="99"/>
  </w:style>
  <w:style w:type="paragraph" w:styleId="31">
    <w:name w:val="List Continue 2"/>
    <w:basedOn w:val="1"/>
    <w:unhideWhenUsed/>
    <w:qFormat/>
    <w:uiPriority w:val="99"/>
    <w:pPr>
      <w:ind w:left="720"/>
      <w:contextualSpacing/>
    </w:pPr>
  </w:style>
  <w:style w:type="paragraph" w:styleId="32">
    <w:name w:val="List Continue 3"/>
    <w:basedOn w:val="1"/>
    <w:unhideWhenUsed/>
    <w:qFormat/>
    <w:uiPriority w:val="99"/>
    <w:pPr>
      <w:ind w:left="1080"/>
      <w:contextualSpacing/>
    </w:pPr>
  </w:style>
  <w:style w:type="paragraph" w:styleId="33">
    <w:name w:val="Title"/>
    <w:basedOn w:val="1"/>
    <w:next w:val="1"/>
    <w:link w:val="144"/>
    <w:qFormat/>
    <w:uiPriority w:val="10"/>
    <w:pPr>
      <w:keepNext/>
      <w:contextualSpacing/>
    </w:pPr>
    <w:rPr>
      <w:rFonts w:ascii="宋体" w:hAnsi="宋体" w:eastAsia="宋体" w:cs="宋体"/>
      <w:spacing w:val="5"/>
      <w:kern w:val="28"/>
      <w:sz w:val="44"/>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pPr>
      <w:spacing w:after="0" w:line="240" w:lineRule="auto"/>
    </w:pPr>
    <w:rPr>
      <w:color w:val="000000"/>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000000"/>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000000"/>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000000"/>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000000"/>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000000"/>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000000"/>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000000"/>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000000"/>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000000"/>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000000"/>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000000"/>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000000"/>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000000"/>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000000"/>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000000"/>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000000"/>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000000"/>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000000"/>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000000"/>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000000" w:themeFill="text1" w:themeFillShade="99"/>
      </w:tcPr>
    </w:tblStylePr>
    <w:tblStylePr w:type="firstCol">
      <w:rPr>
        <w:color w:val="000000"/>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14">
    <w:name w:val="Colorful Shading Accent 1"/>
    <w:basedOn w:val="34"/>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B4D74" w:themeFill="accent1" w:themeFillShade="99"/>
      </w:tcPr>
    </w:tblStylePr>
    <w:tblStylePr w:type="firstCol">
      <w:rPr>
        <w:color w:val="000000"/>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000000"/>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115">
    <w:name w:val="Colorful Shading Accent 2"/>
    <w:basedOn w:val="34"/>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772C2A" w:themeFill="accent2" w:themeFillShade="99"/>
      </w:tcPr>
    </w:tblStylePr>
    <w:tblStylePr w:type="firstCol">
      <w:rPr>
        <w:color w:val="000000"/>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16">
    <w:name w:val="Colorful Shading Accent 3"/>
    <w:basedOn w:val="34"/>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5E7530" w:themeFill="accent3" w:themeFillShade="99"/>
      </w:tcPr>
    </w:tblStylePr>
    <w:tblStylePr w:type="firstCol">
      <w:rPr>
        <w:color w:val="000000"/>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4C3A62" w:themeFill="accent4" w:themeFillShade="99"/>
      </w:tcPr>
    </w:tblStylePr>
    <w:tblStylePr w:type="firstCol">
      <w:rPr>
        <w:color w:val="000000"/>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000000"/>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118">
    <w:name w:val="Colorful Shading Accent 5"/>
    <w:basedOn w:val="34"/>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76A7C" w:themeFill="accent5" w:themeFillShade="99"/>
      </w:tcPr>
    </w:tblStylePr>
    <w:tblStylePr w:type="firstCol">
      <w:rPr>
        <w:color w:val="000000"/>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19">
    <w:name w:val="Colorful Shading Accent 6"/>
    <w:basedOn w:val="34"/>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B65607" w:themeFill="accent6" w:themeFillShade="99"/>
      </w:tcPr>
    </w:tblStylePr>
    <w:tblStylePr w:type="firstCol">
      <w:rPr>
        <w:color w:val="000000"/>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000000"/>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120">
    <w:name w:val="Colorful List"/>
    <w:basedOn w:val="34"/>
    <w:qFormat/>
    <w:uiPriority w:val="72"/>
    <w:pPr>
      <w:spacing w:after="0" w:line="240" w:lineRule="auto"/>
    </w:pPr>
    <w:rPr>
      <w:color w:val="000000"/>
    </w:rPr>
    <w:tblPr>
      <w:tblStyleRowBandSize w:val="1"/>
      <w:tblStyleColBandSize w:val="1"/>
    </w:tblPr>
    <w:tcPr>
      <w:shd w:val="clear" w:color="auto" w:fill="E5E5E5" w:themeFill="tex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color="FFFFFF" w:themeColor="background1" w:sz="12" w:space="0"/>
        </w:tcBorders>
        <w:shd w:val="clear" w:color="auto" w:fill="664E82" w:themeFill="accent4"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rPr>
    <w:tblPr>
      <w:tblStyleRowBandSize w:val="1"/>
      <w:tblStyleColBandSize w:val="1"/>
    </w:tblPr>
    <w:tcPr>
      <w:shd w:val="clear" w:color="auto" w:fill="F2EFF5" w:themeFill="accent4" w:themeFillTint="19"/>
    </w:tcPr>
    <w:tblStylePr w:type="firstRow">
      <w:rPr>
        <w:b/>
        <w:bCs/>
        <w:color w:val="000000"/>
      </w:rPr>
      <w:tblPr/>
      <w:tcPr>
        <w:tcBorders>
          <w:bottom w:val="single" w:color="FFFFFF" w:themeColor="background1" w:sz="12" w:space="0"/>
        </w:tcBorders>
        <w:shd w:val="clear" w:color="auto" w:fill="7E9C40" w:themeFill="accent3"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color="FFFFFF" w:themeColor="background1" w:sz="12" w:space="0"/>
        </w:tcBorders>
        <w:shd w:val="clear" w:color="auto" w:fill="F3730A" w:themeFill="accent6"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color="FFFFFF" w:themeColor="background1" w:sz="12" w:space="0"/>
        </w:tcBorders>
        <w:shd w:val="clear" w:color="auto" w:fill="348DA5" w:themeFill="accent5"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6091" w:themeFill="accent1" w:themeFillShade="BF"/>
      </w:tcPr>
    </w:tblStylePr>
    <w:tblStylePr w:type="lastCol">
      <w:rPr>
        <w:color w:val="000000"/>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734" w:themeFill="accent2" w:themeFillShade="BF"/>
      </w:tcPr>
    </w:tblStylePr>
    <w:tblStylePr w:type="lastCol">
      <w:rPr>
        <w:color w:val="000000"/>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9" w:themeFill="accent6" w:themeFillShade="BF"/>
      </w:tcPr>
    </w:tblStylePr>
    <w:tblStylePr w:type="lastCol">
      <w:rPr>
        <w:color w:val="000000"/>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rFonts w:ascii="仿宋" w:hAnsi="仿宋" w:eastAsia="仿宋" w:cs="仿宋"/>
      <w:color w:val="000000"/>
      <w:sz w:val="32"/>
    </w:rPr>
  </w:style>
  <w:style w:type="character" w:styleId="136">
    <w:name w:val="Emphasis"/>
    <w:basedOn w:val="134"/>
    <w:qFormat/>
    <w:uiPriority w:val="20"/>
    <w:rPr>
      <w:rFonts w:ascii="仿宋" w:hAnsi="仿宋" w:eastAsia="仿宋" w:cs="仿宋"/>
      <w:iCs/>
      <w:color w:val="000000"/>
      <w:sz w:val="32"/>
    </w:rPr>
  </w:style>
  <w:style w:type="character" w:styleId="137">
    <w:name w:val="Hyperlink"/>
    <w:basedOn w:val="134"/>
    <w:unhideWhenUsed/>
    <w:qFormat/>
    <w:uiPriority w:val="99"/>
    <w:rPr>
      <w:rFonts w:ascii="仿宋" w:hAnsi="仿宋" w:eastAsia="仿宋" w:cs="仿宋"/>
      <w:color w:val="000000"/>
      <w:sz w:val="32"/>
      <w:u w:val="single"/>
    </w:rPr>
  </w:style>
  <w:style w:type="character" w:customStyle="1" w:styleId="138">
    <w:name w:val="页眉 字符"/>
    <w:basedOn w:val="134"/>
    <w:link w:val="25"/>
    <w:qFormat/>
    <w:uiPriority w:val="99"/>
    <w:rPr>
      <w:rFonts w:ascii="仿宋" w:hAnsi="仿宋" w:eastAsia="仿宋" w:cs="仿宋"/>
      <w:color w:val="000000"/>
      <w:sz w:val="32"/>
    </w:rPr>
  </w:style>
  <w:style w:type="character" w:customStyle="1" w:styleId="139">
    <w:name w:val="页脚 字符"/>
    <w:basedOn w:val="134"/>
    <w:link w:val="24"/>
    <w:qFormat/>
    <w:uiPriority w:val="99"/>
    <w:rPr>
      <w:rFonts w:ascii="仿宋" w:hAnsi="仿宋" w:eastAsia="仿宋" w:cs="仿宋"/>
      <w:color w:val="000000"/>
      <w:sz w:val="32"/>
    </w:rPr>
  </w:style>
  <w:style w:type="paragraph" w:styleId="140">
    <w:name w:val="No Spacing"/>
    <w:qFormat/>
    <w:uiPriority w:val="1"/>
    <w:pPr>
      <w:spacing w:after="0" w:line="590" w:lineRule="exact"/>
    </w:pPr>
    <w:rPr>
      <w:rFonts w:ascii="仿宋" w:hAnsi="仿宋" w:eastAsia="仿宋" w:cs="仿宋"/>
      <w:color w:val="000000"/>
      <w:sz w:val="32"/>
      <w:szCs w:val="22"/>
      <w:lang w:val="en-US" w:eastAsia="en-US" w:bidi="ar-SA"/>
    </w:rPr>
  </w:style>
  <w:style w:type="character" w:customStyle="1" w:styleId="141">
    <w:name w:val="标题 1 字符"/>
    <w:basedOn w:val="134"/>
    <w:link w:val="3"/>
    <w:qFormat/>
    <w:uiPriority w:val="9"/>
    <w:rPr>
      <w:rFonts w:ascii="仿宋" w:hAnsi="仿宋" w:eastAsia="仿宋" w:cs="仿宋"/>
      <w:color w:val="000000"/>
      <w:sz w:val="32"/>
      <w:szCs w:val="28"/>
    </w:rPr>
  </w:style>
  <w:style w:type="character" w:customStyle="1" w:styleId="142">
    <w:name w:val="标题 2 字符"/>
    <w:basedOn w:val="134"/>
    <w:link w:val="4"/>
    <w:qFormat/>
    <w:uiPriority w:val="9"/>
    <w:rPr>
      <w:rFonts w:ascii="仿宋" w:hAnsi="仿宋" w:eastAsia="仿宋" w:cs="仿宋"/>
      <w:color w:val="000000"/>
      <w:sz w:val="32"/>
      <w:szCs w:val="26"/>
    </w:rPr>
  </w:style>
  <w:style w:type="character" w:customStyle="1" w:styleId="143">
    <w:name w:val="标题 3 字符"/>
    <w:basedOn w:val="134"/>
    <w:link w:val="5"/>
    <w:qFormat/>
    <w:uiPriority w:val="9"/>
    <w:rPr>
      <w:rFonts w:ascii="仿宋" w:hAnsi="仿宋" w:eastAsia="仿宋" w:cs="仿宋"/>
      <w:color w:val="000000"/>
      <w:sz w:val="32"/>
    </w:rPr>
  </w:style>
  <w:style w:type="character" w:customStyle="1" w:styleId="144">
    <w:name w:val="标题 字符"/>
    <w:basedOn w:val="134"/>
    <w:link w:val="33"/>
    <w:qFormat/>
    <w:uiPriority w:val="10"/>
    <w:rPr>
      <w:rFonts w:ascii="仿宋" w:hAnsi="仿宋" w:eastAsia="仿宋" w:cs="仿宋"/>
      <w:color w:val="000000"/>
      <w:spacing w:val="5"/>
      <w:kern w:val="28"/>
      <w:sz w:val="32"/>
      <w:szCs w:val="52"/>
    </w:rPr>
  </w:style>
  <w:style w:type="character" w:customStyle="1" w:styleId="145">
    <w:name w:val="副标题 字符"/>
    <w:basedOn w:val="134"/>
    <w:link w:val="27"/>
    <w:qFormat/>
    <w:uiPriority w:val="11"/>
    <w:rPr>
      <w:rFonts w:ascii="仿宋" w:hAnsi="仿宋" w:eastAsia="仿宋" w:cs="仿宋"/>
      <w:iCs/>
      <w:color w:val="000000"/>
      <w:spacing w:val="15"/>
      <w:sz w:val="32"/>
      <w:szCs w:val="24"/>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rPr>
      <w:rFonts w:ascii="仿宋" w:hAnsi="仿宋" w:eastAsia="仿宋" w:cs="仿宋"/>
      <w:color w:val="000000"/>
      <w:sz w:val="32"/>
    </w:rPr>
  </w:style>
  <w:style w:type="character" w:customStyle="1" w:styleId="148">
    <w:name w:val="正文文本 2 字符"/>
    <w:basedOn w:val="134"/>
    <w:link w:val="30"/>
    <w:qFormat/>
    <w:uiPriority w:val="99"/>
    <w:rPr>
      <w:rFonts w:ascii="仿宋" w:hAnsi="仿宋" w:eastAsia="仿宋" w:cs="仿宋"/>
      <w:color w:val="000000"/>
      <w:sz w:val="32"/>
    </w:rPr>
  </w:style>
  <w:style w:type="character" w:customStyle="1" w:styleId="149">
    <w:name w:val="正文文本 3 字符"/>
    <w:basedOn w:val="134"/>
    <w:link w:val="17"/>
    <w:qFormat/>
    <w:uiPriority w:val="99"/>
    <w:rPr>
      <w:rFonts w:ascii="仿宋" w:hAnsi="仿宋" w:eastAsia="仿宋" w:cs="仿宋"/>
      <w:color w:val="000000"/>
      <w:sz w:val="32"/>
      <w:szCs w:val="16"/>
    </w:rPr>
  </w:style>
  <w:style w:type="character" w:customStyle="1" w:styleId="150">
    <w:name w:val="宏文本 字符"/>
    <w:basedOn w:val="134"/>
    <w:link w:val="2"/>
    <w:qFormat/>
    <w:uiPriority w:val="99"/>
    <w:rPr>
      <w:rFonts w:ascii="仿宋" w:hAnsi="仿宋" w:eastAsia="仿宋" w:cs="仿宋"/>
      <w:color w:val="000000"/>
      <w:sz w:val="32"/>
      <w:szCs w:val="20"/>
    </w:rPr>
  </w:style>
  <w:style w:type="paragraph" w:styleId="151">
    <w:name w:val="Quote"/>
    <w:basedOn w:val="1"/>
    <w:next w:val="1"/>
    <w:link w:val="152"/>
    <w:qFormat/>
    <w:uiPriority w:val="29"/>
    <w:rPr>
      <w:iCs/>
    </w:rPr>
  </w:style>
  <w:style w:type="character" w:customStyle="1" w:styleId="152">
    <w:name w:val="引用 字符"/>
    <w:basedOn w:val="134"/>
    <w:link w:val="151"/>
    <w:qFormat/>
    <w:uiPriority w:val="29"/>
    <w:rPr>
      <w:rFonts w:ascii="仿宋" w:hAnsi="仿宋" w:eastAsia="仿宋" w:cs="仿宋"/>
      <w:iCs/>
      <w:color w:val="000000"/>
      <w:sz w:val="32"/>
    </w:rPr>
  </w:style>
  <w:style w:type="character" w:customStyle="1" w:styleId="153">
    <w:name w:val="标题 4 字符"/>
    <w:basedOn w:val="134"/>
    <w:link w:val="6"/>
    <w:semiHidden/>
    <w:qFormat/>
    <w:uiPriority w:val="9"/>
    <w:rPr>
      <w:rFonts w:ascii="仿宋" w:hAnsi="仿宋" w:eastAsia="仿宋" w:cs="仿宋"/>
      <w:iCs/>
      <w:color w:val="000000"/>
      <w:sz w:val="32"/>
    </w:rPr>
  </w:style>
  <w:style w:type="character" w:customStyle="1" w:styleId="154">
    <w:name w:val="标题 5 字符"/>
    <w:basedOn w:val="134"/>
    <w:link w:val="7"/>
    <w:semiHidden/>
    <w:qFormat/>
    <w:uiPriority w:val="9"/>
    <w:rPr>
      <w:rFonts w:ascii="仿宋" w:hAnsi="仿宋" w:eastAsia="仿宋" w:cs="仿宋"/>
      <w:color w:val="000000"/>
      <w:sz w:val="32"/>
    </w:rPr>
  </w:style>
  <w:style w:type="character" w:customStyle="1" w:styleId="155">
    <w:name w:val="标题 6 字符"/>
    <w:basedOn w:val="134"/>
    <w:link w:val="8"/>
    <w:semiHidden/>
    <w:qFormat/>
    <w:uiPriority w:val="9"/>
    <w:rPr>
      <w:rFonts w:ascii="仿宋" w:hAnsi="仿宋" w:eastAsia="仿宋" w:cs="仿宋"/>
      <w:iCs/>
      <w:color w:val="000000"/>
      <w:sz w:val="32"/>
    </w:rPr>
  </w:style>
  <w:style w:type="character" w:customStyle="1" w:styleId="156">
    <w:name w:val="标题 7 字符"/>
    <w:basedOn w:val="134"/>
    <w:link w:val="9"/>
    <w:semiHidden/>
    <w:qFormat/>
    <w:uiPriority w:val="9"/>
    <w:rPr>
      <w:rFonts w:ascii="仿宋" w:hAnsi="仿宋" w:eastAsia="仿宋" w:cs="仿宋"/>
      <w:iCs/>
      <w:color w:val="000000"/>
      <w:sz w:val="32"/>
    </w:rPr>
  </w:style>
  <w:style w:type="character" w:customStyle="1" w:styleId="157">
    <w:name w:val="标题 8 字符"/>
    <w:basedOn w:val="134"/>
    <w:link w:val="10"/>
    <w:semiHidden/>
    <w:qFormat/>
    <w:uiPriority w:val="9"/>
    <w:rPr>
      <w:rFonts w:ascii="仿宋" w:hAnsi="仿宋" w:eastAsia="仿宋" w:cs="仿宋"/>
      <w:color w:val="000000"/>
      <w:sz w:val="32"/>
      <w:szCs w:val="20"/>
    </w:rPr>
  </w:style>
  <w:style w:type="character" w:customStyle="1" w:styleId="158">
    <w:name w:val="标题 9 字符"/>
    <w:basedOn w:val="134"/>
    <w:link w:val="11"/>
    <w:semiHidden/>
    <w:qFormat/>
    <w:uiPriority w:val="9"/>
    <w:rPr>
      <w:rFonts w:ascii="仿宋" w:hAnsi="仿宋" w:eastAsia="仿宋" w:cs="仿宋"/>
      <w:iCs/>
      <w:color w:val="000000"/>
      <w:sz w:val="32"/>
      <w:szCs w:val="20"/>
    </w:rPr>
  </w:style>
  <w:style w:type="paragraph" w:styleId="159">
    <w:name w:val="Intense Quote"/>
    <w:basedOn w:val="1"/>
    <w:next w:val="1"/>
    <w:link w:val="160"/>
    <w:qFormat/>
    <w:uiPriority w:val="30"/>
    <w:pPr>
      <w:pBdr>
        <w:bottom w:val="single" w:color="4F81BD" w:themeColor="accent1" w:sz="4" w:space="4"/>
      </w:pBdr>
      <w:ind w:left="936" w:right="936"/>
    </w:pPr>
    <w:rPr>
      <w:iCs/>
    </w:rPr>
  </w:style>
  <w:style w:type="character" w:customStyle="1" w:styleId="160">
    <w:name w:val="明显引用 字符"/>
    <w:basedOn w:val="134"/>
    <w:link w:val="159"/>
    <w:qFormat/>
    <w:uiPriority w:val="30"/>
    <w:rPr>
      <w:rFonts w:ascii="仿宋" w:hAnsi="仿宋" w:eastAsia="仿宋" w:cs="仿宋"/>
      <w:iCs/>
      <w:color w:val="000000"/>
      <w:sz w:val="32"/>
    </w:rPr>
  </w:style>
  <w:style w:type="character" w:customStyle="1" w:styleId="161">
    <w:name w:val="不明显强调1"/>
    <w:basedOn w:val="134"/>
    <w:qFormat/>
    <w:uiPriority w:val="19"/>
    <w:rPr>
      <w:rFonts w:ascii="仿宋" w:hAnsi="仿宋" w:eastAsia="仿宋" w:cs="仿宋"/>
      <w:iCs/>
      <w:color w:val="000000"/>
      <w:sz w:val="32"/>
    </w:rPr>
  </w:style>
  <w:style w:type="character" w:customStyle="1" w:styleId="162">
    <w:name w:val="明显强调1"/>
    <w:basedOn w:val="134"/>
    <w:qFormat/>
    <w:uiPriority w:val="21"/>
    <w:rPr>
      <w:rFonts w:ascii="仿宋" w:hAnsi="仿宋" w:eastAsia="仿宋" w:cs="仿宋"/>
      <w:iCs/>
      <w:color w:val="000000"/>
      <w:sz w:val="32"/>
    </w:rPr>
  </w:style>
  <w:style w:type="character" w:customStyle="1" w:styleId="163">
    <w:name w:val="不明显参考1"/>
    <w:basedOn w:val="134"/>
    <w:qFormat/>
    <w:uiPriority w:val="31"/>
    <w:rPr>
      <w:rFonts w:ascii="仿宋" w:hAnsi="仿宋" w:eastAsia="仿宋" w:cs="仿宋"/>
      <w:smallCaps/>
      <w:color w:val="000000"/>
      <w:sz w:val="32"/>
      <w:u w:val="single"/>
    </w:rPr>
  </w:style>
  <w:style w:type="character" w:customStyle="1" w:styleId="164">
    <w:name w:val="明显参考1"/>
    <w:basedOn w:val="134"/>
    <w:qFormat/>
    <w:uiPriority w:val="32"/>
    <w:rPr>
      <w:rFonts w:ascii="仿宋" w:hAnsi="仿宋" w:eastAsia="仿宋" w:cs="仿宋"/>
      <w:smallCaps/>
      <w:color w:val="000000"/>
      <w:spacing w:val="5"/>
      <w:sz w:val="32"/>
      <w:u w:val="single"/>
    </w:rPr>
  </w:style>
  <w:style w:type="character" w:customStyle="1" w:styleId="165">
    <w:name w:val="书籍标题1"/>
    <w:basedOn w:val="134"/>
    <w:qFormat/>
    <w:uiPriority w:val="33"/>
    <w:rPr>
      <w:rFonts w:ascii="仿宋" w:hAnsi="仿宋" w:eastAsia="仿宋" w:cs="仿宋"/>
      <w:smallCaps/>
      <w:color w:val="000000"/>
      <w:spacing w:val="5"/>
      <w:sz w:val="32"/>
    </w:rPr>
  </w:style>
  <w:style w:type="paragraph" w:customStyle="1" w:styleId="166">
    <w:name w:val="TOC 标题1"/>
    <w:basedOn w:val="1"/>
    <w:next w:val="1"/>
    <w:semiHidden/>
    <w:unhideWhenUsed/>
    <w:qFormat/>
    <w:uiPriority w:val="39"/>
    <w:pPr>
      <w:keepNext/>
    </w:pPr>
  </w:style>
  <w:style w:type="paragraph" w:customStyle="1" w:styleId="167">
    <w:name w:val="TOC 11"/>
    <w:basedOn w:val="1"/>
    <w:qFormat/>
    <w:uiPriority w:val="0"/>
  </w:style>
  <w:style w:type="paragraph" w:customStyle="1" w:styleId="168">
    <w:name w:val="Front Matter"/>
    <w:basedOn w:val="1"/>
    <w:qFormat/>
    <w:uiPriority w:val="0"/>
  </w:style>
  <w:style w:type="paragraph" w:customStyle="1" w:styleId="169">
    <w:name w:val="Reference URL"/>
    <w:basedOn w:val="1"/>
    <w:qFormat/>
    <w:uiPriority w:val="0"/>
  </w:style>
  <w:style w:type="paragraph" w:customStyle="1" w:styleId="170">
    <w:name w:val="Table Text"/>
    <w:basedOn w:val="1"/>
    <w:qFormat/>
    <w:uiPriority w:val="0"/>
  </w:style>
  <w:style w:type="character" w:customStyle="1" w:styleId="171">
    <w:name w:val="超链接1"/>
    <w:qFormat/>
    <w:uiPriority w:val="0"/>
    <w:rPr>
      <w:rFonts w:ascii="仿宋" w:hAnsi="仿宋" w:eastAsia="仿宋" w:cs="仿宋"/>
      <w:color w:val="000000"/>
      <w:sz w:val="32"/>
      <w:u w:val="none"/>
    </w:rPr>
  </w:style>
  <w:style w:type="character" w:customStyle="1" w:styleId="172">
    <w:name w:val="访问过的超链接1"/>
    <w:qFormat/>
    <w:uiPriority w:val="0"/>
    <w:rPr>
      <w:rFonts w:ascii="仿宋" w:hAnsi="仿宋" w:eastAsia="仿宋" w:cs="仿宋"/>
      <w:color w:val="000000"/>
      <w:sz w:val="32"/>
      <w:u w:val="none"/>
    </w:rPr>
  </w:style>
  <w:style w:type="paragraph" w:customStyle="1" w:styleId="173">
    <w:name w:val="BodySmall"/>
    <w:qFormat/>
    <w:uiPriority w:val="0"/>
    <w:pPr>
      <w:spacing w:after="0" w:line="590" w:lineRule="exact"/>
    </w:pPr>
    <w:rPr>
      <w:rFonts w:ascii="仿宋" w:hAnsi="仿宋" w:eastAsia="仿宋" w:cs="仿宋"/>
      <w:color w:val="000000"/>
      <w:sz w:val="32"/>
      <w:szCs w:val="22"/>
      <w:lang w:val="en-US" w:eastAsia="en-US" w:bidi="ar-SA"/>
    </w:rPr>
  </w:style>
  <w:style w:type="paragraph" w:customStyle="1" w:styleId="174">
    <w:name w:val="TableText"/>
    <w:qFormat/>
    <w:uiPriority w:val="0"/>
    <w:pPr>
      <w:spacing w:after="0" w:line="590" w:lineRule="exact"/>
    </w:pPr>
    <w:rPr>
      <w:rFonts w:ascii="仿宋" w:hAnsi="仿宋" w:eastAsia="仿宋" w:cs="仿宋"/>
      <w:color w:val="000000"/>
      <w:sz w:val="32"/>
      <w:szCs w:val="22"/>
      <w:lang w:val="en-US" w:eastAsia="en-US" w:bidi="ar-SA"/>
    </w:rPr>
  </w:style>
  <w:style w:type="paragraph" w:customStyle="1" w:styleId="175">
    <w:name w:val="FigureCaption"/>
    <w:qFormat/>
    <w:uiPriority w:val="0"/>
    <w:pPr>
      <w:spacing w:after="0" w:line="590" w:lineRule="exact"/>
    </w:pPr>
    <w:rPr>
      <w:rFonts w:ascii="仿宋" w:hAnsi="仿宋" w:eastAsia="仿宋" w:cs="仿宋"/>
      <w:color w:val="000000"/>
      <w:sz w:val="32"/>
      <w:szCs w:val="22"/>
      <w:lang w:val="en-US" w:eastAsia="en-US" w:bidi="ar-SA"/>
    </w:rPr>
  </w:style>
  <w:style w:type="paragraph" w:customStyle="1" w:styleId="176">
    <w:name w:val="TOC 12"/>
    <w:qFormat/>
    <w:uiPriority w:val="0"/>
    <w:pPr>
      <w:spacing w:after="0" w:line="590" w:lineRule="exact"/>
    </w:pPr>
    <w:rPr>
      <w:rFonts w:ascii="仿宋" w:hAnsi="仿宋" w:eastAsia="仿宋" w:cs="仿宋"/>
      <w:color w:val="000000"/>
      <w:sz w:val="32"/>
      <w:szCs w:val="22"/>
      <w:lang w:val="en-US" w:eastAsia="en-US" w:bidi="ar-SA"/>
    </w:rPr>
  </w:style>
  <w:style w:type="paragraph" w:customStyle="1" w:styleId="177">
    <w:name w:val="TOC 21"/>
    <w:qFormat/>
    <w:uiPriority w:val="0"/>
    <w:pPr>
      <w:spacing w:after="0" w:line="590" w:lineRule="exact"/>
    </w:pPr>
    <w:rPr>
      <w:rFonts w:ascii="仿宋" w:hAnsi="仿宋" w:eastAsia="仿宋" w:cs="仿宋"/>
      <w:color w:val="000000"/>
      <w:sz w:val="32"/>
      <w:szCs w:val="22"/>
      <w:lang w:val="en-US" w:eastAsia="en-US" w:bidi="ar-SA"/>
    </w:rPr>
  </w:style>
  <w:style w:type="paragraph" w:customStyle="1" w:styleId="178">
    <w:name w:val="CoverSubtitle"/>
    <w:qFormat/>
    <w:uiPriority w:val="0"/>
    <w:pPr>
      <w:spacing w:after="0" w:line="590" w:lineRule="exact"/>
    </w:pPr>
    <w:rPr>
      <w:rFonts w:ascii="仿宋" w:hAnsi="仿宋" w:eastAsia="仿宋" w:cs="仿宋"/>
      <w:color w:val="000000"/>
      <w:sz w:val="32"/>
      <w:szCs w:val="22"/>
      <w:lang w:val="en-US" w:eastAsia="en-US" w:bidi="ar-SA"/>
    </w:rPr>
  </w:style>
  <w:style w:type="paragraph" w:customStyle="1" w:styleId="179">
    <w:name w:val="BlueFigure"/>
    <w:qFormat/>
    <w:uiPriority w:val="0"/>
    <w:pPr>
      <w:keepLines/>
      <w:spacing w:after="60" w:line="300" w:lineRule="exact"/>
    </w:pPr>
    <w:rPr>
      <w:rFonts w:ascii="微软雅黑" w:hAnsi="微软雅黑" w:eastAsia="微软雅黑" w:cs="微软雅黑"/>
      <w:color w:val="000000"/>
      <w:sz w:val="18"/>
      <w:szCs w:val="22"/>
      <w:lang w:val="en-US" w:eastAsia="en-US" w:bidi="ar-SA"/>
    </w:rPr>
  </w:style>
  <w:style w:type="paragraph" w:customStyle="1" w:styleId="180">
    <w:name w:val="BlueFigureNote"/>
    <w:qFormat/>
    <w:uiPriority w:val="0"/>
    <w:pPr>
      <w:keepLines/>
      <w:spacing w:after="60" w:line="300" w:lineRule="exact"/>
    </w:pPr>
    <w:rPr>
      <w:rFonts w:ascii="微软雅黑" w:hAnsi="微软雅黑" w:eastAsia="微软雅黑" w:cs="微软雅黑"/>
      <w:color w:val="000000"/>
      <w:sz w:val="18"/>
      <w:szCs w:val="22"/>
      <w:lang w:val="en-US" w:eastAsia="en-US" w:bidi="ar-SA"/>
    </w:rPr>
  </w:style>
  <w:style w:type="paragraph" w:customStyle="1" w:styleId="181">
    <w:name w:val="BlueTableCaption"/>
    <w:qFormat/>
    <w:uiPriority w:val="0"/>
    <w:pPr>
      <w:keepLines/>
      <w:spacing w:after="60" w:line="340" w:lineRule="exact"/>
    </w:pPr>
    <w:rPr>
      <w:rFonts w:ascii="微软雅黑" w:hAnsi="微软雅黑" w:eastAsia="微软雅黑" w:cs="微软雅黑"/>
      <w:color w:val="000000"/>
      <w:sz w:val="21"/>
      <w:szCs w:val="22"/>
      <w:lang w:val="en-US" w:eastAsia="en-US" w:bidi="ar-SA"/>
    </w:rPr>
  </w:style>
  <w:style w:type="paragraph" w:customStyle="1" w:styleId="182">
    <w:name w:val="BlueTable"/>
    <w:qFormat/>
    <w:uiPriority w:val="0"/>
    <w:pPr>
      <w:keepLines/>
      <w:spacing w:after="60" w:line="340" w:lineRule="exact"/>
    </w:pPr>
    <w:rPr>
      <w:rFonts w:ascii="微软雅黑" w:hAnsi="微软雅黑" w:eastAsia="微软雅黑" w:cs="微软雅黑"/>
      <w:color w:val="000000"/>
      <w:sz w:val="21"/>
      <w:szCs w:val="22"/>
      <w:lang w:val="en-US" w:eastAsia="en-US" w:bidi="ar-SA"/>
    </w:rPr>
  </w:style>
  <w:style w:type="paragraph" w:customStyle="1" w:styleId="183">
    <w:name w:val="PM23Caption"/>
    <w:basedOn w:val="1"/>
    <w:uiPriority w:val="0"/>
    <w:rPr>
      <w:rFonts w:ascii="宋体" w:hAnsi="宋体"/>
      <w:b/>
      <w:sz w:val="21"/>
    </w:rPr>
  </w:style>
  <w:style w:type="paragraph" w:customStyle="1" w:styleId="184">
    <w:name w:val="PM23Figure"/>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7" Type="http://schemas.openxmlformats.org/officeDocument/2006/relationships/fontTable" Target="fontTable.xml"/><Relationship Id="rId86" Type="http://schemas.openxmlformats.org/officeDocument/2006/relationships/customXml" Target="../customXml/item2.xml"/><Relationship Id="rId85" Type="http://schemas.openxmlformats.org/officeDocument/2006/relationships/numbering" Target="numbering.xml"/><Relationship Id="rId84" Type="http://schemas.openxmlformats.org/officeDocument/2006/relationships/customXml" Target="../customXml/item1.xml"/><Relationship Id="rId83" Type="http://schemas.openxmlformats.org/officeDocument/2006/relationships/image" Target="media/image32.svg"/><Relationship Id="rId82" Type="http://schemas.openxmlformats.org/officeDocument/2006/relationships/image" Target="media/image45.png"/><Relationship Id="rId81" Type="http://schemas.openxmlformats.org/officeDocument/2006/relationships/image" Target="media/image31.svg"/><Relationship Id="rId80" Type="http://schemas.openxmlformats.org/officeDocument/2006/relationships/image" Target="media/image44.png"/><Relationship Id="rId8" Type="http://schemas.openxmlformats.org/officeDocument/2006/relationships/image" Target="media/image2.png"/><Relationship Id="rId79" Type="http://schemas.openxmlformats.org/officeDocument/2006/relationships/image" Target="media/image30.svg"/><Relationship Id="rId78" Type="http://schemas.openxmlformats.org/officeDocument/2006/relationships/image" Target="media/image43.png"/><Relationship Id="rId77" Type="http://schemas.openxmlformats.org/officeDocument/2006/relationships/image" Target="media/image29.svg"/><Relationship Id="rId76" Type="http://schemas.openxmlformats.org/officeDocument/2006/relationships/image" Target="media/image42.png"/><Relationship Id="rId75" Type="http://schemas.openxmlformats.org/officeDocument/2006/relationships/image" Target="media/image28.svg"/><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image" Target="media/image27.svg"/><Relationship Id="rId71" Type="http://schemas.openxmlformats.org/officeDocument/2006/relationships/image" Target="media/image39.png"/><Relationship Id="rId70" Type="http://schemas.openxmlformats.org/officeDocument/2006/relationships/image" Target="media/image26.svg"/><Relationship Id="rId7" Type="http://schemas.openxmlformats.org/officeDocument/2006/relationships/theme" Target="theme/theme1.xml"/><Relationship Id="rId69" Type="http://schemas.openxmlformats.org/officeDocument/2006/relationships/image" Target="media/image38.png"/><Relationship Id="rId68" Type="http://schemas.openxmlformats.org/officeDocument/2006/relationships/image" Target="media/image25.svg"/><Relationship Id="rId67" Type="http://schemas.openxmlformats.org/officeDocument/2006/relationships/image" Target="media/image37.png"/><Relationship Id="rId66" Type="http://schemas.openxmlformats.org/officeDocument/2006/relationships/image" Target="media/image24.svg"/><Relationship Id="rId65" Type="http://schemas.openxmlformats.org/officeDocument/2006/relationships/image" Target="media/image36.png"/><Relationship Id="rId64" Type="http://schemas.openxmlformats.org/officeDocument/2006/relationships/image" Target="media/image23.svg"/><Relationship Id="rId63" Type="http://schemas.openxmlformats.org/officeDocument/2006/relationships/image" Target="media/image35.png"/><Relationship Id="rId62" Type="http://schemas.openxmlformats.org/officeDocument/2006/relationships/image" Target="media/image22.svg"/><Relationship Id="rId61" Type="http://schemas.openxmlformats.org/officeDocument/2006/relationships/image" Target="media/image34.png"/><Relationship Id="rId60" Type="http://schemas.openxmlformats.org/officeDocument/2006/relationships/image" Target="media/image21.svg"/><Relationship Id="rId6" Type="http://schemas.openxmlformats.org/officeDocument/2006/relationships/footer" Target="footer2.xml"/><Relationship Id="rId59" Type="http://schemas.openxmlformats.org/officeDocument/2006/relationships/image" Target="media/image33.png"/><Relationship Id="rId58" Type="http://schemas.openxmlformats.org/officeDocument/2006/relationships/image" Target="media/image20.svg"/><Relationship Id="rId57" Type="http://schemas.openxmlformats.org/officeDocument/2006/relationships/image" Target="media/image32.png"/><Relationship Id="rId56" Type="http://schemas.openxmlformats.org/officeDocument/2006/relationships/image" Target="media/image19.svg"/><Relationship Id="rId55" Type="http://schemas.openxmlformats.org/officeDocument/2006/relationships/image" Target="media/image31.png"/><Relationship Id="rId54" Type="http://schemas.openxmlformats.org/officeDocument/2006/relationships/image" Target="media/image18.svg"/><Relationship Id="rId53" Type="http://schemas.openxmlformats.org/officeDocument/2006/relationships/image" Target="media/image30.png"/><Relationship Id="rId52" Type="http://schemas.openxmlformats.org/officeDocument/2006/relationships/image" Target="media/image17.svg"/><Relationship Id="rId51" Type="http://schemas.openxmlformats.org/officeDocument/2006/relationships/image" Target="media/image29.png"/><Relationship Id="rId50" Type="http://schemas.openxmlformats.org/officeDocument/2006/relationships/image" Target="media/image16.svg"/><Relationship Id="rId5" Type="http://schemas.openxmlformats.org/officeDocument/2006/relationships/footer" Target="footer1.xml"/><Relationship Id="rId49" Type="http://schemas.openxmlformats.org/officeDocument/2006/relationships/image" Target="media/image28.png"/><Relationship Id="rId48" Type="http://schemas.openxmlformats.org/officeDocument/2006/relationships/image" Target="media/image15.svg"/><Relationship Id="rId47" Type="http://schemas.openxmlformats.org/officeDocument/2006/relationships/image" Target="media/image27.png"/><Relationship Id="rId46" Type="http://schemas.openxmlformats.org/officeDocument/2006/relationships/image" Target="media/image14.svg"/><Relationship Id="rId45" Type="http://schemas.openxmlformats.org/officeDocument/2006/relationships/image" Target="media/image26.png"/><Relationship Id="rId44" Type="http://schemas.openxmlformats.org/officeDocument/2006/relationships/image" Target="media/image13.svg"/><Relationship Id="rId43" Type="http://schemas.openxmlformats.org/officeDocument/2006/relationships/image" Target="media/image25.png"/><Relationship Id="rId42" Type="http://schemas.openxmlformats.org/officeDocument/2006/relationships/image" Target="media/image12.sv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1.xml"/><Relationship Id="rId39" Type="http://schemas.openxmlformats.org/officeDocument/2006/relationships/image" Target="media/image22.png"/><Relationship Id="rId38" Type="http://schemas.openxmlformats.org/officeDocument/2006/relationships/image" Target="media/image11.sv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0.sv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9.sv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8.svg"/><Relationship Id="rId25" Type="http://schemas.openxmlformats.org/officeDocument/2006/relationships/image" Target="media/image12.png"/><Relationship Id="rId24" Type="http://schemas.openxmlformats.org/officeDocument/2006/relationships/image" Target="media/image7.svg"/><Relationship Id="rId23" Type="http://schemas.openxmlformats.org/officeDocument/2006/relationships/image" Target="media/image11.png"/><Relationship Id="rId22" Type="http://schemas.openxmlformats.org/officeDocument/2006/relationships/image" Target="media/image6.sv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5.svg"/><Relationship Id="rId18" Type="http://schemas.openxmlformats.org/officeDocument/2006/relationships/image" Target="media/image8.png"/><Relationship Id="rId17" Type="http://schemas.openxmlformats.org/officeDocument/2006/relationships/image" Target="media/image4.svg"/><Relationship Id="rId16" Type="http://schemas.openxmlformats.org/officeDocument/2006/relationships/image" Target="media/image7.png"/><Relationship Id="rId15" Type="http://schemas.openxmlformats.org/officeDocument/2006/relationships/image" Target="media/image3.svg"/><Relationship Id="rId14" Type="http://schemas.openxmlformats.org/officeDocument/2006/relationships/image" Target="media/image6.png"/><Relationship Id="rId13" Type="http://schemas.openxmlformats.org/officeDocument/2006/relationships/image" Target="media/image2.svg"/><Relationship Id="rId12" Type="http://schemas.openxmlformats.org/officeDocument/2006/relationships/image" Target="media/image5.png"/><Relationship Id="rId11" Type="http://schemas.openxmlformats.org/officeDocument/2006/relationships/image" Target="media/image1.sv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11331</Words>
  <Characters>12011</Characters>
  <Lines>800</Lines>
  <Paragraphs>778</Paragraphs>
  <TotalTime>62</TotalTime>
  <ScaleCrop>false</ScaleCrop>
  <LinksUpToDate>false</LinksUpToDate>
  <CharactersWithSpaces>22564</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项目组</dc:creator>
  <dc:description>前言按执行摘要精炼，新增项目全局总览图；副标题收敛至贷前材料核验，正文与历史实验结果保留。</dc:description>
  <cp:keywords>信贷材料预审 Jev 轻量判断 任务路由 工银智涌</cp:keywords>
  <cp:lastModifiedBy>k</cp:lastModifiedBy>
  <dcterms:modified xsi:type="dcterms:W3CDTF">2026-10-08T08:13:29Z</dcterms:modified>
  <dc:subject>蓝色科技图文融合版</dc:subject>
  <dc:title>工银智涌 e贷——基于Jev式判断与快慢协同的贷前材料核验引擎</dc:title>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