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23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6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hint="eastAsia" w:ascii="Tw Cen MT" w:hAnsi="Tw Cen MT" w:cs="Arial" w:eastAsiaTheme="minorEastAsia"/>
                <w:lang w:val="en-US" w:eastAsia="zh-CN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  <w:r>
              <w:rPr>
                <w:rFonts w:hint="eastAsia" w:ascii="Tw Cen MT" w:hAnsi="Tw Cen MT" w:cs="Arial"/>
                <w:sz w:val="32"/>
                <w:lang w:val="en-US" w:eastAsia="zh-CN"/>
              </w:rPr>
              <w:t xml:space="preserve">   flappybird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pPr>
              <w:rPr>
                <w:rFonts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Note</w:t>
            </w:r>
          </w:p>
          <w:p>
            <w:pPr>
              <w:rPr>
                <w:rFonts w:hint="eastAsia" w:ascii="Tw Cen MT" w:hAnsi="Tw Cen MT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Tw Cen MT" w:hAnsi="Tw Cen MT" w:cs="Arial"/>
                <w:sz w:val="15"/>
                <w:szCs w:val="15"/>
                <w:lang w:val="en-US" w:eastAsia="zh-CN"/>
              </w:rPr>
              <w:t>1、for循环和forEach的区别：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</w:tbl>
    <w:p>
      <w:pPr>
        <w:ind w:right="-141" w:rightChars="-67"/>
      </w:pPr>
    </w:p>
    <w:tbl>
      <w:tblPr>
        <w:tblStyle w:val="5"/>
        <w:tblW w:w="9923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6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3104" w:type="dxa"/>
            <w:vMerge w:val="restart"/>
          </w:tcPr>
          <w:p>
            <w:r>
              <w:rPr>
                <w:rFonts w:ascii="Tw Cen MT" w:hAnsi="Tw Cen MT" w:cs="Arial"/>
                <w:sz w:val="32"/>
              </w:rPr>
              <w:t>Cue</w:t>
            </w:r>
          </w:p>
        </w:tc>
        <w:tc>
          <w:tcPr>
            <w:tcW w:w="6819" w:type="dxa"/>
          </w:tcPr>
          <w:p>
            <w:pPr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sz w:val="32"/>
              </w:rPr>
              <w:t>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2" w:hRule="atLeast"/>
        </w:trPr>
        <w:tc>
          <w:tcPr>
            <w:tcW w:w="3104" w:type="dxa"/>
            <w:vMerge w:val="continue"/>
          </w:tcPr>
          <w:p/>
        </w:tc>
        <w:tc>
          <w:tcPr>
            <w:tcW w:w="6819" w:type="dxa"/>
          </w:tcPr>
          <w:p>
            <w:r>
              <w:rPr>
                <w:rFonts w:ascii="Tw Cen MT" w:hAnsi="Tw Cen MT" w:cs="Arial"/>
                <w:sz w:val="32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3" w:hRule="atLeast"/>
        </w:trPr>
        <w:tc>
          <w:tcPr>
            <w:tcW w:w="9923" w:type="dxa"/>
            <w:gridSpan w:val="2"/>
          </w:tcPr>
          <w:p>
            <w:pPr>
              <w:rPr>
                <w:rFonts w:hint="eastAsia" w:ascii="Tw Cen MT" w:hAnsi="Tw Cen MT" w:cs="Arial"/>
                <w:sz w:val="32"/>
              </w:rPr>
            </w:pPr>
            <w:r>
              <w:rPr>
                <w:rFonts w:ascii="Tw Cen MT" w:hAnsi="Tw Cen MT" w:cs="Arial"/>
                <w:sz w:val="32"/>
              </w:rPr>
              <w:t>Sum</w:t>
            </w:r>
          </w:p>
        </w:tc>
      </w:tr>
    </w:tbl>
    <w:p>
      <w:pPr>
        <w:ind w:right="-141" w:rightChars="-67"/>
        <w:rPr>
          <w:rFonts w:hint="eastAsia"/>
        </w:rPr>
      </w:pPr>
    </w:p>
    <w:sectPr>
      <w:pgSz w:w="11906" w:h="16838"/>
      <w:pgMar w:top="1418" w:right="1797" w:bottom="567" w:left="1797" w:header="851" w:footer="992" w:gutter="0"/>
      <w:cols w:space="425" w:num="1"/>
      <w:docGrid w:type="lines" w:linePitch="400" w:charSpace="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w Cen MT">
    <w:altName w:val="Segoe Print"/>
    <w:panose1 w:val="020B0602020104020603"/>
    <w:charset w:val="00"/>
    <w:family w:val="swiss"/>
    <w:pitch w:val="default"/>
    <w:sig w:usb0="00000000" w:usb1="00000000" w:usb2="00000000" w:usb3="00000000" w:csb0="0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07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83"/>
    <w:rsid w:val="0021247D"/>
    <w:rsid w:val="004C5460"/>
    <w:rsid w:val="005D0BAD"/>
    <w:rsid w:val="00870A50"/>
    <w:rsid w:val="008A0734"/>
    <w:rsid w:val="009826C9"/>
    <w:rsid w:val="00CB2783"/>
    <w:rsid w:val="00E14214"/>
    <w:rsid w:val="00FD01DE"/>
    <w:rsid w:val="68737568"/>
    <w:rsid w:val="77AF51B5"/>
    <w:rsid w:val="7C9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654A20-C6CC-42EE-A32B-4C17564A6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</Words>
  <Characters>215</Characters>
  <Lines>1</Lines>
  <Paragraphs>1</Paragraphs>
  <TotalTime>35</TotalTime>
  <ScaleCrop>false</ScaleCrop>
  <LinksUpToDate>false</LinksUpToDate>
  <CharactersWithSpaces>251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2017-10-23T03:06:00Z</dcterms:created>
  <dc:creator>Donsome Roth</dc:creator>
  <cp:lastModifiedBy>蜜柑</cp:lastModifiedBy>
  <cp:lastPrinted>2017-10-23T04:12:00Z</cp:lastPrinted>
  <dcterms:modified xsi:type="dcterms:W3CDTF">2019-01-05T01:47:33Z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