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Informe de Pruebas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Proyecto Snipe-IT — Aseguramiento de la Calidad del Software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US01 – Creación de Activos  |  US04 – Checkout de Licencias</w:t>
      </w:r>
    </w:p>
    <w:p>
      <w:pPr>
        <w:spacing w:after="0" w:before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Responsable: Aarón Líos Cubillo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30 de mayo de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 del sistema bajo prueba: Snipe-IT v8.4.0 (build 21690)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Resultados</w:t>
      </w:r>
    </w:p>
    <w:p>
      <w:pPr>
        <w:spacing w:after="120"/>
      </w:pPr>
      <w:r>
        <w:rPr>
          <w:rFonts w:ascii="Arial" w:cs="Arial" w:eastAsia="Arial" w:hAnsi="Arial"/>
        </w:rPr>
        <w:t xml:space="preserve">Este apartado presenta los resultados obtenidos tras la ejecución de los casos de prueba diseñados para las historias de usuario US01 (Creación de Activos) y US04 (Checkout de Licencias). La totalidad de las pruebas funcionales se implementó como pruebas de sistema e integración bajo la técnica de caja negra, automatizadas con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Python 3.12 + pytest + Playwright</w:t>
      </w:r>
      <w:r>
        <w:rPr>
          <w:rFonts w:ascii="Arial" w:cs="Arial" w:eastAsia="Arial" w:hAnsi="Arial"/>
        </w:rPr>
        <w:t xml:space="preserve"> sobre la instancia local de Snipe-IT (Docker, </w:t>
      </w:r>
      <w:r>
        <w:rPr>
          <w:rFonts w:ascii="Consolas" w:cs="Consolas" w:eastAsia="Consolas" w:hAnsi="Consolas"/>
          <w:sz w:val="19"/>
          <w:szCs w:val="19"/>
        </w:rPr>
        <w:t xml:space="preserve">http://localhost:8000</w:t>
      </w:r>
      <w:r>
        <w:rPr>
          <w:rFonts w:ascii="Arial" w:cs="Arial" w:eastAsia="Arial" w:hAnsi="Arial"/>
        </w:rPr>
        <w:t xml:space="preserve">). Las aserciones de estado se verifican contra la API REST de Snipe-IT como fuente de verdad, dado que las tablas de la interfaz se cargan de forma asíncrona (Bootstrap Table).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Entorno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bajo prueba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Snipe-IT v8.4.0 (build 21690), desplegado en Docker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MariaDB 11.4.7 (contenedor snipeit-db-1)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Lenguaje / framework de pruebas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3.12, pytest 9.x, pytest-playwright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de automatización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Chromium (Playwright), 1920×1080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10 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Técnica de diseño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Caja negra: partición de equivalencia, valores límite, prueba negativa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Pruebas funcionales — US04: Checkout de Licencias</w:t>
      </w:r>
    </w:p>
    <w:p>
      <w:pPr>
        <w:spacing w:after="120"/>
      </w:pPr>
      <w:r>
        <w:rPr>
          <w:rFonts w:ascii="Arial" w:cs="Arial" w:eastAsia="Arial" w:hAnsi="Arial"/>
        </w:rPr>
        <w:t xml:space="preserve">La US04 comprende 15 casos de prueba: 14 automatizados y 1 de ejecución manual (CP-HU04-15, exploratorio de usabilidad). Resultado global: </w:t>
      </w:r>
      <w:r>
        <w:rPr>
          <w:rFonts w:ascii="Arial" w:cs="Arial" w:eastAsia="Arial" w:hAnsi="Arial"/>
          <w:b/>
          <w:bCs/>
        </w:rPr>
        <w:t xml:space="preserve">15/15 aprobados (100 %).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860"/>
        <w:gridCol w:w="1180"/>
        <w:gridCol w:w="2060"/>
        <w:gridCol w:w="820"/>
        <w:gridCol w:w="1160"/>
      </w:tblGrid>
      <w:tr>
        <w:trPr>
          <w:tblHeader/>
        </w:trP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Técnica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exitoso con cupos disponibles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exitoso con último cupo disponible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valores límite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Licencia sin cupos no permite checkout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 / estado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Intento forzado de checkout sin cupos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 / forzado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"Checkout to" vacío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Cancelación del checkout antes de confirmar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cancelación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sin permisos no puede hacer checkout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permisos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no autenticado no accede al flujo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permisos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CP-HU04-09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Persistencia de contadores tras refrescar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Persistencia de estado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Prevención de doble envío del checkout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 / integridad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se refleja en el perfil del usuario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entre módulos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bloqueado no aparece en el perfil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 / consistencia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detalle vs. listado tras checkout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entre vistas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de "No Seats Available"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entre vistas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CP-HU04-15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Usabilidad y navegación por teclado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Exploratoria / experiencia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Los casos CP-HU04-01 a 14 se ejecutaron de forma automatizada (reporte </w:t>
      </w:r>
      <w:r>
        <w:rPr>
          <w:rFonts w:ascii="Consolas" w:cs="Consolas" w:eastAsia="Consolas" w:hAnsi="Consolas"/>
          <w:sz w:val="18"/>
          <w:szCs w:val="18"/>
        </w:rPr>
        <w:t xml:space="preserve">reports/2026-05-30_US04_execution_report.html</w:t>
      </w:r>
      <w:r>
        <w:rPr>
          <w:rFonts w:ascii="Arial" w:cs="Arial" w:eastAsia="Arial" w:hAnsi="Arial"/>
        </w:rPr>
        <w:t xml:space="preserve">). El caso CP-HU04-15 se ejecutó de forma manual asistida por navegador, registrando el orden de foco por teclado y capturando evidencia gráfica del flujo.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Pruebas funcionales — US01: Creación de Activos</w:t>
      </w:r>
    </w:p>
    <w:p>
      <w:pPr>
        <w:spacing w:after="120"/>
      </w:pPr>
      <w:r>
        <w:rPr>
          <w:rFonts w:ascii="Arial" w:cs="Arial" w:eastAsia="Arial" w:hAnsi="Arial"/>
        </w:rPr>
        <w:t xml:space="preserve">La US01 comprende 5 casos de prueba definidos en el plan, automatizados en su totalidad. Adicionalmente se incorporó el caso complementario CP-HU01-02b para documentar el límite real del sistema. Resultado global: </w:t>
      </w:r>
      <w:r>
        <w:rPr>
          <w:rFonts w:ascii="Arial" w:cs="Arial" w:eastAsia="Arial" w:hAnsi="Arial"/>
          <w:b/>
          <w:bCs/>
        </w:rPr>
        <w:t xml:space="preserve">5 aprobados, 1 fallido (defecto DEF-US01-01).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820"/>
        <w:gridCol w:w="1180"/>
        <w:gridCol w:w="2040"/>
        <w:gridCol w:w="820"/>
        <w:gridCol w:w="1180"/>
      </w:tblGrid>
      <w:tr>
        <w:trPr>
          <w:tblHeader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Técnica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CP-HU01-01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exitosa con estado Ready to Deploy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Partición de equivalencia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con Asset Name de 255 caracteres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valores límite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 (DEF-US01-01)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CP-HU01-02b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con Asset Name de 191 (límite real)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valores límite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CP-HU01-03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Bloqueo de creación con serial duplicado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 / unicidad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CP-HU01-04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permite guardar sin Status Label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negativa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CP-HU01-05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activo creado aparece en el listado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entre módulos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El caso CP-HU01-02 detectó una discrepancia entre la especificación del plan de pruebas (límite de 255 caracteres en Asset Name) y el comportamiento real del sistema (191 caracteres). Se documenta como defecto DEF-US01-01 en el apartado 3. El caso CP-HU01-02b confirma que el sistema acepta correctamente el límite real de 191 caracteres.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2.4. Resumen cuantitativo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300"/>
        <w:gridCol w:w="1300"/>
        <w:gridCol w:w="1200"/>
        <w:gridCol w:w="1100"/>
        <w:gridCol w:w="11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Diseñados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Fallidos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% éxito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US04 – Checkout de Licencias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US01 – Creación de Activos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95 %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Nota: US01 contabiliza 6 casos al incluir el complementario CP-HU01-02b. El único caso fallido (CP-HU01-02) corresponde a un defecto real del sistema, no a un error de la prueba.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Defectos</w:t>
      </w:r>
    </w:p>
    <w:p>
      <w:pPr>
        <w:spacing w:after="120"/>
      </w:pPr>
      <w:r>
        <w:rPr>
          <w:rFonts w:ascii="Arial" w:cs="Arial" w:eastAsia="Arial" w:hAnsi="Arial"/>
        </w:rPr>
        <w:t xml:space="preserve">Los defectos se documentan ordenados por el tipo de prueba en que fueron identificados. Durante este ciclo se registró un (1) defecto funcional y un (1) hallazgo de configuración.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Pruebas de sistema (US01)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DEF-US01-01 — Asset Name limitado a 191 caracteres (el plan asume 255)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del defecto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DEF-US01-01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 asociado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CP-HU01-02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Assets &gt; Create New — campo Asset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Discrepancia especificación vs.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Abierto / Documentado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Descripción: </w:t>
      </w:r>
      <w:r>
        <w:rPr>
          <w:rFonts w:ascii="Arial" w:cs="Arial" w:eastAsia="Arial" w:hAnsi="Arial"/>
        </w:rPr>
        <w:t xml:space="preserve">el plan de pruebas define, mediante análisis de valores límite, que el límite superior válido del campo Asset Name es de 255 caracteres. Sin embargo, la instancia real de Snipe-IT limita ese campo a 191 caracteres: el control HTML posee el atributo </w:t>
      </w:r>
      <w:r>
        <w:rPr>
          <w:rFonts w:ascii="Consolas" w:cs="Consolas" w:eastAsia="Consolas" w:hAnsi="Consolas"/>
          <w:sz w:val="19"/>
          <w:szCs w:val="19"/>
        </w:rPr>
        <w:t xml:space="preserve">maxlength="191"</w:t>
      </w:r>
      <w:r>
        <w:rPr>
          <w:rFonts w:ascii="Arial" w:cs="Arial" w:eastAsia="Arial" w:hAnsi="Arial"/>
        </w:rPr>
        <w:t xml:space="preserve"> y la columna de base de datos </w:t>
      </w:r>
      <w:r>
        <w:rPr>
          <w:rFonts w:ascii="Consolas" w:cs="Consolas" w:eastAsia="Consolas" w:hAnsi="Consolas"/>
          <w:sz w:val="19"/>
          <w:szCs w:val="19"/>
        </w:rPr>
        <w:t xml:space="preserve">assets.name</w:t>
      </w:r>
      <w:r>
        <w:rPr>
          <w:rFonts w:ascii="Arial" w:cs="Arial" w:eastAsia="Arial" w:hAnsi="Arial"/>
        </w:rPr>
        <w:t xml:space="preserve"> es de tipo </w:t>
      </w:r>
      <w:r>
        <w:rPr>
          <w:rFonts w:ascii="Consolas" w:cs="Consolas" w:eastAsia="Consolas" w:hAnsi="Consolas"/>
          <w:sz w:val="19"/>
          <w:szCs w:val="19"/>
        </w:rPr>
        <w:t xml:space="preserve">varchar(191)</w:t>
      </w:r>
      <w:r>
        <w:rPr>
          <w:rFonts w:ascii="Arial" w:cs="Arial" w:eastAsia="Arial" w:hAnsi="Arial"/>
        </w:rPr>
        <w:t xml:space="preserve">. En consecuencia, el sistema impide ingresar más de 191 caracteres y, ante un valor mayor, lo almacena truncado.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Resultado esperado (plan): </w:t>
      </w:r>
      <w:r>
        <w:rPr>
          <w:rFonts w:ascii="Arial" w:cs="Arial" w:eastAsia="Arial" w:hAnsi="Arial"/>
        </w:rPr>
        <w:t xml:space="preserve">el sistema acepta y almacena un Asset Name de exactamente 255 caracteres.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Resultado obtenido: </w:t>
      </w:r>
      <w:r>
        <w:rPr>
          <w:rFonts w:ascii="Arial" w:cs="Arial" w:eastAsia="Arial" w:hAnsi="Arial"/>
        </w:rPr>
        <w:t xml:space="preserve">el campo no admite más de 191 caracteres; el activo se crea con el nombre truncado a 191. Salida de la automatización: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AssertionError: El nombre almacenado no tiene 255 caracteres: 191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assert 191 == 255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Análisis: </w:t>
      </w:r>
      <w:r>
        <w:rPr>
          <w:rFonts w:ascii="Arial" w:cs="Arial" w:eastAsia="Arial" w:hAnsi="Arial"/>
        </w:rPr>
        <w:t xml:space="preserve">no se trata de un fallo del flujo de creación (el activo se crea correctamente), sino de una discrepancia entre la especificación de prueba y el límite real del sistema. El valor 191 corresponde al límite histórico de índices utf8mb4 en MySQL/MariaDB adoptado por Laravel.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Recomendación: </w:t>
      </w:r>
      <w:r>
        <w:rPr>
          <w:rFonts w:ascii="Arial" w:cs="Arial" w:eastAsia="Arial" w:hAnsi="Arial"/>
        </w:rPr>
        <w:t xml:space="preserve">ajustar el plan de pruebas para fijar el límite superior de Asset Name en 191 caracteres (validado por el caso complementario CP-HU01-02b). Si el negocio requiriera 255, debe abrirse una solicitud de cambio sobre Snipe-IT, lo cual excede el alcance de QA.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Hallazgos de configuración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HALL-US01-01 — La unicidad de serial depende del ajuste unique_serial</w:t>
      </w:r>
    </w:p>
    <w:p>
      <w:pPr>
        <w:spacing w:after="120"/>
      </w:pPr>
      <w:r>
        <w:rPr>
          <w:rFonts w:ascii="Arial" w:cs="Arial" w:eastAsia="Arial" w:hAnsi="Arial"/>
        </w:rPr>
        <w:t xml:space="preserve">Durante el diseño de CP-HU01-03 se determinó que Snipe-IT </w:t>
      </w:r>
      <w:r>
        <w:rPr>
          <w:rFonts w:ascii="Arial" w:cs="Arial" w:eastAsia="Arial" w:hAnsi="Arial"/>
          <w:b/>
          <w:bCs/>
        </w:rPr>
        <w:t xml:space="preserve">no obliga seriales únicos de forma predeterminada</w:t>
      </w:r>
      <w:r>
        <w:rPr>
          <w:rFonts w:ascii="Arial" w:cs="Arial" w:eastAsia="Arial" w:hAnsi="Arial"/>
        </w:rPr>
        <w:t xml:space="preserve"> (el ajuste </w:t>
      </w:r>
      <w:r>
        <w:rPr>
          <w:rFonts w:ascii="Consolas" w:cs="Consolas" w:eastAsia="Consolas" w:hAnsi="Consolas"/>
          <w:sz w:val="19"/>
          <w:szCs w:val="19"/>
        </w:rPr>
        <w:t xml:space="preserve">unique_serial</w:t>
      </w:r>
      <w:r>
        <w:rPr>
          <w:rFonts w:ascii="Arial" w:cs="Arial" w:eastAsia="Arial" w:hAnsi="Arial"/>
        </w:rPr>
        <w:t xml:space="preserve"> tiene valor 0). Para que el sistema rechace seriales duplicados —y el caso de prueba sea válido— dicho ajuste debe estar activado. La automatización gestiona este pre-requisito activando el ajuste antes de la prueba y restaurándolo al finalizar. Con el ajuste activo, el sistema responde correctamente: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The serial must be unique.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Recomendación: </w:t>
      </w:r>
      <w:r>
        <w:rPr>
          <w:rFonts w:ascii="Arial" w:cs="Arial" w:eastAsia="Arial" w:hAnsi="Arial"/>
        </w:rPr>
        <w:t xml:space="preserve">si la organización requiere unicidad de seriales, habilitar el ajuste unique_serial en la configuración de Snipe-IT (Admin &gt; Settings).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 Pruebas de US04</w:t>
      </w:r>
    </w:p>
    <w:p>
      <w:pPr>
        <w:spacing w:after="120"/>
      </w:pPr>
      <w:r>
        <w:rPr>
          <w:rFonts w:ascii="Arial" w:cs="Arial" w:eastAsia="Arial" w:hAnsi="Arial"/>
        </w:rPr>
        <w:t xml:space="preserve">No se identificaron defectos en la US04. Los 15 casos de prueba se ejecutaron conforme a lo esperado, incluyendo los escenarios negativos (sin cupos, sin permisos, sin autenticación, doble envío) y los de integración entre el detalle de licencia, el listado y el perfil de usuario.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Actualizar el plan de pruebas </w:t>
      </w:r>
      <w:r>
        <w:rPr>
          <w:rFonts w:ascii="Arial" w:cs="Arial" w:eastAsia="Arial" w:hAnsi="Arial"/>
        </w:rPr>
        <w:t xml:space="preserve">para alinear el valor límite de Asset Name (US01) a 191 caracteres, conforme al comportamiento real del sistema (DEF-US01-01).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Habilitar unique_serial </w:t>
      </w:r>
      <w:r>
        <w:rPr>
          <w:rFonts w:ascii="Arial" w:cs="Arial" w:eastAsia="Arial" w:hAnsi="Arial"/>
        </w:rPr>
        <w:t xml:space="preserve">en la configuración de Snipe-IT si la gestión de activos requiere seriales únicos; de lo contrario, documentar explícitamente que los seriales duplicados son admisibles.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Mantener la verificación por API </w:t>
      </w:r>
      <w:r>
        <w:rPr>
          <w:rFonts w:ascii="Arial" w:cs="Arial" w:eastAsia="Arial" w:hAnsi="Arial"/>
        </w:rPr>
        <w:t xml:space="preserve">como fuente de verdad en la automatización, dado que las tablas de la interfaz se cargan de forma asíncrona y no son fiables para aserciones directas sobre el 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Aislar los datos de prueba </w:t>
      </w:r>
      <w:r>
        <w:rPr>
          <w:rFonts w:ascii="Arial" w:cs="Arial" w:eastAsia="Arial" w:hAnsi="Arial"/>
        </w:rPr>
        <w:t xml:space="preserve">mediante fixtures que creen y eliminen sus propios recursos (licencias, usuarios, activos, datos maestros), preservando el estado de la instancia entre ejecuciones.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Controlar el límite de tasa (HTTP 429) </w:t>
      </w:r>
      <w:r>
        <w:rPr>
          <w:rFonts w:ascii="Arial" w:cs="Arial" w:eastAsia="Arial" w:hAnsi="Arial"/>
        </w:rPr>
        <w:t xml:space="preserve">de la API con reintentos espaciados, tal como implementa el helper _api del proyecto, para evitar fallos intermitentes en suites con alto volumen de operaciones.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Extender la cobertura </w:t>
      </w:r>
      <w:r>
        <w:rPr>
          <w:rFonts w:ascii="Arial" w:cs="Arial" w:eastAsia="Arial" w:hAnsi="Arial"/>
        </w:rPr>
        <w:t xml:space="preserve">a las historias de usuario restantes y consolidar, en un ciclo posterior, las secciones de Introducción, Evaluación y Referencias del informe una vez completadas todas las US.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 Anexos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7.1. Estructura del proyecto de pruebas</w:t>
      </w:r>
    </w:p>
    <w:p>
      <w:pPr>
        <w:spacing w:after="120"/>
      </w:pPr>
      <w:r>
        <w:rPr>
          <w:rFonts w:ascii="Arial" w:cs="Arial" w:eastAsia="Arial" w:hAnsi="Arial"/>
        </w:rPr>
        <w:t xml:space="preserve">El apartado de SQA se organiza por historia de usuario, separando las pruebas propias de las que ya incluía el proyecto original. Cada carpeta de US es autocontenida: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tests/SQA/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US01-TestCases/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conftest.py            (fixtures: auth, datos maestros, unique_serial)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pytest.ini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pages/                 (Page Object Models)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login_page.py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asset_create_page.py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asset_list_page.py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automated/             (test_hu01_*.py)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cases/                 (CP-HU01-01..05 .md)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evidence/              (DEF-US01-01, capturas)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reports/               (reporte HTML de ejecución)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US04-TestCases/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conftest.py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pages/                 (login, license_detail, checkout, license_list, user_profile)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automated/             (test_hu04_*.py)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cases/                 (CP-HU04-01..15 .md)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evidence/              (capturas CP-HU04-15)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reports/               (reporte HTML de ejecución)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7.2. Código fuente del proyecto de pruebas automáticas</w:t>
      </w:r>
    </w:p>
    <w:p>
      <w:pPr>
        <w:spacing w:after="120"/>
      </w:pPr>
      <w:r>
        <w:rPr>
          <w:rFonts w:ascii="Arial" w:cs="Arial" w:eastAsia="Arial" w:hAnsi="Arial"/>
        </w:rPr>
        <w:t xml:space="preserve">Se incluyen los fragmentos más representativos de las soluciones técnicas aplicadas, extraídos directamente de los archivos del proyecto.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7.2.1. Cliente de API con control de límite de tasa (conftest.py)</w:t>
      </w:r>
    </w:p>
    <w:p>
      <w:pPr>
        <w:spacing w:after="120"/>
      </w:pPr>
      <w:r>
        <w:rPr>
          <w:rFonts w:ascii="Arial" w:cs="Arial" w:eastAsia="Arial" w:hAnsi="Arial"/>
        </w:rPr>
        <w:t xml:space="preserve">Helper central usado por ambas US para preparar datos y verificar estado contra la API REST, con reintentos ante el código HTTP 429: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_api(method, endpoint, data=None, retries=3):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"""Calls the Snipe-IT REST API. Retries up to 3 times on 429 (rate limit)."""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"Authorization": f"Bearer {API_TOKEN}",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"Accept": "application/json",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"Content-Type": "application/json",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url = f"{BASE_URL}/api/v1{endpoint}"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attempt in range(retries):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resp = requests.request(method, url, json=data, headers=headers, timeout=10)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resp.status_code == 429 and attempt &lt; retries - 1: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time.sleep(8 * (attempt + 1))   # 8s, 16s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resp.raise_for_status()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resp.json()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7.2.2. Interacción con el componente Select2 vía AJAX (checkout_page.py)</w:t>
      </w:r>
    </w:p>
    <w:p>
      <w:pPr>
        <w:spacing w:after="120"/>
      </w:pPr>
      <w:r>
        <w:rPr>
          <w:rFonts w:ascii="Arial" w:cs="Arial" w:eastAsia="Arial" w:hAnsi="Arial"/>
        </w:rPr>
        <w:t xml:space="preserve">El campo «Checkout to» es un Select2 con origen de datos asíncrono; se controla mediante la API de jQuery/Select2 inyectada con page.evaluate():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select_user(self, user_id, user_name=""):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"""Sets the 'Checkout to' Select2 to the given user (AJAX data source)."""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self.page.wait_for_selector("#assigned_user_select", state="attached", timeout=5000)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self.page.evaluate(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"""([userId, userName])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var select = document.getElementById('assigned_user_select');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var opt = new Option(userName, userId, true,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select.add(opt);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if (window.$ &amp;&amp; $(select).data('select2'))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$(select).val(userId).trigger('change');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select.value = userId;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select.dispatchEvent(new Event('change', {bubbles: true}));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[str(user_id), user_name],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7.2.3. Revelado de la sección colapsable del formulario de activos (asset_create_page.py)</w:t>
      </w:r>
    </w:p>
    <w:p>
      <w:pPr>
        <w:spacing w:after="120"/>
      </w:pPr>
      <w:r>
        <w:rPr>
          <w:rFonts w:ascii="Arial" w:cs="Arial" w:eastAsia="Arial" w:hAnsi="Arial"/>
        </w:rPr>
        <w:t xml:space="preserve">El formulario de creación de activos (Snipe-IT v8) oculta varios campos —incluido Asset Name— en una sección colapsable; se revelan por JavaScript antes de interactuar: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El form de creación de activos (Snipe-IT v8) oculta campos en la sección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colapsable "Optional Information" (div#optional_details, display:none).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_REVEAL_SECTIONS_JS = """()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opt = document.getElementById('optional_details');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(opt) { opt.style.display = 'block';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document.querySelectorAll('.collapse').forEach(c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c.style.display = 'block'; c.classList.add('in', 'show');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}"""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7.2.4. Gestión del ajuste unique_serial (conftest.py)</w:t>
      </w:r>
    </w:p>
    <w:p>
      <w:pPr>
        <w:spacing w:after="120"/>
      </w:pPr>
      <w:r>
        <w:rPr>
          <w:rFonts w:ascii="Arial" w:cs="Arial" w:eastAsia="Arial" w:hAnsi="Arial"/>
        </w:rPr>
        <w:t xml:space="preserve">Fixture que activa el ajuste de unicidad de serial requerido por CP-HU01-03 y lo restaura al valor original al terminar: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@pytest.fixture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unique_serial_enabled():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"""Activa el ajuste 'unique_serial' (necesario para CP-HU01-03) y 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restaura al valor original al finalizar."""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original = _get_unique_serial()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original !=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_set_unique_serial(1)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_set_unique_serial(original)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7.2.5. Ejemplo de caso automatizado (test_hu04_01_02_checkout_basic.py)</w:t>
      </w:r>
    </w:p>
    <w:p>
      <w:pPr>
        <w:spacing w:after="120"/>
      </w:pPr>
      <w:r>
        <w:rPr>
          <w:rFonts w:ascii="Arial" w:cs="Arial" w:eastAsia="Arial" w:hAnsi="Arial"/>
        </w:rPr>
        <w:t xml:space="preserve">Caso CP-HU04-01: checkout exitoso con cupos disponibles, verificando mensaje y contadores: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@pytest.mark.sistema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@pytest.mark.high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test_cp_hu04_01_checkout_exitoso_con_cupos_disponibles(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auth_page, base_url, license_2_seats, user_juan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lic_id   = license_2_seats["id"]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detail   = LicenseDetailPage(auth_page, base_url)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checkout = CheckoutPage(auth_page, base_url)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get_free_seats(lic_id) ==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checked_out_before = get_checked_out_count(lic_id)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detail.navigate_to_checkout(lic_id)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checkout.is_checkout_form_visible()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checkout.select_user(user_juan["id"], user_juan.get("name", "Juan Perez"))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checkout.submit()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flash = detail.get_flash_message()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"checked out successfully" in flash.lower()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get_free_seats(lic_id) ==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get_checked_out_count(lic_id) == checked_out_before + 1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7.3. Comandos de ejecución</w:t>
      </w:r>
    </w:p>
    <w:p>
      <w:pPr>
        <w:spacing w:after="120"/>
      </w:pPr>
      <w:r>
        <w:rPr>
          <w:rFonts w:ascii="Arial" w:cs="Arial" w:eastAsia="Arial" w:hAnsi="Arial"/>
        </w:rPr>
        <w:t xml:space="preserve">Generación de la instancia de API token (una sola vez) dentro del contenedor de aplicación: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exec snipeit-app-1 bash -c 'cat &gt; /tmp/gen_token.php &lt;&lt; PHPEOF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$user = App\Models\User::find(1);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$token = $user-&gt;createToken("SQA-US04-Tests");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"TOKEN:" . $token-&gt;accessToken;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PHPEOF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php /var/www/html/artisan tinker --execute="require '/tmp/gen_token.php';"'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Ejecución de las suites y generación de reportes HTML autocontenidos: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US04 (14 casos automatizados + 1 manual)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pytest automated/ -v --html=reports/2026-05-30_US04_execution_report.html --self-contained-html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US01 (5 casos + 1 complementario)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pytest automated/ -v --html=reports/2026-05-30_US01_execution_report.html --self-contained-html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7.4. Formato de defectos</w:t>
      </w:r>
    </w:p>
    <w:p>
      <w:pPr>
        <w:spacing w:after="120"/>
      </w:pPr>
      <w:r>
        <w:rPr>
          <w:rFonts w:ascii="Arial" w:cs="Arial" w:eastAsia="Arial" w:hAnsi="Arial"/>
        </w:rPr>
        <w:t xml:space="preserve">Los defectos se documentan con la plantilla del proyecto, registrando: identificador, caso de prueba asociado, módulo, severidad, prioridad, tipo, estado, descripción, pasos para reproducir, resultado esperado, resultado obtenido, evidencia, análisis y recomendaciones. El detalle completo de DEF-US01-01 se conserva en 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tests/SQA/US01-TestCases/evidence/DEF-US01-01_asset_name_length.md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7.5. Listas de chequeo y evidencia</w:t>
      </w:r>
    </w:p>
    <w:p>
      <w:pPr>
        <w:spacing w:after="120"/>
      </w:pPr>
      <w:r>
        <w:rPr>
          <w:rFonts w:ascii="Arial" w:cs="Arial" w:eastAsia="Arial" w:hAnsi="Arial"/>
        </w:rPr>
        <w:t xml:space="preserve">Cada caso de prueba cuenta con su documento individual (plantilla de caso de prueba manual del proyecto) en las carpetas cases/, indicando precondiciones, pasos, datos, resultado esperado, resultado obtenido, estado y enlace a defecto. La evidencia gráfica del caso manual CP-HU04-15 y los reportes HTML de ejecución se conservan en las carpetas evidence/ y reports/ de cada US.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Informe de Pruebas — Snipe-IT SQA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2026-05-31T17:45:15.093Z</dcterms:created>
  <dcterms:modified xsi:type="dcterms:W3CDTF">2026-05-31T17:45:15.095Z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