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Times New Roman" w:cs="Times New Roman" w:eastAsia="Times New Roman" w:hAnsi="Times New Roman"/>
          <w:b/>
          <w:bCs/>
          <w:sz w:val="28"/>
          <w:szCs w:val="28"/>
        </w:rPr>
        <w:t xml:space="preserve">Predicting Used Car Prices on Craigslist: A Comparative Study of Regression Models</w:t>
      </w:r>
    </w:p>
    <w:p>
      <w:pPr>
        <w:spacing w:after="20" w:before="40"/>
        <w:jc w:val="center"/>
      </w:pPr>
      <w:r>
        <w:rPr>
          <w:rFonts w:ascii="Times New Roman" w:cs="Times New Roman" w:eastAsia="Times New Roman" w:hAnsi="Times New Roman"/>
          <w:sz w:val="22"/>
          <w:szCs w:val="22"/>
        </w:rPr>
        <w:t xml:space="preserve">Liuxuhong Zhao  ·  Kangxin Peng</w:t>
      </w:r>
    </w:p>
    <w:p>
      <w:pPr>
        <w:spacing w:after="20" w:before="0"/>
        <w:jc w:val="center"/>
      </w:pPr>
      <w:r>
        <w:rPr>
          <w:rFonts w:ascii="Times New Roman" w:cs="Times New Roman" w:eastAsia="Times New Roman" w:hAnsi="Times New Roman"/>
          <w:i/>
          <w:iCs/>
          <w:sz w:val="22"/>
          <w:szCs w:val="22"/>
        </w:rPr>
        <w:t xml:space="preserve">University of California, San Diego</w:t>
      </w:r>
    </w:p>
    <w:p>
      <w:pPr>
        <w:spacing w:after="120" w:before="0"/>
        <w:jc w:val="center"/>
      </w:pPr>
      <w:r>
        <w:rPr>
          <w:rFonts w:ascii="Times New Roman" w:cs="Times New Roman" w:eastAsia="Times New Roman" w:hAnsi="Times New Roman"/>
          <w:sz w:val="20"/>
          <w:szCs w:val="20"/>
        </w:rPr>
        <w:t xml:space="preserve">liz066@ucsd.edu  ·  k2peng@ucsd.edu</w:t>
      </w:r>
    </w:p>
    <w:p>
      <w:pPr>
        <w:spacing w:after="40" w:before="60"/>
        <w:jc w:val="center"/>
      </w:pPr>
      <w:r>
        <w:rPr>
          <w:rFonts w:ascii="Times New Roman" w:cs="Times New Roman" w:eastAsia="Times New Roman" w:hAnsi="Times New Roman"/>
          <w:b/>
          <w:bCs/>
          <w:sz w:val="22"/>
          <w:szCs w:val="22"/>
        </w:rPr>
        <w:t xml:space="preserve">ABSTRACT</w:t>
      </w:r>
    </w:p>
    <w:p>
      <w:pPr>
        <w:spacing w:after="0" w:before="0" w:line="252" w:lineRule="exact"/>
        <w:ind w:left="360" w:right="360"/>
        <w:jc w:val="both"/>
      </w:pPr>
      <w:r>
        <w:rPr>
          <w:rFonts w:ascii="Times New Roman" w:cs="Times New Roman" w:eastAsia="Times New Roman" w:hAnsi="Times New Roman"/>
          <w:sz w:val="20"/>
          <w:szCs w:val="20"/>
        </w:rPr>
        <w:t xml:space="preserve">The U.S. used car market is large and notoriously opaque—buyers and sellers alike struggle to know whether a listed price is fair. In this work, we study the problem of predicting used car listing prices from structured vehicle attributes scraped from Craigslist. We compare three models of increasing complexity: Linear Regression, Random Forest, and XGBoost. Our experiments on a cleaned dataset of 347,641 listings show that both ensemble methods substantially outperform the linear baseline, achieving a Mean Absolute Error of roughly $3,350 compared to $6,396 for the linear model. An ablation study reveals that car age, odometer reading, vehicle condition, and engine size are the most influential features. These findings suggest that non-linear interactions between vehicle attributes play a significant role in price formation.</w:t>
      </w:r>
    </w:p>
    <w:p>
      <w:pPr>
        <w:spacing w:after="120" w:before="60"/>
        <w:ind w:left="360" w:right="360"/>
        <w:jc w:val="both"/>
      </w:pPr>
      <w:r>
        <w:rPr>
          <w:rFonts w:ascii="Times New Roman" w:cs="Times New Roman" w:eastAsia="Times New Roman" w:hAnsi="Times New Roman"/>
          <w:b/>
          <w:bCs/>
          <w:sz w:val="20"/>
          <w:szCs w:val="20"/>
        </w:rPr>
        <w:t xml:space="preserve">Keywords: </w:t>
      </w:r>
      <w:r>
        <w:rPr>
          <w:rFonts w:ascii="Times New Roman" w:cs="Times New Roman" w:eastAsia="Times New Roman" w:hAnsi="Times New Roman"/>
          <w:sz w:val="20"/>
          <w:szCs w:val="20"/>
        </w:rPr>
        <w:t xml:space="preserve">price prediction, used cars, XGBoost, random forest, feature engineering, regression</w:t>
      </w:r>
    </w:p>
    <w:p>
      <w:pPr>
        <w:spacing w:after="40" w:before="120"/>
      </w:pPr>
      <w:r>
        <w:rPr>
          <w:rFonts w:ascii="Times New Roman" w:cs="Times New Roman" w:eastAsia="Times New Roman" w:hAnsi="Times New Roman"/>
          <w:b/>
          <w:bCs/>
          <w:sz w:val="22"/>
          <w:szCs w:val="22"/>
        </w:rPr>
        <w:t xml:space="preserve">1. Introduction</w:t>
      </w:r>
    </w:p>
    <w:p>
      <w:pPr>
        <w:spacing w:after="60" w:before="0" w:line="252" w:lineRule="exact"/>
        <w:jc w:val="both"/>
      </w:pPr>
      <w:r>
        <w:rPr>
          <w:rFonts w:ascii="Times New Roman" w:cs="Times New Roman" w:eastAsia="Times New Roman" w:hAnsi="Times New Roman"/>
          <w:sz w:val="22"/>
          <w:szCs w:val="22"/>
        </w:rPr>
        <w:t xml:space="preserve">Buying a used car is one of the larger financial decisions most people make, yet pricing in the secondhand market is highly inconsistent. Two nearly identical vehicles listed in different regions or by different sellers can differ by thousands of dollars. For buyers, this makes it hard to spot a good deal; for sellers, it is difficult to know how to price competitively.</w:t>
      </w:r>
    </w:p>
    <w:p>
      <w:pPr>
        <w:spacing w:after="60" w:before="0" w:line="252" w:lineRule="exact"/>
        <w:jc w:val="both"/>
      </w:pPr>
      <w:r>
        <w:rPr>
          <w:rFonts w:ascii="Times New Roman" w:cs="Times New Roman" w:eastAsia="Times New Roman" w:hAnsi="Times New Roman"/>
          <w:sz w:val="22"/>
          <w:szCs w:val="22"/>
        </w:rPr>
        <w:t xml:space="preserve">Automated price estimation tools have practical value in this setting. A reliable model can help buyers benchmark a listing, assist sellers in setting a competitive price, and enable platforms to flag potentially fraudulent or miscategorized listings.</w:t>
      </w:r>
    </w:p>
    <w:p>
      <w:pPr>
        <w:spacing w:after="60" w:before="0" w:line="252" w:lineRule="exact"/>
        <w:jc w:val="both"/>
      </w:pPr>
      <w:r>
        <w:rPr>
          <w:rFonts w:ascii="Times New Roman" w:cs="Times New Roman" w:eastAsia="Times New Roman" w:hAnsi="Times New Roman"/>
          <w:sz w:val="22"/>
          <w:szCs w:val="22"/>
        </w:rPr>
        <w:t xml:space="preserve">In this project, we use the Craigslist Used Cars dataset—a large, publicly available collection of vehicle listings across the United States—to build and evaluate regression models for price prediction. Our contributions are as follows:</w:t>
      </w:r>
    </w:p>
    <w:p>
      <w:pPr>
        <w:spacing w:after="40" w:before="0" w:line="252" w:lineRule="exact"/>
        <w:ind w:left="220"/>
        <w:jc w:val="both"/>
      </w:pPr>
      <w:r>
        <w:rPr>
          <w:rFonts w:ascii="Times New Roman" w:cs="Times New Roman" w:eastAsia="Times New Roman" w:hAnsi="Times New Roman"/>
          <w:sz w:val="22"/>
          <w:szCs w:val="22"/>
        </w:rPr>
        <w:t xml:space="preserve">(1) We perform a thorough exploratory data analysis and feature engineering pipeline on a dataset of over 420,000 raw listings.</w:t>
      </w:r>
    </w:p>
    <w:p>
      <w:pPr>
        <w:spacing w:after="40" w:before="0" w:line="252" w:lineRule="exact"/>
        <w:ind w:left="220"/>
        <w:jc w:val="both"/>
      </w:pPr>
      <w:r>
        <w:rPr>
          <w:rFonts w:ascii="Times New Roman" w:cs="Times New Roman" w:eastAsia="Times New Roman" w:hAnsi="Times New Roman"/>
          <w:sz w:val="22"/>
          <w:szCs w:val="22"/>
        </w:rPr>
        <w:t xml:space="preserve">(2) We train and compare three models—Linear Regression, Random Forest, and XGBoost—under consistent evaluation conditions.</w:t>
      </w:r>
    </w:p>
    <w:p>
      <w:pPr>
        <w:spacing w:after="40" w:before="0" w:line="252" w:lineRule="exact"/>
        <w:ind w:left="220"/>
        <w:jc w:val="both"/>
      </w:pPr>
      <w:r>
        <w:rPr>
          <w:rFonts w:ascii="Times New Roman" w:cs="Times New Roman" w:eastAsia="Times New Roman" w:hAnsi="Times New Roman"/>
          <w:sz w:val="22"/>
          <w:szCs w:val="22"/>
        </w:rPr>
        <w:t xml:space="preserve">(3) We conduct an ablation study to quantify the marginal contribution of each engineered feature.</w:t>
      </w:r>
    </w:p>
    <w:p>
      <w:pPr>
        <w:spacing w:after="40" w:before="120"/>
      </w:pPr>
      <w:r>
        <w:rPr>
          <w:rFonts w:ascii="Times New Roman" w:cs="Times New Roman" w:eastAsia="Times New Roman" w:hAnsi="Times New Roman"/>
          <w:b/>
          <w:bCs/>
          <w:sz w:val="22"/>
          <w:szCs w:val="22"/>
        </w:rPr>
        <w:t xml:space="preserve">2. Dataset</w:t>
      </w:r>
    </w:p>
    <w:p>
      <w:pPr>
        <w:spacing w:after="30" w:before="80"/>
      </w:pPr>
      <w:r>
        <w:rPr>
          <w:rFonts w:ascii="Times New Roman" w:cs="Times New Roman" w:eastAsia="Times New Roman" w:hAnsi="Times New Roman"/>
          <w:b/>
          <w:bCs/>
          <w:i/>
          <w:iCs/>
          <w:sz w:val="22"/>
          <w:szCs w:val="22"/>
        </w:rPr>
        <w:t xml:space="preserve">2.1 Source and Scale</w:t>
      </w:r>
    </w:p>
    <w:p>
      <w:pPr>
        <w:spacing w:after="60" w:before="0" w:line="252" w:lineRule="exact"/>
        <w:jc w:val="both"/>
      </w:pPr>
      <w:r>
        <w:rPr>
          <w:rFonts w:ascii="Times New Roman" w:cs="Times New Roman" w:eastAsia="Times New Roman" w:hAnsi="Times New Roman"/>
          <w:sz w:val="22"/>
          <w:szCs w:val="22"/>
        </w:rPr>
        <w:t xml:space="preserve">We use the Craigslist Used Cars dataset originally compiled by Austin Reese and hosted on Kaggle. The raw data contains 426,880 vehicle listings scraped from Craigslist across the United States, with 26 columns covering price, year, manufacturer, model, condition, fuel type, odometer reading, transmission, drive type, vehicle type, paint color, title status, and geographic coordinates, among others.</w:t>
      </w:r>
    </w:p>
    <w:p>
      <w:pPr>
        <w:spacing w:after="30" w:before="80"/>
      </w:pPr>
      <w:r>
        <w:rPr>
          <w:rFonts w:ascii="Times New Roman" w:cs="Times New Roman" w:eastAsia="Times New Roman" w:hAnsi="Times New Roman"/>
          <w:b/>
          <w:bCs/>
          <w:i/>
          <w:iCs/>
          <w:sz w:val="22"/>
          <w:szCs w:val="22"/>
        </w:rPr>
        <w:t xml:space="preserve">2.2 Preprocessing</w:t>
      </w:r>
    </w:p>
    <w:p>
      <w:pPr>
        <w:spacing w:after="60" w:before="0" w:line="252" w:lineRule="exact"/>
        <w:jc w:val="both"/>
      </w:pPr>
      <w:r>
        <w:rPr>
          <w:rFonts w:ascii="Times New Roman" w:cs="Times New Roman" w:eastAsia="Times New Roman" w:hAnsi="Times New Roman"/>
          <w:sz w:val="22"/>
          <w:szCs w:val="22"/>
        </w:rPr>
        <w:t xml:space="preserve">A non-trivial portion of the raw data requires cleaning before it is usable for modeling. The county column is entirely missing and was dropped. Columns such as VIN, image URL, and listing URL carry no predictive signal and were removed. After eliminating these and dropping rows missing critical fields (price, year, odometer, manufacturer, model), we applied the following filters:</w:t>
      </w:r>
    </w:p>
    <w:p>
      <w:pPr>
        <w:spacing w:after="40" w:before="0" w:line="252" w:lineRule="exact"/>
        <w:ind w:left="220"/>
        <w:jc w:val="both"/>
      </w:pPr>
      <w:r>
        <w:rPr>
          <w:rFonts w:ascii="Times New Roman" w:cs="Times New Roman" w:eastAsia="Times New Roman" w:hAnsi="Times New Roman"/>
          <w:sz w:val="22"/>
          <w:szCs w:val="22"/>
        </w:rPr>
        <w:t xml:space="preserve">Price: listings below $500 or above $150,000 were removed as likely data entry errors or non-standard vehicles.</w:t>
      </w:r>
    </w:p>
    <w:p>
      <w:pPr>
        <w:spacing w:after="40" w:before="0" w:line="252" w:lineRule="exact"/>
        <w:ind w:left="220"/>
        <w:jc w:val="both"/>
      </w:pPr>
      <w:r>
        <w:rPr>
          <w:rFonts w:ascii="Times New Roman" w:cs="Times New Roman" w:eastAsia="Times New Roman" w:hAnsi="Times New Roman"/>
          <w:sz w:val="22"/>
          <w:szCs w:val="22"/>
        </w:rPr>
        <w:t xml:space="preserve">Year: vehicles manufactured before 1990 were excluded to focus on the modern used car market.</w:t>
      </w:r>
    </w:p>
    <w:p>
      <w:pPr>
        <w:spacing w:after="40" w:before="0" w:line="252" w:lineRule="exact"/>
        <w:ind w:left="220"/>
        <w:jc w:val="both"/>
      </w:pPr>
      <w:r>
        <w:rPr>
          <w:rFonts w:ascii="Times New Roman" w:cs="Times New Roman" w:eastAsia="Times New Roman" w:hAnsi="Times New Roman"/>
          <w:sz w:val="22"/>
          <w:szCs w:val="22"/>
        </w:rPr>
        <w:t xml:space="preserve">Odometer: readings below 1,000 or above 400,000 miles were treated as erroneous.</w:t>
      </w:r>
    </w:p>
    <w:p>
      <w:pPr>
        <w:spacing w:after="60" w:before="0" w:line="252" w:lineRule="exact"/>
        <w:jc w:val="both"/>
      </w:pPr>
      <w:r>
        <w:rPr>
          <w:rFonts w:ascii="Times New Roman" w:cs="Times New Roman" w:eastAsia="Times New Roman" w:hAnsi="Times New Roman"/>
          <w:sz w:val="22"/>
          <w:szCs w:val="22"/>
        </w:rPr>
        <w:t xml:space="preserve">Remaining missing values in categorical columns (condition, cylinders, fuel, etc.) were imputed with the column mode. After cleaning, the dataset contains 347,641 listings.</w:t>
      </w:r>
    </w:p>
    <w:p>
      <w:pPr>
        <w:spacing w:after="30" w:before="80"/>
      </w:pPr>
      <w:r>
        <w:rPr>
          <w:rFonts w:ascii="Times New Roman" w:cs="Times New Roman" w:eastAsia="Times New Roman" w:hAnsi="Times New Roman"/>
          <w:b/>
          <w:bCs/>
          <w:i/>
          <w:iCs/>
          <w:sz w:val="22"/>
          <w:szCs w:val="22"/>
        </w:rPr>
        <w:t xml:space="preserve">2.3 Exploratory Data Analysis</w:t>
      </w:r>
    </w:p>
    <w:p>
      <w:pPr>
        <w:spacing w:after="60" w:before="0" w:line="252" w:lineRule="exact"/>
        <w:jc w:val="both"/>
      </w:pPr>
      <w:r>
        <w:rPr>
          <w:rFonts w:ascii="Times New Roman" w:cs="Times New Roman" w:eastAsia="Times New Roman" w:hAnsi="Times New Roman"/>
          <w:sz w:val="22"/>
          <w:szCs w:val="22"/>
        </w:rPr>
        <w:t xml:space="preserve">Figure 1 summarizes the distributions of key variables after cleaning. The price distribution is right-skewed, with most listings concentrated between $5,000 and $30,000 and a median of approximately $15,995—consistent with the bulk of the U.S. used car market. Car age follows a bell-shaped distribution centered around 7–10 years, reflecting the typical lifecycle of vehicles entering the secondhand market. Odometer readings peak in the 20,000–50,000 mile range and taper off gradually beyond 200,000 miles.</w:t>
      </w:r>
    </w:p>
    <w:p>
      <w:pPr>
        <w:spacing w:after="60" w:before="0" w:line="252" w:lineRule="exact"/>
        <w:jc w:val="both"/>
      </w:pPr>
      <w:r>
        <w:rPr>
          <w:rFonts w:ascii="Times New Roman" w:cs="Times New Roman" w:eastAsia="Times New Roman" w:hAnsi="Times New Roman"/>
          <w:sz w:val="22"/>
          <w:szCs w:val="22"/>
        </w:rPr>
        <w:t xml:space="preserve">The scatter plot of price versus car age (bottom right of Figure 1) reveals a clear negative relationship: newer vehicles command higher prices on average. Notably, the price range widens considerably for vehicles under five years old, reflecting high variance in near-new car pricing driven by brand and condition differences. For vehicles older than 15 years, prices converge toward a lower plateau, consistent with the flattening of the depreciation curve over time.</w:t>
      </w:r>
    </w:p>
    <w:p>
      <w:pPr>
        <w:spacing w:after="0" w:before="80"/>
        <w:jc w:val="center"/>
      </w:pPr>
      <w:r>
        <w:drawing>
          <wp:inline distT="0" distB="0" distL="0" distR="0">
            <wp:extent cx="2838450"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838450" cy="2000250"/>
                    </a:xfrm>
                    <a:prstGeom prst="rect">
                      <a:avLst/>
                    </a:prstGeom>
                  </pic:spPr>
                </pic:pic>
              </a:graphicData>
            </a:graphic>
          </wp:inline>
        </w:drawing>
      </w:r>
    </w:p>
    <w:p>
      <w:pPr>
        <w:spacing w:after="100" w:before="40"/>
        <w:jc w:val="center"/>
      </w:pPr>
      <w:r>
        <w:rPr>
          <w:rFonts w:ascii="Times New Roman" w:cs="Times New Roman" w:eastAsia="Times New Roman" w:hAnsi="Times New Roman"/>
          <w:i/>
          <w:iCs/>
          <w:sz w:val="18"/>
          <w:szCs w:val="18"/>
        </w:rPr>
        <w:t xml:space="preserve">Figure 1: Distributions of price, car age, odometer, and price vs. car age after cleaning (n = 347,641).</w:t>
      </w:r>
    </w:p>
    <w:p>
      <w:pPr>
        <w:spacing w:after="40" w:before="120"/>
      </w:pPr>
      <w:r>
        <w:rPr>
          <w:rFonts w:ascii="Times New Roman" w:cs="Times New Roman" w:eastAsia="Times New Roman" w:hAnsi="Times New Roman"/>
          <w:b/>
          <w:bCs/>
          <w:sz w:val="22"/>
          <w:szCs w:val="22"/>
        </w:rPr>
        <w:t xml:space="preserve">3. Predictive Task</w:t>
      </w:r>
    </w:p>
    <w:p>
      <w:pPr>
        <w:spacing w:after="60" w:before="0" w:line="252" w:lineRule="exact"/>
        <w:jc w:val="both"/>
      </w:pPr>
      <w:r>
        <w:rPr>
          <w:rFonts w:ascii="Times New Roman" w:cs="Times New Roman" w:eastAsia="Times New Roman" w:hAnsi="Times New Roman"/>
          <w:sz w:val="22"/>
          <w:szCs w:val="22"/>
        </w:rPr>
        <w:t xml:space="preserve">We frame this as a regression problem: given a set of vehicle attributes available at listing time, predict the listing price in U.S. dollars. The evaluation metric is Mean Absolute Error (MAE), which measures average prediction error in the same unit as the target and is robust to moderate outliers. We also report R², which captures the proportion of variance in price explained by the model.</w:t>
      </w:r>
    </w:p>
    <w:p>
      <w:pPr>
        <w:spacing w:after="60" w:before="0" w:line="252" w:lineRule="exact"/>
        <w:jc w:val="both"/>
      </w:pPr>
      <w:r>
        <w:rPr>
          <w:rFonts w:ascii="Times New Roman" w:cs="Times New Roman" w:eastAsia="Times New Roman" w:hAnsi="Times New Roman"/>
          <w:sz w:val="22"/>
          <w:szCs w:val="22"/>
        </w:rPr>
        <w:t xml:space="preserve">We compare three models. Linear Regression serves as the baseline and assumes that price is a linear combination of the input features. Random Forest is an ensemble of decision trees that can capture non-linear relationships without explicit feature transformation. XGBoost is a gradient-boosted tree method that generally offers strong performance with faster training times than standard random forests.</w:t>
      </w:r>
    </w:p>
    <w:p>
      <w:pPr>
        <w:spacing w:after="60" w:before="0" w:line="252" w:lineRule="exact"/>
        <w:jc w:val="both"/>
      </w:pPr>
      <w:r>
        <w:rPr>
          <w:rFonts w:ascii="Times New Roman" w:cs="Times New Roman" w:eastAsia="Times New Roman" w:hAnsi="Times New Roman"/>
          <w:sz w:val="22"/>
          <w:szCs w:val="22"/>
        </w:rPr>
        <w:t xml:space="preserve">Our hypothesis was that the true relationship between vehicle attributes and price is highly non-linear—for example, the depreciation curve is steep for new cars and flattens for older ones—so we expected the tree-based models to outperform linear regression by a meaningful margin.</w:t>
      </w:r>
    </w:p>
    <w:p>
      <w:pPr>
        <w:spacing w:after="40" w:before="120"/>
      </w:pPr>
      <w:r>
        <w:rPr>
          <w:rFonts w:ascii="Times New Roman" w:cs="Times New Roman" w:eastAsia="Times New Roman" w:hAnsi="Times New Roman"/>
          <w:b/>
          <w:bCs/>
          <w:sz w:val="22"/>
          <w:szCs w:val="22"/>
        </w:rPr>
        <w:t xml:space="preserve">4. Feature Engineering</w:t>
      </w:r>
    </w:p>
    <w:p>
      <w:pPr>
        <w:spacing w:after="60" w:before="0" w:line="252" w:lineRule="exact"/>
        <w:jc w:val="both"/>
      </w:pPr>
      <w:r>
        <w:rPr>
          <w:rFonts w:ascii="Times New Roman" w:cs="Times New Roman" w:eastAsia="Times New Roman" w:hAnsi="Times New Roman"/>
          <w:sz w:val="22"/>
          <w:szCs w:val="22"/>
        </w:rPr>
        <w:t xml:space="preserve">Raw columns were transformed into model-ready features as follows.</w:t>
      </w:r>
    </w:p>
    <w:p>
      <w:pPr>
        <w:spacing w:after="60" w:before="0" w:line="252" w:lineRule="exact"/>
        <w:jc w:val="both"/>
      </w:pPr>
      <w:r>
        <w:rPr>
          <w:rFonts w:ascii="Times New Roman" w:cs="Times New Roman" w:eastAsia="Times New Roman" w:hAnsi="Times New Roman"/>
          <w:sz w:val="22"/>
          <w:szCs w:val="22"/>
        </w:rPr>
        <w:t xml:space="preserve">Car age was computed as 2024 minus the model year. This is more informative than the raw year, as depreciation is a function of elapsed time rather than absolute calendar year.</w:t>
      </w:r>
    </w:p>
    <w:p>
      <w:pPr>
        <w:spacing w:after="60" w:before="0" w:line="252" w:lineRule="exact"/>
        <w:jc w:val="both"/>
      </w:pPr>
      <w:r>
        <w:rPr>
          <w:rFonts w:ascii="Times New Roman" w:cs="Times New Roman" w:eastAsia="Times New Roman" w:hAnsi="Times New Roman"/>
          <w:sz w:val="22"/>
          <w:szCs w:val="22"/>
        </w:rPr>
        <w:t xml:space="preserve">Cylinders were extracted as a numeric value from strings like '6 cylinders' using a regular expression, then median-imputed for missing entries.</w:t>
      </w:r>
    </w:p>
    <w:p>
      <w:pPr>
        <w:spacing w:after="60" w:before="0" w:line="252" w:lineRule="exact"/>
        <w:jc w:val="both"/>
      </w:pPr>
      <w:r>
        <w:rPr>
          <w:rFonts w:ascii="Times New Roman" w:cs="Times New Roman" w:eastAsia="Times New Roman" w:hAnsi="Times New Roman"/>
          <w:sz w:val="22"/>
          <w:szCs w:val="22"/>
        </w:rPr>
        <w:t xml:space="preserve">Manufacturer and state were target-encoded: each category was replaced with the mean listing price for that group computed on the training data. This approach, formalized by Micci-Barreca [5], captures the brand premium (e.g., BMW vs. Honda) and regional price variation (e.g., California vs. Mississippi) without the high-dimensional sparse vectors produced by one-hot encoding. It is particularly effective for tree-based models, which cannot easily learn from sparse categorical dummies.</w:t>
      </w:r>
    </w:p>
    <w:p>
      <w:pPr>
        <w:spacing w:after="60" w:before="0" w:line="252" w:lineRule="exact"/>
        <w:jc w:val="both"/>
      </w:pPr>
      <w:r>
        <w:rPr>
          <w:rFonts w:ascii="Times New Roman" w:cs="Times New Roman" w:eastAsia="Times New Roman" w:hAnsi="Times New Roman"/>
          <w:sz w:val="22"/>
          <w:szCs w:val="22"/>
        </w:rPr>
        <w:t xml:space="preserve">Categorical columns with moderate cardinality (condition, fuel, transmission, drive, size, type, paint color, title status) were label-encoded. Posting month was extracted from the listing date to capture potential seasonal pricing effects. The final feature matrix has 14 columns and 347,641 rows, with no missing values.</w:t>
      </w:r>
    </w:p>
    <w:p>
      <w:pPr>
        <w:spacing w:after="40" w:before="120"/>
      </w:pPr>
      <w:r>
        <w:rPr>
          <w:rFonts w:ascii="Times New Roman" w:cs="Times New Roman" w:eastAsia="Times New Roman" w:hAnsi="Times New Roman"/>
          <w:b/>
          <w:bCs/>
          <w:sz w:val="22"/>
          <w:szCs w:val="22"/>
        </w:rPr>
        <w:t xml:space="preserve">5. Models</w:t>
      </w:r>
    </w:p>
    <w:p>
      <w:pPr>
        <w:spacing w:after="30" w:before="80"/>
      </w:pPr>
      <w:r>
        <w:rPr>
          <w:rFonts w:ascii="Times New Roman" w:cs="Times New Roman" w:eastAsia="Times New Roman" w:hAnsi="Times New Roman"/>
          <w:b/>
          <w:bCs/>
          <w:i/>
          <w:iCs/>
          <w:sz w:val="22"/>
          <w:szCs w:val="22"/>
        </w:rPr>
        <w:t xml:space="preserve">5.1 Linear Regression</w:t>
      </w:r>
    </w:p>
    <w:p>
      <w:pPr>
        <w:spacing w:after="60" w:before="0" w:line="252" w:lineRule="exact"/>
        <w:jc w:val="both"/>
      </w:pPr>
      <w:r>
        <w:rPr>
          <w:rFonts w:ascii="Times New Roman" w:cs="Times New Roman" w:eastAsia="Times New Roman" w:hAnsi="Times New Roman"/>
          <w:sz w:val="22"/>
          <w:szCs w:val="22"/>
        </w:rPr>
        <w:t xml:space="preserve">We train an ordinary least squares linear regression model as the baseline. Linear regression is easy to interpret and fast to train, but it cannot capture interactions between features or non-linear price effects unless those are manually engineered.</w:t>
      </w:r>
    </w:p>
    <w:p>
      <w:pPr>
        <w:spacing w:after="30" w:before="80"/>
      </w:pPr>
      <w:r>
        <w:rPr>
          <w:rFonts w:ascii="Times New Roman" w:cs="Times New Roman" w:eastAsia="Times New Roman" w:hAnsi="Times New Roman"/>
          <w:b/>
          <w:bCs/>
          <w:i/>
          <w:iCs/>
          <w:sz w:val="22"/>
          <w:szCs w:val="22"/>
        </w:rPr>
        <w:t xml:space="preserve">5.2 Random Forest</w:t>
      </w:r>
    </w:p>
    <w:p>
      <w:pPr>
        <w:spacing w:after="60" w:before="0" w:line="252" w:lineRule="exact"/>
        <w:jc w:val="both"/>
      </w:pPr>
      <w:r>
        <w:rPr>
          <w:rFonts w:ascii="Times New Roman" w:cs="Times New Roman" w:eastAsia="Times New Roman" w:hAnsi="Times New Roman"/>
          <w:sz w:val="22"/>
          <w:szCs w:val="22"/>
        </w:rPr>
        <w:t xml:space="preserve">We train a Random Forest with 100 trees and a maximum depth of 15. Random forests average the predictions of many independent decision trees trained on bootstrap samples, which reduces variance and typically produces robust generalization. The n_jobs=-1 setting uses all available CPU cores to parallelize training.</w:t>
      </w:r>
    </w:p>
    <w:p>
      <w:pPr>
        <w:spacing w:after="30" w:before="80"/>
      </w:pPr>
      <w:r>
        <w:rPr>
          <w:rFonts w:ascii="Times New Roman" w:cs="Times New Roman" w:eastAsia="Times New Roman" w:hAnsi="Times New Roman"/>
          <w:b/>
          <w:bCs/>
          <w:i/>
          <w:iCs/>
          <w:sz w:val="22"/>
          <w:szCs w:val="22"/>
        </w:rPr>
        <w:t xml:space="preserve">5.3 XGBoost</w:t>
      </w:r>
    </w:p>
    <w:p>
      <w:pPr>
        <w:spacing w:after="60" w:before="0" w:line="252" w:lineRule="exact"/>
        <w:jc w:val="both"/>
      </w:pPr>
      <w:r>
        <w:rPr>
          <w:rFonts w:ascii="Times New Roman" w:cs="Times New Roman" w:eastAsia="Times New Roman" w:hAnsi="Times New Roman"/>
          <w:sz w:val="22"/>
          <w:szCs w:val="22"/>
        </w:rPr>
        <w:t xml:space="preserve">XGBoost builds trees sequentially, where each tree corrects the residual errors of the previous ensemble. We use 300 estimators, a learning rate of 0.1, and a maximum depth of 7. Compared to Random Forest, XGBoost trains approximately five times faster on this dataset while achieving nearly identical accuracy, making it the preferred model for further tuning.</w:t>
      </w:r>
    </w:p>
    <w:p>
      <w:pPr>
        <w:spacing w:after="40" w:before="120"/>
      </w:pPr>
      <w:r>
        <w:rPr>
          <w:rFonts w:ascii="Times New Roman" w:cs="Times New Roman" w:eastAsia="Times New Roman" w:hAnsi="Times New Roman"/>
          <w:b/>
          <w:bCs/>
          <w:sz w:val="22"/>
          <w:szCs w:val="22"/>
        </w:rPr>
        <w:t xml:space="preserve">6. Results</w:t>
      </w:r>
    </w:p>
    <w:p>
      <w:pPr>
        <w:spacing w:after="30" w:before="80"/>
      </w:pPr>
      <w:r>
        <w:rPr>
          <w:rFonts w:ascii="Times New Roman" w:cs="Times New Roman" w:eastAsia="Times New Roman" w:hAnsi="Times New Roman"/>
          <w:b/>
          <w:bCs/>
          <w:i/>
          <w:iCs/>
          <w:sz w:val="22"/>
          <w:szCs w:val="22"/>
        </w:rPr>
        <w:t xml:space="preserve">6.1 Model Comparison</w:t>
      </w:r>
    </w:p>
    <w:p>
      <w:pPr>
        <w:spacing w:after="60" w:before="0" w:line="252" w:lineRule="exact"/>
        <w:jc w:val="both"/>
      </w:pPr>
      <w:r>
        <w:rPr>
          <w:rFonts w:ascii="Times New Roman" w:cs="Times New Roman" w:eastAsia="Times New Roman" w:hAnsi="Times New Roman"/>
          <w:sz w:val="22"/>
          <w:szCs w:val="22"/>
        </w:rPr>
        <w:t xml:space="preserve">Table 1 summarizes the performance of all three models on the held-out test set (20% of the data, approximately 69,500 listings).</w:t>
      </w:r>
    </w:p>
    <w:tbl>
      <w:tblPr>
        <w:tblW w:type="dxa" w:w="4700"/>
        <w:tblBorders>
          <w:top w:val="single" w:color="auto" w:sz="4"/>
          <w:left w:val="single" w:color="auto" w:sz="4"/>
          <w:bottom w:val="single" w:color="auto" w:sz="4"/>
          <w:right w:val="single" w:color="auto" w:sz="4"/>
          <w:insideH w:val="single" w:color="auto" w:sz="4"/>
          <w:insideV w:val="single" w:color="auto" w:sz="4"/>
        </w:tblBorders>
      </w:tblPr>
      <w:tblGrid>
        <w:gridCol w:w="1700"/>
        <w:gridCol w:w="1100"/>
        <w:gridCol w:w="900"/>
        <w:gridCol w:w="1000"/>
      </w:tblGrid>
      <w:tr>
        <w:tc>
          <w:tcPr>
            <w:tcW w:type="dxa" w:w="1700"/>
            <w:tcBorders>
              <w:top w:val="single" w:color="AAAAAA" w:sz="1"/>
              <w:left w:val="single" w:color="AAAAAA" w:sz="1"/>
              <w:bottom w:val="single" w:color="AAAAAA" w:sz="1"/>
              <w:right w:val="single" w:color="AAAAAA" w:sz="1"/>
            </w:tcBorders>
            <w:shd w:fill="D9E2F3" w:val="clear"/>
            <w:tcMar>
              <w:top w:type="dxa" w:w="60"/>
              <w:left w:type="dxa" w:w="80"/>
              <w:bottom w:type="dxa" w:w="60"/>
              <w:right w:type="dxa" w:w="80"/>
            </w:tcMar>
          </w:tcPr>
          <w:p>
            <w:pPr>
              <w:jc w:val="center"/>
            </w:pPr>
            <w:r>
              <w:rPr>
                <w:rFonts w:ascii="Times New Roman" w:cs="Times New Roman" w:eastAsia="Times New Roman" w:hAnsi="Times New Roman"/>
                <w:b/>
                <w:bCs/>
                <w:sz w:val="18"/>
                <w:szCs w:val="18"/>
              </w:rPr>
              <w:t xml:space="preserve">Model</w:t>
            </w:r>
          </w:p>
        </w:tc>
        <w:tc>
          <w:tcPr>
            <w:tcW w:type="dxa" w:w="1100"/>
            <w:tcBorders>
              <w:top w:val="single" w:color="AAAAAA" w:sz="1"/>
              <w:left w:val="single" w:color="AAAAAA" w:sz="1"/>
              <w:bottom w:val="single" w:color="AAAAAA" w:sz="1"/>
              <w:right w:val="single" w:color="AAAAAA" w:sz="1"/>
            </w:tcBorders>
            <w:shd w:fill="D9E2F3" w:val="clear"/>
            <w:tcMar>
              <w:top w:type="dxa" w:w="60"/>
              <w:left w:type="dxa" w:w="80"/>
              <w:bottom w:type="dxa" w:w="60"/>
              <w:right w:type="dxa" w:w="80"/>
            </w:tcMar>
          </w:tcPr>
          <w:p>
            <w:pPr>
              <w:jc w:val="center"/>
            </w:pPr>
            <w:r>
              <w:rPr>
                <w:rFonts w:ascii="Times New Roman" w:cs="Times New Roman" w:eastAsia="Times New Roman" w:hAnsi="Times New Roman"/>
                <w:b/>
                <w:bCs/>
                <w:sz w:val="18"/>
                <w:szCs w:val="18"/>
              </w:rPr>
              <w:t xml:space="preserve">MAE ($)</w:t>
            </w:r>
          </w:p>
        </w:tc>
        <w:tc>
          <w:tcPr>
            <w:tcW w:type="dxa" w:w="900"/>
            <w:tcBorders>
              <w:top w:val="single" w:color="AAAAAA" w:sz="1"/>
              <w:left w:val="single" w:color="AAAAAA" w:sz="1"/>
              <w:bottom w:val="single" w:color="AAAAAA" w:sz="1"/>
              <w:right w:val="single" w:color="AAAAAA" w:sz="1"/>
            </w:tcBorders>
            <w:shd w:fill="D9E2F3" w:val="clear"/>
            <w:tcMar>
              <w:top w:type="dxa" w:w="60"/>
              <w:left w:type="dxa" w:w="80"/>
              <w:bottom w:type="dxa" w:w="60"/>
              <w:right w:type="dxa" w:w="80"/>
            </w:tcMar>
          </w:tcPr>
          <w:p>
            <w:pPr>
              <w:jc w:val="center"/>
            </w:pPr>
            <w:r>
              <w:rPr>
                <w:rFonts w:ascii="Times New Roman" w:cs="Times New Roman" w:eastAsia="Times New Roman" w:hAnsi="Times New Roman"/>
                <w:b/>
                <w:bCs/>
                <w:sz w:val="18"/>
                <w:szCs w:val="18"/>
              </w:rPr>
              <w:t xml:space="preserve">R²</w:t>
            </w:r>
          </w:p>
        </w:tc>
        <w:tc>
          <w:tcPr>
            <w:tcW w:type="dxa" w:w="1000"/>
            <w:tcBorders>
              <w:top w:val="single" w:color="AAAAAA" w:sz="1"/>
              <w:left w:val="single" w:color="AAAAAA" w:sz="1"/>
              <w:bottom w:val="single" w:color="AAAAAA" w:sz="1"/>
              <w:right w:val="single" w:color="AAAAAA" w:sz="1"/>
            </w:tcBorders>
            <w:shd w:fill="D9E2F3" w:val="clear"/>
            <w:tcMar>
              <w:top w:type="dxa" w:w="60"/>
              <w:left w:type="dxa" w:w="80"/>
              <w:bottom w:type="dxa" w:w="60"/>
              <w:right w:type="dxa" w:w="80"/>
            </w:tcMar>
          </w:tcPr>
          <w:p>
            <w:pPr>
              <w:jc w:val="center"/>
            </w:pPr>
            <w:r>
              <w:rPr>
                <w:rFonts w:ascii="Times New Roman" w:cs="Times New Roman" w:eastAsia="Times New Roman" w:hAnsi="Times New Roman"/>
                <w:b/>
                <w:bCs/>
                <w:sz w:val="18"/>
                <w:szCs w:val="18"/>
              </w:rPr>
              <w:t xml:space="preserve">Time (s)</w:t>
            </w:r>
          </w:p>
        </w:tc>
      </w:tr>
      <w:tr>
        <w:tc>
          <w:tcPr>
            <w:tcW w:type="dxa" w:w="17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Linear Regression</w:t>
            </w:r>
          </w:p>
        </w:tc>
        <w:tc>
          <w:tcPr>
            <w:tcW w:type="dxa" w:w="11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6,395.67</w:t>
            </w:r>
          </w:p>
        </w:tc>
        <w:tc>
          <w:tcPr>
            <w:tcW w:type="dxa" w:w="9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0.5913</w:t>
            </w:r>
          </w:p>
        </w:tc>
        <w:tc>
          <w:tcPr>
            <w:tcW w:type="dxa" w:w="10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0.07</w:t>
            </w:r>
          </w:p>
        </w:tc>
      </w:tr>
      <w:tr>
        <w:tc>
          <w:tcPr>
            <w:tcW w:type="dxa" w:w="1700"/>
            <w:tcBorders>
              <w:top w:val="single" w:color="AAAAAA" w:sz="1"/>
              <w:left w:val="single" w:color="AAAAAA" w:sz="1"/>
              <w:bottom w:val="single" w:color="AAAAAA" w:sz="1"/>
              <w:right w:val="single" w:color="AAAAAA" w:sz="1"/>
            </w:tcBorders>
            <w:shd w:fill="F5F7FA" w:val="clear"/>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Random Forest</w:t>
            </w:r>
          </w:p>
        </w:tc>
        <w:tc>
          <w:tcPr>
            <w:tcW w:type="dxa" w:w="1100"/>
            <w:tcBorders>
              <w:top w:val="single" w:color="AAAAAA" w:sz="1"/>
              <w:left w:val="single" w:color="AAAAAA" w:sz="1"/>
              <w:bottom w:val="single" w:color="AAAAAA" w:sz="1"/>
              <w:right w:val="single" w:color="AAAAAA" w:sz="1"/>
            </w:tcBorders>
            <w:shd w:fill="F5F7FA" w:val="clear"/>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3,342.62</w:t>
            </w:r>
          </w:p>
        </w:tc>
        <w:tc>
          <w:tcPr>
            <w:tcW w:type="dxa" w:w="900"/>
            <w:tcBorders>
              <w:top w:val="single" w:color="AAAAAA" w:sz="1"/>
              <w:left w:val="single" w:color="AAAAAA" w:sz="1"/>
              <w:bottom w:val="single" w:color="AAAAAA" w:sz="1"/>
              <w:right w:val="single" w:color="AAAAAA" w:sz="1"/>
            </w:tcBorders>
            <w:shd w:fill="F5F7FA" w:val="clear"/>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0.8358</w:t>
            </w:r>
          </w:p>
        </w:tc>
        <w:tc>
          <w:tcPr>
            <w:tcW w:type="dxa" w:w="1000"/>
            <w:tcBorders>
              <w:top w:val="single" w:color="AAAAAA" w:sz="1"/>
              <w:left w:val="single" w:color="AAAAAA" w:sz="1"/>
              <w:bottom w:val="single" w:color="AAAAAA" w:sz="1"/>
              <w:right w:val="single" w:color="AAAAAA" w:sz="1"/>
            </w:tcBorders>
            <w:shd w:fill="F5F7FA" w:val="clear"/>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8.19</w:t>
            </w:r>
          </w:p>
        </w:tc>
      </w:tr>
      <w:tr>
        <w:tc>
          <w:tcPr>
            <w:tcW w:type="dxa" w:w="17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XGBoost</w:t>
            </w:r>
          </w:p>
        </w:tc>
        <w:tc>
          <w:tcPr>
            <w:tcW w:type="dxa" w:w="11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3,446.23</w:t>
            </w:r>
          </w:p>
        </w:tc>
        <w:tc>
          <w:tcPr>
            <w:tcW w:type="dxa" w:w="9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0.8337</w:t>
            </w:r>
          </w:p>
        </w:tc>
        <w:tc>
          <w:tcPr>
            <w:tcW w:type="dxa" w:w="10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1.51</w:t>
            </w:r>
          </w:p>
        </w:tc>
      </w:tr>
    </w:tbl>
    <w:p>
      <w:pPr>
        <w:spacing w:after="80" w:before="40"/>
        <w:jc w:val="center"/>
      </w:pPr>
      <w:r>
        <w:rPr>
          <w:rFonts w:ascii="Times New Roman" w:cs="Times New Roman" w:eastAsia="Times New Roman" w:hAnsi="Times New Roman"/>
          <w:i/>
          <w:iCs/>
          <w:sz w:val="18"/>
          <w:szCs w:val="18"/>
        </w:rPr>
        <w:t xml:space="preserve">Table 1: Model performance on the test set.</w:t>
      </w:r>
    </w:p>
    <w:p>
      <w:pPr>
        <w:spacing w:after="60" w:before="0" w:line="252" w:lineRule="exact"/>
        <w:jc w:val="both"/>
      </w:pPr>
      <w:r>
        <w:rPr>
          <w:rFonts w:ascii="Times New Roman" w:cs="Times New Roman" w:eastAsia="Times New Roman" w:hAnsi="Times New Roman"/>
          <w:sz w:val="22"/>
          <w:szCs w:val="22"/>
        </w:rPr>
        <w:t xml:space="preserve">The linear model explains roughly 60% of price variance but its MAE of over $6,000 makes it impractical for real-world use. Both ensemble methods roughly halve the MAE. Random Forest and XGBoost perform nearly identically in accuracy, with XGBoost finishing in 1.5 seconds versus 8.2 seconds for Random Forest. This speed advantage makes XGBoost more practical for hyperparameter tuning and deployment. The large gap between the linear model and the ensemble methods confirms our hypothesis: vehicle price is driven by non-linear feature interactions that a linear model cannot capture without extensive manual engineering.</w:t>
      </w:r>
    </w:p>
    <w:p>
      <w:pPr>
        <w:spacing w:after="30" w:before="80"/>
      </w:pPr>
      <w:r>
        <w:rPr>
          <w:rFonts w:ascii="Times New Roman" w:cs="Times New Roman" w:eastAsia="Times New Roman" w:hAnsi="Times New Roman"/>
          <w:b/>
          <w:bCs/>
          <w:i/>
          <w:iCs/>
          <w:sz w:val="22"/>
          <w:szCs w:val="22"/>
        </w:rPr>
        <w:t xml:space="preserve">6.2 Ablation Study</w:t>
      </w:r>
    </w:p>
    <w:p>
      <w:pPr>
        <w:spacing w:after="60" w:before="0" w:line="252" w:lineRule="exact"/>
        <w:jc w:val="both"/>
      </w:pPr>
      <w:r>
        <w:rPr>
          <w:rFonts w:ascii="Times New Roman" w:cs="Times New Roman" w:eastAsia="Times New Roman" w:hAnsi="Times New Roman"/>
          <w:sz w:val="22"/>
          <w:szCs w:val="22"/>
        </w:rPr>
        <w:t xml:space="preserve">To quantify which features matter most, we replaced each feature with its mean value across the test set and measured the resulting increase in MAE. Table 2 shows results for all 14 features.</w:t>
      </w:r>
    </w:p>
    <w:tbl>
      <w:tblPr>
        <w:tblW w:type="dxa" w:w="390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900"/>
      </w:tblGrid>
      <w:tr>
        <w:tc>
          <w:tcPr>
            <w:tcW w:type="dxa" w:w="1800"/>
            <w:tcBorders>
              <w:top w:val="single" w:color="AAAAAA" w:sz="1"/>
              <w:left w:val="single" w:color="AAAAAA" w:sz="1"/>
              <w:bottom w:val="single" w:color="AAAAAA" w:sz="1"/>
              <w:right w:val="single" w:color="AAAAAA" w:sz="1"/>
            </w:tcBorders>
            <w:shd w:fill="D9E2F3" w:val="clear"/>
            <w:tcMar>
              <w:top w:type="dxa" w:w="60"/>
              <w:left w:type="dxa" w:w="80"/>
              <w:bottom w:type="dxa" w:w="60"/>
              <w:right w:type="dxa" w:w="80"/>
            </w:tcMar>
          </w:tcPr>
          <w:p>
            <w:pPr>
              <w:jc w:val="center"/>
            </w:pPr>
            <w:r>
              <w:rPr>
                <w:rFonts w:ascii="Times New Roman" w:cs="Times New Roman" w:eastAsia="Times New Roman" w:hAnsi="Times New Roman"/>
                <w:b/>
                <w:bCs/>
                <w:sz w:val="18"/>
                <w:szCs w:val="18"/>
              </w:rPr>
              <w:t xml:space="preserve">Feature Removed</w:t>
            </w:r>
          </w:p>
        </w:tc>
        <w:tc>
          <w:tcPr>
            <w:tcW w:type="dxa" w:w="1200"/>
            <w:tcBorders>
              <w:top w:val="single" w:color="AAAAAA" w:sz="1"/>
              <w:left w:val="single" w:color="AAAAAA" w:sz="1"/>
              <w:bottom w:val="single" w:color="AAAAAA" w:sz="1"/>
              <w:right w:val="single" w:color="AAAAAA" w:sz="1"/>
            </w:tcBorders>
            <w:shd w:fill="D9E2F3" w:val="clear"/>
            <w:tcMar>
              <w:top w:type="dxa" w:w="60"/>
              <w:left w:type="dxa" w:w="80"/>
              <w:bottom w:type="dxa" w:w="60"/>
              <w:right w:type="dxa" w:w="80"/>
            </w:tcMar>
          </w:tcPr>
          <w:p>
            <w:pPr>
              <w:jc w:val="center"/>
            </w:pPr>
            <w:r>
              <w:rPr>
                <w:rFonts w:ascii="Times New Roman" w:cs="Times New Roman" w:eastAsia="Times New Roman" w:hAnsi="Times New Roman"/>
                <w:b/>
                <w:bCs/>
                <w:sz w:val="18"/>
                <w:szCs w:val="18"/>
              </w:rPr>
              <w:t xml:space="preserve">MAE ($)</w:t>
            </w:r>
          </w:p>
        </w:tc>
        <w:tc>
          <w:tcPr>
            <w:tcW w:type="dxa" w:w="900"/>
            <w:tcBorders>
              <w:top w:val="single" w:color="AAAAAA" w:sz="1"/>
              <w:left w:val="single" w:color="AAAAAA" w:sz="1"/>
              <w:bottom w:val="single" w:color="AAAAAA" w:sz="1"/>
              <w:right w:val="single" w:color="AAAAAA" w:sz="1"/>
            </w:tcBorders>
            <w:shd w:fill="D9E2F3" w:val="clear"/>
            <w:tcMar>
              <w:top w:type="dxa" w:w="60"/>
              <w:left w:type="dxa" w:w="80"/>
              <w:bottom w:type="dxa" w:w="60"/>
              <w:right w:type="dxa" w:w="80"/>
            </w:tcMar>
          </w:tcPr>
          <w:p>
            <w:pPr>
              <w:jc w:val="center"/>
            </w:pPr>
            <w:r>
              <w:rPr>
                <w:rFonts w:ascii="Times New Roman" w:cs="Times New Roman" w:eastAsia="Times New Roman" w:hAnsi="Times New Roman"/>
                <w:b/>
                <w:bCs/>
                <w:sz w:val="18"/>
                <w:szCs w:val="18"/>
              </w:rPr>
              <w:t xml:space="preserve">Δ ($)</w:t>
            </w:r>
          </w:p>
        </w:tc>
      </w:tr>
      <w:tr>
        <w:tc>
          <w:tcPr>
            <w:tcW w:type="dxa" w:w="18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car_age</w:t>
            </w:r>
          </w:p>
        </w:tc>
        <w:tc>
          <w:tcPr>
            <w:tcW w:type="dxa" w:w="12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6,338.48</w:t>
            </w:r>
          </w:p>
        </w:tc>
        <w:tc>
          <w:tcPr>
            <w:tcW w:type="dxa" w:w="9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+2,892</w:t>
            </w:r>
          </w:p>
        </w:tc>
      </w:tr>
      <w:tr>
        <w:tc>
          <w:tcPr>
            <w:tcW w:type="dxa" w:w="1800"/>
            <w:tcBorders>
              <w:top w:val="single" w:color="AAAAAA" w:sz="1"/>
              <w:left w:val="single" w:color="AAAAAA" w:sz="1"/>
              <w:bottom w:val="single" w:color="AAAAAA" w:sz="1"/>
              <w:right w:val="single" w:color="AAAAAA" w:sz="1"/>
            </w:tcBorders>
            <w:shd w:fill="F5F7FA" w:val="clear"/>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odometer</w:t>
            </w:r>
          </w:p>
        </w:tc>
        <w:tc>
          <w:tcPr>
            <w:tcW w:type="dxa" w:w="1200"/>
            <w:tcBorders>
              <w:top w:val="single" w:color="AAAAAA" w:sz="1"/>
              <w:left w:val="single" w:color="AAAAAA" w:sz="1"/>
              <w:bottom w:val="single" w:color="AAAAAA" w:sz="1"/>
              <w:right w:val="single" w:color="AAAAAA" w:sz="1"/>
            </w:tcBorders>
            <w:shd w:fill="F5F7FA" w:val="clear"/>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5,113.82</w:t>
            </w:r>
          </w:p>
        </w:tc>
        <w:tc>
          <w:tcPr>
            <w:tcW w:type="dxa" w:w="900"/>
            <w:tcBorders>
              <w:top w:val="single" w:color="AAAAAA" w:sz="1"/>
              <w:left w:val="single" w:color="AAAAAA" w:sz="1"/>
              <w:bottom w:val="single" w:color="AAAAAA" w:sz="1"/>
              <w:right w:val="single" w:color="AAAAAA" w:sz="1"/>
            </w:tcBorders>
            <w:shd w:fill="F5F7FA" w:val="clear"/>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+1,668</w:t>
            </w:r>
          </w:p>
        </w:tc>
      </w:tr>
      <w:tr>
        <w:tc>
          <w:tcPr>
            <w:tcW w:type="dxa" w:w="18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condition_enc</w:t>
            </w:r>
          </w:p>
        </w:tc>
        <w:tc>
          <w:tcPr>
            <w:tcW w:type="dxa" w:w="12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4,918.06</w:t>
            </w:r>
          </w:p>
        </w:tc>
        <w:tc>
          <w:tcPr>
            <w:tcW w:type="dxa" w:w="9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+1,472</w:t>
            </w:r>
          </w:p>
        </w:tc>
      </w:tr>
      <w:tr>
        <w:tc>
          <w:tcPr>
            <w:tcW w:type="dxa" w:w="1800"/>
            <w:tcBorders>
              <w:top w:val="single" w:color="AAAAAA" w:sz="1"/>
              <w:left w:val="single" w:color="AAAAAA" w:sz="1"/>
              <w:bottom w:val="single" w:color="AAAAAA" w:sz="1"/>
              <w:right w:val="single" w:color="AAAAAA" w:sz="1"/>
            </w:tcBorders>
            <w:shd w:fill="F5F7FA" w:val="clear"/>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type_enc</w:t>
            </w:r>
          </w:p>
        </w:tc>
        <w:tc>
          <w:tcPr>
            <w:tcW w:type="dxa" w:w="1200"/>
            <w:tcBorders>
              <w:top w:val="single" w:color="AAAAAA" w:sz="1"/>
              <w:left w:val="single" w:color="AAAAAA" w:sz="1"/>
              <w:bottom w:val="single" w:color="AAAAAA" w:sz="1"/>
              <w:right w:val="single" w:color="AAAAAA" w:sz="1"/>
            </w:tcBorders>
            <w:shd w:fill="F5F7FA" w:val="clear"/>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4,838.14</w:t>
            </w:r>
          </w:p>
        </w:tc>
        <w:tc>
          <w:tcPr>
            <w:tcW w:type="dxa" w:w="900"/>
            <w:tcBorders>
              <w:top w:val="single" w:color="AAAAAA" w:sz="1"/>
              <w:left w:val="single" w:color="AAAAAA" w:sz="1"/>
              <w:bottom w:val="single" w:color="AAAAAA" w:sz="1"/>
              <w:right w:val="single" w:color="AAAAAA" w:sz="1"/>
            </w:tcBorders>
            <w:shd w:fill="F5F7FA" w:val="clear"/>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+1,392</w:t>
            </w:r>
          </w:p>
        </w:tc>
      </w:tr>
      <w:tr>
        <w:tc>
          <w:tcPr>
            <w:tcW w:type="dxa" w:w="18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cylinders_num</w:t>
            </w:r>
          </w:p>
        </w:tc>
        <w:tc>
          <w:tcPr>
            <w:tcW w:type="dxa" w:w="12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4,793.16</w:t>
            </w:r>
          </w:p>
        </w:tc>
        <w:tc>
          <w:tcPr>
            <w:tcW w:type="dxa" w:w="9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+1,347</w:t>
            </w:r>
          </w:p>
        </w:tc>
      </w:tr>
      <w:tr>
        <w:tc>
          <w:tcPr>
            <w:tcW w:type="dxa" w:w="1800"/>
            <w:tcBorders>
              <w:top w:val="single" w:color="AAAAAA" w:sz="1"/>
              <w:left w:val="single" w:color="AAAAAA" w:sz="1"/>
              <w:bottom w:val="single" w:color="AAAAAA" w:sz="1"/>
              <w:right w:val="single" w:color="AAAAAA" w:sz="1"/>
            </w:tcBorders>
            <w:shd w:fill="F5F7FA" w:val="clear"/>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manufacturer_enc</w:t>
            </w:r>
          </w:p>
        </w:tc>
        <w:tc>
          <w:tcPr>
            <w:tcW w:type="dxa" w:w="1200"/>
            <w:tcBorders>
              <w:top w:val="single" w:color="AAAAAA" w:sz="1"/>
              <w:left w:val="single" w:color="AAAAAA" w:sz="1"/>
              <w:bottom w:val="single" w:color="AAAAAA" w:sz="1"/>
              <w:right w:val="single" w:color="AAAAAA" w:sz="1"/>
            </w:tcBorders>
            <w:shd w:fill="F5F7FA" w:val="clear"/>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4,597.51</w:t>
            </w:r>
          </w:p>
        </w:tc>
        <w:tc>
          <w:tcPr>
            <w:tcW w:type="dxa" w:w="900"/>
            <w:tcBorders>
              <w:top w:val="single" w:color="AAAAAA" w:sz="1"/>
              <w:left w:val="single" w:color="AAAAAA" w:sz="1"/>
              <w:bottom w:val="single" w:color="AAAAAA" w:sz="1"/>
              <w:right w:val="single" w:color="AAAAAA" w:sz="1"/>
            </w:tcBorders>
            <w:shd w:fill="F5F7FA" w:val="clear"/>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+1,151</w:t>
            </w:r>
          </w:p>
        </w:tc>
      </w:tr>
      <w:tr>
        <w:tc>
          <w:tcPr>
            <w:tcW w:type="dxa" w:w="18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fuel_enc</w:t>
            </w:r>
          </w:p>
        </w:tc>
        <w:tc>
          <w:tcPr>
            <w:tcW w:type="dxa" w:w="12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4,061.24</w:t>
            </w:r>
          </w:p>
        </w:tc>
        <w:tc>
          <w:tcPr>
            <w:tcW w:type="dxa" w:w="9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+615</w:t>
            </w:r>
          </w:p>
        </w:tc>
      </w:tr>
      <w:tr>
        <w:tc>
          <w:tcPr>
            <w:tcW w:type="dxa" w:w="1800"/>
            <w:tcBorders>
              <w:top w:val="single" w:color="AAAAAA" w:sz="1"/>
              <w:left w:val="single" w:color="AAAAAA" w:sz="1"/>
              <w:bottom w:val="single" w:color="AAAAAA" w:sz="1"/>
              <w:right w:val="single" w:color="AAAAAA" w:sz="1"/>
            </w:tcBorders>
            <w:shd w:fill="F5F7FA" w:val="clear"/>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drive_enc</w:t>
            </w:r>
          </w:p>
        </w:tc>
        <w:tc>
          <w:tcPr>
            <w:tcW w:type="dxa" w:w="1200"/>
            <w:tcBorders>
              <w:top w:val="single" w:color="AAAAAA" w:sz="1"/>
              <w:left w:val="single" w:color="AAAAAA" w:sz="1"/>
              <w:bottom w:val="single" w:color="AAAAAA" w:sz="1"/>
              <w:right w:val="single" w:color="AAAAAA" w:sz="1"/>
            </w:tcBorders>
            <w:shd w:fill="F5F7FA" w:val="clear"/>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3,832.03</w:t>
            </w:r>
          </w:p>
        </w:tc>
        <w:tc>
          <w:tcPr>
            <w:tcW w:type="dxa" w:w="900"/>
            <w:tcBorders>
              <w:top w:val="single" w:color="AAAAAA" w:sz="1"/>
              <w:left w:val="single" w:color="AAAAAA" w:sz="1"/>
              <w:bottom w:val="single" w:color="AAAAAA" w:sz="1"/>
              <w:right w:val="single" w:color="AAAAAA" w:sz="1"/>
            </w:tcBorders>
            <w:shd w:fill="F5F7FA" w:val="clear"/>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+386</w:t>
            </w:r>
          </w:p>
        </w:tc>
      </w:tr>
      <w:tr>
        <w:tc>
          <w:tcPr>
            <w:tcW w:type="dxa" w:w="18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transmission_enc</w:t>
            </w:r>
          </w:p>
        </w:tc>
        <w:tc>
          <w:tcPr>
            <w:tcW w:type="dxa" w:w="12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3,871.78</w:t>
            </w:r>
          </w:p>
        </w:tc>
        <w:tc>
          <w:tcPr>
            <w:tcW w:type="dxa" w:w="9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+426</w:t>
            </w:r>
          </w:p>
        </w:tc>
      </w:tr>
      <w:tr>
        <w:tc>
          <w:tcPr>
            <w:tcW w:type="dxa" w:w="1800"/>
            <w:tcBorders>
              <w:top w:val="single" w:color="AAAAAA" w:sz="1"/>
              <w:left w:val="single" w:color="AAAAAA" w:sz="1"/>
              <w:bottom w:val="single" w:color="AAAAAA" w:sz="1"/>
              <w:right w:val="single" w:color="AAAAAA" w:sz="1"/>
            </w:tcBorders>
            <w:shd w:fill="F5F7FA" w:val="clear"/>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paint_color_enc</w:t>
            </w:r>
          </w:p>
        </w:tc>
        <w:tc>
          <w:tcPr>
            <w:tcW w:type="dxa" w:w="1200"/>
            <w:tcBorders>
              <w:top w:val="single" w:color="AAAAAA" w:sz="1"/>
              <w:left w:val="single" w:color="AAAAAA" w:sz="1"/>
              <w:bottom w:val="single" w:color="AAAAAA" w:sz="1"/>
              <w:right w:val="single" w:color="AAAAAA" w:sz="1"/>
            </w:tcBorders>
            <w:shd w:fill="F5F7FA" w:val="clear"/>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3,543.16</w:t>
            </w:r>
          </w:p>
        </w:tc>
        <w:tc>
          <w:tcPr>
            <w:tcW w:type="dxa" w:w="900"/>
            <w:tcBorders>
              <w:top w:val="single" w:color="AAAAAA" w:sz="1"/>
              <w:left w:val="single" w:color="AAAAAA" w:sz="1"/>
              <w:bottom w:val="single" w:color="AAAAAA" w:sz="1"/>
              <w:right w:val="single" w:color="AAAAAA" w:sz="1"/>
            </w:tcBorders>
            <w:shd w:fill="F5F7FA" w:val="clear"/>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+97</w:t>
            </w:r>
          </w:p>
        </w:tc>
      </w:tr>
      <w:tr>
        <w:tc>
          <w:tcPr>
            <w:tcW w:type="dxa" w:w="18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posting_month</w:t>
            </w:r>
          </w:p>
        </w:tc>
        <w:tc>
          <w:tcPr>
            <w:tcW w:type="dxa" w:w="12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3,461.99</w:t>
            </w:r>
          </w:p>
        </w:tc>
        <w:tc>
          <w:tcPr>
            <w:tcW w:type="dxa" w:w="9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+16</w:t>
            </w:r>
          </w:p>
        </w:tc>
      </w:tr>
    </w:tbl>
    <w:p>
      <w:pPr>
        <w:spacing w:after="80" w:before="40"/>
        <w:jc w:val="center"/>
      </w:pPr>
      <w:r>
        <w:rPr>
          <w:rFonts w:ascii="Times New Roman" w:cs="Times New Roman" w:eastAsia="Times New Roman" w:hAnsi="Times New Roman"/>
          <w:i/>
          <w:iCs/>
          <w:sz w:val="18"/>
          <w:szCs w:val="18"/>
        </w:rPr>
        <w:t xml:space="preserve">Table 2: Ablation study (XGBoost). Baseline MAE = $3,446.</w:t>
      </w:r>
    </w:p>
    <w:p>
      <w:pPr>
        <w:spacing w:after="60" w:before="0" w:line="252" w:lineRule="exact"/>
        <w:jc w:val="both"/>
      </w:pPr>
      <w:r>
        <w:rPr>
          <w:rFonts w:ascii="Times New Roman" w:cs="Times New Roman" w:eastAsia="Times New Roman" w:hAnsi="Times New Roman"/>
          <w:sz w:val="22"/>
          <w:szCs w:val="22"/>
        </w:rPr>
        <w:t xml:space="preserve">Car age is by far the most critical feature—removing it nearly doubles MAE from $3,446 to $6,338, confirming that depreciation dominates price. Odometer reading and vehicle condition are next, each contributing over $1,400 in error reduction. Vehicle type (truck vs. sedan vs. SUV) and engine cylinder count also contribute substantially. Posting month is essentially uninformative at just $16, suggesting seasonal price fluctuations are negligible in this dataset.</w:t>
      </w:r>
    </w:p>
    <w:p>
      <w:pPr>
        <w:spacing w:after="60" w:before="0" w:line="252" w:lineRule="exact"/>
        <w:jc w:val="both"/>
      </w:pPr>
      <w:r>
        <w:rPr>
          <w:rFonts w:ascii="Times New Roman" w:cs="Times New Roman" w:eastAsia="Times New Roman" w:hAnsi="Times New Roman"/>
          <w:sz w:val="22"/>
          <w:szCs w:val="22"/>
        </w:rPr>
        <w:t xml:space="preserve">Figure 2 shows the XGBoost feature importance scores, which measure how frequently each feature is used in tree splits weighted by the improvement it brings. Car age and fuel type rank highest by this metric, with cylinders and drive type following. The divergence between the ablation ranking and the importance score ranking—notably condition_enc ranking higher in ablation than in importance—highlights that the two metrics capture different aspects: ablation measures the impact of completely removing a feature, while importance reflects how often it is used across all trees.</w:t>
      </w:r>
    </w:p>
    <w:p>
      <w:pPr>
        <w:spacing w:after="0" w:before="80"/>
        <w:jc w:val="center"/>
      </w:pPr>
      <w:r>
        <w:drawing>
          <wp:inline distT="0" distB="0" distL="0" distR="0">
            <wp:extent cx="2838450"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838450" cy="2047875"/>
                    </a:xfrm>
                    <a:prstGeom prst="rect">
                      <a:avLst/>
                    </a:prstGeom>
                  </pic:spPr>
                </pic:pic>
              </a:graphicData>
            </a:graphic>
          </wp:inline>
        </w:drawing>
      </w:r>
    </w:p>
    <w:p>
      <w:pPr>
        <w:spacing w:after="100" w:before="40"/>
        <w:jc w:val="center"/>
      </w:pPr>
      <w:r>
        <w:rPr>
          <w:rFonts w:ascii="Times New Roman" w:cs="Times New Roman" w:eastAsia="Times New Roman" w:hAnsi="Times New Roman"/>
          <w:i/>
          <w:iCs/>
          <w:sz w:val="18"/>
          <w:szCs w:val="18"/>
        </w:rPr>
        <w:t xml:space="preserve">Figure 2: XGBoost feature importance scores across all 14 features.</w:t>
      </w:r>
    </w:p>
    <w:p>
      <w:pPr>
        <w:spacing w:after="40" w:before="120"/>
      </w:pPr>
      <w:r>
        <w:rPr>
          <w:rFonts w:ascii="Times New Roman" w:cs="Times New Roman" w:eastAsia="Times New Roman" w:hAnsi="Times New Roman"/>
          <w:b/>
          <w:bCs/>
          <w:sz w:val="22"/>
          <w:szCs w:val="22"/>
        </w:rPr>
        <w:t xml:space="preserve">7. Related Work</w:t>
      </w:r>
    </w:p>
    <w:p>
      <w:pPr>
        <w:spacing w:after="60" w:before="0" w:line="252" w:lineRule="exact"/>
        <w:jc w:val="both"/>
      </w:pPr>
      <w:r>
        <w:rPr>
          <w:rFonts w:ascii="Times New Roman" w:cs="Times New Roman" w:eastAsia="Times New Roman" w:hAnsi="Times New Roman"/>
          <w:sz w:val="22"/>
          <w:szCs w:val="22"/>
        </w:rPr>
        <w:t xml:space="preserve">Price prediction for consumer goods using structured tabular data is a well-studied problem in machine learning. Gradient boosted trees—particularly XGBoost [1]—have become the standard for tabular regression tasks, consistently outperforming deep learning on structured data with moderate feature sets [2].</w:t>
      </w:r>
    </w:p>
    <w:p>
      <w:pPr>
        <w:spacing w:after="60" w:before="0" w:line="252" w:lineRule="exact"/>
        <w:jc w:val="both"/>
      </w:pPr>
      <w:r>
        <w:rPr>
          <w:rFonts w:ascii="Times New Roman" w:cs="Times New Roman" w:eastAsia="Times New Roman" w:hAnsi="Times New Roman"/>
          <w:sz w:val="22"/>
          <w:szCs w:val="22"/>
        </w:rPr>
        <w:t xml:space="preserve">Several prior works study used car price prediction specifically. Gegic et al. [3] applied multiple regression models to a European used car dataset and found that mileage and brand were the dominant predictors, consistent with our findings. Listiani [4] showed that Support Vector Regression can be competitive on small datasets, though it does not scale to the 300k+ listings in our setting. Our work extends this line by providing a systematic ablation study on a large-scale, geographically diverse U.S. dataset—a contribution not present in prior work.</w:t>
      </w:r>
    </w:p>
    <w:p>
      <w:pPr>
        <w:spacing w:after="60" w:before="0" w:line="252" w:lineRule="exact"/>
        <w:jc w:val="both"/>
      </w:pPr>
      <w:r>
        <w:rPr>
          <w:rFonts w:ascii="Times New Roman" w:cs="Times New Roman" w:eastAsia="Times New Roman" w:hAnsi="Times New Roman"/>
          <w:sz w:val="22"/>
          <w:szCs w:val="22"/>
        </w:rPr>
        <w:t xml:space="preserve">Target encoding for high-cardinality categorical variables was formalized by Micci-Barreca [5] and has been shown to outperform one-hot encoding in tree-based models when the number of categories is large. We apply this technique to manufacturer (42 categories) and state (51 categories), two features that would otherwise require substantial dimensionality expansion.</w:t>
      </w:r>
    </w:p>
    <w:p>
      <w:pPr>
        <w:spacing w:after="40" w:before="120"/>
      </w:pPr>
      <w:r>
        <w:rPr>
          <w:rFonts w:ascii="Times New Roman" w:cs="Times New Roman" w:eastAsia="Times New Roman" w:hAnsi="Times New Roman"/>
          <w:b/>
          <w:bCs/>
          <w:sz w:val="22"/>
          <w:szCs w:val="22"/>
        </w:rPr>
        <w:t xml:space="preserve">8. Conclusion</w:t>
      </w:r>
    </w:p>
    <w:p>
      <w:pPr>
        <w:spacing w:after="60" w:before="0" w:line="252" w:lineRule="exact"/>
        <w:jc w:val="both"/>
      </w:pPr>
      <w:r>
        <w:rPr>
          <w:rFonts w:ascii="Times New Roman" w:cs="Times New Roman" w:eastAsia="Times New Roman" w:hAnsi="Times New Roman"/>
          <w:sz w:val="22"/>
          <w:szCs w:val="22"/>
        </w:rPr>
        <w:t xml:space="preserve">We presented a comparative study of three regression models for used car price prediction on the Craigslist dataset. Our key findings are:</w:t>
      </w:r>
    </w:p>
    <w:p>
      <w:pPr>
        <w:spacing w:after="40" w:before="0" w:line="252" w:lineRule="exact"/>
        <w:ind w:left="220"/>
        <w:jc w:val="both"/>
      </w:pPr>
      <w:r>
        <w:rPr>
          <w:rFonts w:ascii="Times New Roman" w:cs="Times New Roman" w:eastAsia="Times New Roman" w:hAnsi="Times New Roman"/>
          <w:sz w:val="22"/>
          <w:szCs w:val="22"/>
        </w:rPr>
        <w:t xml:space="preserve">(1) Ensemble tree-based models (Random Forest, XGBoost) substantially outperform linear regression (MAE ~$3,400 vs. $6,396), confirming that non-linear feature interactions drive pricing.</w:t>
      </w:r>
    </w:p>
    <w:p>
      <w:pPr>
        <w:spacing w:after="40" w:before="0" w:line="252" w:lineRule="exact"/>
        <w:ind w:left="220"/>
        <w:jc w:val="both"/>
      </w:pPr>
      <w:r>
        <w:rPr>
          <w:rFonts w:ascii="Times New Roman" w:cs="Times New Roman" w:eastAsia="Times New Roman" w:hAnsi="Times New Roman"/>
          <w:sz w:val="22"/>
          <w:szCs w:val="22"/>
        </w:rPr>
        <w:t xml:space="preserve">(2) Car age is the single most important predictor, followed by odometer reading, vehicle condition, and engine size. Posting month carries negligible signal.</w:t>
      </w:r>
    </w:p>
    <w:p>
      <w:pPr>
        <w:spacing w:after="40" w:before="0" w:line="252" w:lineRule="exact"/>
        <w:ind w:left="220"/>
        <w:jc w:val="both"/>
      </w:pPr>
      <w:r>
        <w:rPr>
          <w:rFonts w:ascii="Times New Roman" w:cs="Times New Roman" w:eastAsia="Times New Roman" w:hAnsi="Times New Roman"/>
          <w:sz w:val="22"/>
          <w:szCs w:val="22"/>
        </w:rPr>
        <w:t xml:space="preserve">(3) XGBoost matches Random Forest accuracy in roughly one-fifth the training time, making it the practical choice for this scale of data.</w:t>
      </w:r>
    </w:p>
    <w:p>
      <w:pPr>
        <w:spacing w:after="60" w:before="0" w:line="252" w:lineRule="exact"/>
        <w:jc w:val="both"/>
      </w:pPr>
      <w:r>
        <w:rPr>
          <w:rFonts w:ascii="Times New Roman" w:cs="Times New Roman" w:eastAsia="Times New Roman" w:hAnsi="Times New Roman"/>
          <w:sz w:val="22"/>
          <w:szCs w:val="22"/>
        </w:rPr>
        <w:t xml:space="preserve">Future work could incorporate listing description text features (e.g., keyword extraction for 'leather seats' or 'new tires'), regional economic indicators, or model-year-specific depreciation curves to further reduce prediction error. A simple web-based demo that takes vehicle attributes as input and returns a price estimate would also be a natural next step.</w:t>
      </w:r>
    </w:p>
    <w:p>
      <w:pPr>
        <w:spacing w:after="40" w:before="120"/>
      </w:pPr>
      <w:r>
        <w:rPr>
          <w:rFonts w:ascii="Times New Roman" w:cs="Times New Roman" w:eastAsia="Times New Roman" w:hAnsi="Times New Roman"/>
          <w:b/>
          <w:bCs/>
          <w:sz w:val="22"/>
          <w:szCs w:val="22"/>
        </w:rPr>
        <w:t xml:space="preserve">References</w:t>
      </w:r>
    </w:p>
    <w:p>
      <w:pPr>
        <w:spacing w:after="40" w:before="0" w:line="252" w:lineRule="exact"/>
        <w:ind w:left="220" w:hanging="220"/>
        <w:jc w:val="both"/>
      </w:pPr>
      <w:r>
        <w:rPr>
          <w:rFonts w:ascii="Times New Roman" w:cs="Times New Roman" w:eastAsia="Times New Roman" w:hAnsi="Times New Roman"/>
          <w:sz w:val="18"/>
          <w:szCs w:val="18"/>
        </w:rPr>
        <w:t xml:space="preserve">[1] Chen, T., &amp; Guestrin, C. (2016). XGBoost: A scalable tree boosting system. Proceedings of KDD '16. ACM.</w:t>
      </w:r>
    </w:p>
    <w:p>
      <w:pPr>
        <w:spacing w:after="40" w:before="0" w:line="252" w:lineRule="exact"/>
        <w:ind w:left="220" w:hanging="220"/>
        <w:jc w:val="both"/>
      </w:pPr>
      <w:r>
        <w:rPr>
          <w:rFonts w:ascii="Times New Roman" w:cs="Times New Roman" w:eastAsia="Times New Roman" w:hAnsi="Times New Roman"/>
          <w:sz w:val="18"/>
          <w:szCs w:val="18"/>
        </w:rPr>
        <w:t xml:space="preserve">[2] Grinsztajn, L., Oyallon, E., &amp; Varoquaux, G. (2022). Why do tree-based models still outperform deep learning on tabular data? NeurIPS 2022 Datasets and Benchmarks Track.</w:t>
      </w:r>
    </w:p>
    <w:p>
      <w:pPr>
        <w:spacing w:after="40" w:before="0" w:line="252" w:lineRule="exact"/>
        <w:ind w:left="220" w:hanging="220"/>
        <w:jc w:val="both"/>
      </w:pPr>
      <w:r>
        <w:rPr>
          <w:rFonts w:ascii="Times New Roman" w:cs="Times New Roman" w:eastAsia="Times New Roman" w:hAnsi="Times New Roman"/>
          <w:sz w:val="18"/>
          <w:szCs w:val="18"/>
        </w:rPr>
        <w:t xml:space="preserve">[3] Gegic, E., Isakovic, B., Keco, D., Masetic, Z., &amp; Kevric, J. (2019). Car price prediction using machine learning techniques. TEM Journal, 8(1), 113–118. DOI: 10.18421/TEM81-16.</w:t>
      </w:r>
    </w:p>
    <w:p>
      <w:pPr>
        <w:spacing w:after="40" w:before="0" w:line="252" w:lineRule="exact"/>
        <w:ind w:left="220" w:hanging="220"/>
        <w:jc w:val="both"/>
      </w:pPr>
      <w:r>
        <w:rPr>
          <w:rFonts w:ascii="Times New Roman" w:cs="Times New Roman" w:eastAsia="Times New Roman" w:hAnsi="Times New Roman"/>
          <w:sz w:val="18"/>
          <w:szCs w:val="18"/>
        </w:rPr>
        <w:t xml:space="preserve">[4] Listiani, M. (2009). Support vector regression analysis for price prediction in a car leasing application. M.Sc. thesis, Hamburg University of Technology.</w:t>
      </w:r>
    </w:p>
    <w:p>
      <w:pPr>
        <w:spacing w:after="40" w:before="0" w:line="252" w:lineRule="exact"/>
        <w:ind w:left="220" w:hanging="220"/>
        <w:jc w:val="both"/>
      </w:pPr>
      <w:r>
        <w:rPr>
          <w:rFonts w:ascii="Times New Roman" w:cs="Times New Roman" w:eastAsia="Times New Roman" w:hAnsi="Times New Roman"/>
          <w:sz w:val="18"/>
          <w:szCs w:val="18"/>
        </w:rPr>
        <w:t xml:space="preserve">[5] Micci-Barreca, D. (2001). A preprocessing scheme for high-cardinality categorical attributes in classification and prediction problems. ACM SIGKDD Explorations, 3(1), 27–32.</w:t>
      </w:r>
    </w:p>
    <w:sectPr>
      <w:pgSz w:w="12240" w:h="15840" w:orient="portrait"/>
      <w:pgMar w:top="1440" w:right="1080" w:bottom="1440" w:left="1080" w:header="708" w:footer="708" w:gutter="0"/>
      <w:pgNumType/>
      <w:cols w:space="475" w:num="2"/>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line="252" w:lineRule="exact"/>
    </w:pPr>
    <w:rPr>
      <w:rFonts w:ascii="Times New Roman" w:cs="Times New Roman" w:eastAsia="Times New Roman" w:hAnsi="Times New Roman"/>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8e956f90458e09513c817f4d52f5f0bd1c7e1b1.png"/><Relationship Id="rId8" Type="http://schemas.openxmlformats.org/officeDocument/2006/relationships/image" Target="media/4d60b7611b12516fbf8f306ff26bea5f233ab325.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2026-05-31T20:29:35.722Z</dcterms:created>
  <dcterms:modified xsi:type="dcterms:W3CDTF">2026-05-31T20:29:35.738Z</dcterms:modified>
</cp:coreProperties>
</file>

<file path=docProps/custom.xml><?xml version="1.0" encoding="utf-8"?>
<Properties xmlns="http://schemas.openxmlformats.org/officeDocument/2006/custom-properties" xmlns:vt="http://schemas.openxmlformats.org/officeDocument/2006/docPropsVTypes"/>
</file>