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31596411</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 xml:space="preserve">Title: Effect of infant stimulation on the &lt;P 0&gt; </w:t>
      </w:r>
      <w:r>
        <w:rPr>
          <w:rFonts w:cs="Courier New" w:ascii="Courier New" w:hAnsi="Courier New"/>
          <w:sz w:val="20"/>
          <w:szCs w:val="20"/>
          <w:highlight w:val="yellow"/>
        </w:rPr>
        <w:t>adaptation to birth</w:t>
      </w:r>
      <w:r>
        <w:rPr>
          <w:rFonts w:cs="Courier New" w:ascii="Courier New" w:hAnsi="Courier New"/>
          <w:sz w:val="20"/>
          <w:szCs w:val="20"/>
        </w:rPr>
        <w:t xml:space="preserve"> &lt;/&gt;: a randomized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Revista latino-americana de enfermagem</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9420934</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['2019/10/10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to measure the effect of an infant stimulation therapy (auditory, tactile, visual and vestibular) on the &lt;P 0&gt; </w:t>
      </w:r>
      <w:r>
        <w:rPr>
          <w:rFonts w:cs="Courier New" w:ascii="Courier New" w:hAnsi="Courier New"/>
          <w:sz w:val="20"/>
          <w:szCs w:val="20"/>
          <w:highlight w:val="yellow"/>
        </w:rPr>
        <w:t>adaptation to postnatal life</w:t>
      </w:r>
      <w:r>
        <w:rPr>
          <w:rFonts w:cs="Courier New" w:ascii="Courier New" w:hAnsi="Courier New"/>
          <w:sz w:val="20"/>
          <w:szCs w:val="20"/>
        </w:rPr>
        <w:t xml:space="preserve"> &lt;/&gt; of the mother-child dyad. METHOD: an experimental and blind study composed of 120 dyads of first-time mothers and full-term newborns, who practiced breastfeeding. The follow-up was conducted during the first five weeks of life and the evaluation was carried at two different times. RESULTS: the &lt;P 0&gt; </w:t>
      </w:r>
      <w:r>
        <w:rPr>
          <w:rFonts w:cs="Courier New" w:ascii="Courier New" w:hAnsi="Courier New"/>
          <w:sz w:val="20"/>
          <w:szCs w:val="20"/>
          <w:highlight w:val="yellow"/>
        </w:rPr>
        <w:t>adaptive capacity</w:t>
      </w:r>
      <w:r>
        <w:rPr>
          <w:rFonts w:cs="Courier New" w:ascii="Courier New" w:hAnsi="Courier New"/>
          <w:sz w:val="20"/>
          <w:szCs w:val="20"/>
        </w:rPr>
        <w:t xml:space="preserve"> &lt;/&gt; was measured in two modes. The &lt;P 0&gt; </w:t>
      </w:r>
      <w:r>
        <w:rPr>
          <w:rFonts w:cs="Courier New" w:ascii="Courier New" w:hAnsi="Courier New"/>
          <w:sz w:val="20"/>
          <w:szCs w:val="20"/>
          <w:highlight w:val="yellow"/>
        </w:rPr>
        <w:t>physiological adaptive mode</w:t>
      </w:r>
      <w:r>
        <w:rPr>
          <w:rFonts w:cs="Courier New" w:ascii="Courier New" w:hAnsi="Courier New"/>
          <w:sz w:val="20"/>
          <w:szCs w:val="20"/>
        </w:rPr>
        <w:t xml:space="preserve"> &lt;/&gt; ( &lt;P 25&gt; </w:t>
      </w:r>
      <w:r>
        <w:rPr>
          <w:rFonts w:cs="Courier New" w:ascii="Courier New" w:hAnsi="Courier New"/>
          <w:sz w:val="20"/>
          <w:szCs w:val="20"/>
          <w:highlight w:val="yellow"/>
        </w:rPr>
        <w:t>activity</w:t>
      </w:r>
      <w:r>
        <w:rPr>
          <w:rFonts w:cs="Courier New" w:ascii="Courier New" w:hAnsi="Courier New"/>
          <w:sz w:val="20"/>
          <w:szCs w:val="20"/>
        </w:rPr>
        <w:t xml:space="preserve"> &lt;/&gt; and &lt;P 25&gt; </w:t>
      </w:r>
      <w:r>
        <w:rPr>
          <w:rFonts w:cs="Courier New" w:ascii="Courier New" w:hAnsi="Courier New"/>
          <w:sz w:val="20"/>
          <w:szCs w:val="20"/>
          <w:highlight w:val="yellow"/>
        </w:rPr>
        <w:t>exercise</w:t>
      </w:r>
      <w:r>
        <w:rPr>
          <w:rFonts w:cs="Courier New" w:ascii="Courier New" w:hAnsi="Courier New"/>
          <w:sz w:val="20"/>
          <w:szCs w:val="20"/>
        </w:rPr>
        <w:t xml:space="preserve"> &lt;/&gt; and &lt;P 25&gt; </w:t>
      </w:r>
      <w:r>
        <w:rPr>
          <w:rFonts w:cs="Courier New" w:ascii="Courier New" w:hAnsi="Courier New"/>
          <w:sz w:val="20"/>
          <w:szCs w:val="20"/>
          <w:highlight w:val="yellow"/>
        </w:rPr>
        <w:t>neonatal nutrition</w:t>
      </w:r>
      <w:r>
        <w:rPr>
          <w:rFonts w:cs="Courier New" w:ascii="Courier New" w:hAnsi="Courier New"/>
          <w:sz w:val="20"/>
          <w:szCs w:val="20"/>
        </w:rPr>
        <w:t xml:space="preserve"> &lt;/&gt;) and the &lt;P 26&gt; </w:t>
      </w:r>
      <w:r>
        <w:rPr>
          <w:rFonts w:cs="Courier New" w:ascii="Courier New" w:hAnsi="Courier New"/>
          <w:sz w:val="20"/>
          <w:szCs w:val="20"/>
          <w:highlight w:val="yellow"/>
        </w:rPr>
        <w:t>interdependence adaptive mode</w:t>
      </w:r>
      <w:r>
        <w:rPr>
          <w:rFonts w:cs="Courier New" w:ascii="Courier New" w:hAnsi="Courier New"/>
          <w:sz w:val="20"/>
          <w:szCs w:val="20"/>
        </w:rPr>
        <w:t xml:space="preserve"> &lt;/&gt; (appropriate &lt;P 26&gt; </w:t>
      </w:r>
      <w:r>
        <w:rPr>
          <w:rFonts w:cs="Courier New" w:ascii="Courier New" w:hAnsi="Courier New"/>
          <w:sz w:val="20"/>
          <w:szCs w:val="20"/>
          <w:highlight w:val="yellow"/>
        </w:rPr>
        <w:t>affection</w:t>
      </w:r>
      <w:r>
        <w:rPr>
          <w:rFonts w:cs="Courier New" w:ascii="Courier New" w:hAnsi="Courier New"/>
          <w:sz w:val="20"/>
          <w:szCs w:val="20"/>
        </w:rPr>
        <w:t xml:space="preserve"> &lt;/&gt; and proper &lt;P 25&gt; </w:t>
      </w:r>
      <w:r>
        <w:rPr>
          <w:rFonts w:cs="Courier New" w:ascii="Courier New" w:hAnsi="Courier New"/>
          <w:sz w:val="20"/>
          <w:szCs w:val="20"/>
          <w:highlight w:val="yellow"/>
        </w:rPr>
        <w:t>development</w:t>
      </w:r>
      <w:r>
        <w:rPr>
          <w:rFonts w:cs="Courier New" w:ascii="Courier New" w:hAnsi="Courier New"/>
          <w:sz w:val="20"/>
          <w:szCs w:val="20"/>
        </w:rPr>
        <w:t xml:space="preserve"> &lt;/&gt;); and statistically significant differences were found in favor of the experimental group. Regression models that show the collaborative relationship between mother and child, and their reciprocity in the process of adaptation were proposed. CONCLUSION: the early stimulation is a therapy with bidirectional effect, because it has favorable effects on the person who administers it; promotes health and prevents illness in the process of adaptation to birth; especially in contexts of vulnerability. It is recommended its teaching to mothers and its application in the home environment. This study was registered in the Australian New Zealand Clinical Trial Registry (ANZCTR) under protocol number: ACTRN12617000449336.</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31596415</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 xml:space="preserve">Title: Menthol chewing gum on preoperative &lt;P 0&gt; </w:t>
      </w:r>
      <w:r>
        <w:rPr>
          <w:rFonts w:cs="Courier New" w:ascii="Courier New" w:hAnsi="Courier New"/>
          <w:sz w:val="20"/>
          <w:szCs w:val="20"/>
          <w:highlight w:val="yellow"/>
        </w:rPr>
        <w:t>thirst</w:t>
      </w:r>
      <w:r>
        <w:rPr>
          <w:rFonts w:cs="Courier New" w:ascii="Courier New" w:hAnsi="Courier New"/>
          <w:sz w:val="20"/>
          <w:szCs w:val="20"/>
        </w:rPr>
        <w:t xml:space="preserve"> &lt;/&gt; management: randomized clinical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Revista latino-americana de enfermagem</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9420934</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['2019/10/10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to evaluate the effectiveness of menthol chewing gum, in the relief of the &lt;P 0&gt;(E2) </w:t>
      </w:r>
      <w:r>
        <w:rPr>
          <w:rFonts w:cs="Courier New" w:ascii="Courier New" w:hAnsi="Courier New"/>
          <w:sz w:val="20"/>
          <w:szCs w:val="20"/>
          <w:highlight w:val="yellow"/>
        </w:rPr>
        <w:t>intensity</w:t>
      </w:r>
      <w:r>
        <w:rPr>
          <w:rFonts w:cs="Courier New" w:ascii="Courier New" w:hAnsi="Courier New"/>
          <w:sz w:val="20"/>
          <w:szCs w:val="20"/>
        </w:rPr>
        <w:t xml:space="preserve"> and &lt;P 0&gt; </w:t>
      </w:r>
      <w:r>
        <w:rPr>
          <w:rFonts w:cs="Courier New" w:ascii="Courier New" w:hAnsi="Courier New"/>
          <w:sz w:val="20"/>
          <w:szCs w:val="20"/>
          <w:highlight w:val="yellow"/>
        </w:rPr>
        <w:t>discomfort of {the surgical patient's} thirst</w:t>
      </w:r>
      <w:r>
        <w:rPr>
          <w:rFonts w:cs="Courier New" w:ascii="Courier New" w:hAnsi="Courier New"/>
          <w:sz w:val="20"/>
          <w:szCs w:val="20"/>
        </w:rPr>
        <w:t xml:space="preserve"> &lt;/&gt; in the preoperative period. METHOD: a randomized controlled trial, with 102 patients in the preoperative period, randomized in a control group, with usual care, and an experimental group, which received menthol gum, which was the study treatment variable. The primary clinical outcome was the variation in &lt;P 0&gt; </w:t>
      </w:r>
      <w:r>
        <w:rPr>
          <w:rFonts w:cs="Courier New" w:ascii="Courier New" w:hAnsi="Courier New"/>
          <w:sz w:val="20"/>
          <w:szCs w:val="20"/>
          <w:highlight w:val="yellow"/>
        </w:rPr>
        <w:t>thirst intensity</w:t>
      </w:r>
      <w:r>
        <w:rPr>
          <w:rFonts w:cs="Courier New" w:ascii="Courier New" w:hAnsi="Courier New"/>
          <w:sz w:val="20"/>
          <w:szCs w:val="20"/>
        </w:rPr>
        <w:t xml:space="preserve"> &lt;/&gt;, evaluated by the [T </w:t>
      </w:r>
      <w:r>
        <w:rPr>
          <w:rFonts w:cs="Courier New" w:ascii="Courier New" w:hAnsi="Courier New"/>
          <w:color w:val="FF0000"/>
          <w:sz w:val="20"/>
          <w:szCs w:val="20"/>
        </w:rPr>
        <w:t>Numeral Verbal Scale</w:t>
      </w:r>
      <w:r>
        <w:rPr>
          <w:rFonts w:cs="Courier New" w:ascii="Courier New" w:hAnsi="Courier New"/>
          <w:sz w:val="20"/>
          <w:szCs w:val="20"/>
        </w:rPr>
        <w:t xml:space="preserve">], and the secondary, the variation of the &lt;P 0&gt; </w:t>
      </w:r>
      <w:r>
        <w:rPr>
          <w:rFonts w:cs="Courier New" w:ascii="Courier New" w:hAnsi="Courier New"/>
          <w:sz w:val="20"/>
          <w:szCs w:val="20"/>
          <w:highlight w:val="yellow"/>
        </w:rPr>
        <w:t>discomfort of thirst</w:t>
      </w:r>
      <w:r>
        <w:rPr>
          <w:rFonts w:cs="Courier New" w:ascii="Courier New" w:hAnsi="Courier New"/>
          <w:sz w:val="20"/>
          <w:szCs w:val="20"/>
        </w:rPr>
        <w:t xml:space="preserve"> &lt;/&gt;, evaluated by the [T </w:t>
      </w:r>
      <w:r>
        <w:rPr>
          <w:rFonts w:cs="Courier New" w:ascii="Courier New" w:hAnsi="Courier New"/>
          <w:color w:val="FF0000"/>
          <w:sz w:val="20"/>
          <w:szCs w:val="20"/>
        </w:rPr>
        <w:t xml:space="preserve">Perioperative </w:t>
      </w:r>
      <w:r>
        <w:rPr>
          <w:rFonts w:cs="Courier New" w:ascii="Courier New" w:hAnsi="Courier New"/>
          <w:sz w:val="20"/>
          <w:szCs w:val="20"/>
        </w:rPr>
        <w:t xml:space="preserve">&lt;P 0&gt; </w:t>
      </w:r>
      <w:r>
        <w:rPr>
          <w:rFonts w:cs="Courier New" w:ascii="Courier New" w:hAnsi="Courier New"/>
          <w:color w:val="FF0000"/>
          <w:sz w:val="20"/>
          <w:szCs w:val="20"/>
          <w:highlight w:val="yellow"/>
        </w:rPr>
        <w:t>Thirst Discomfort</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Scale</w:t>
      </w:r>
      <w:r>
        <w:rPr>
          <w:rFonts w:cs="Courier New" w:ascii="Courier New" w:hAnsi="Courier New"/>
          <w:sz w:val="20"/>
          <w:szCs w:val="20"/>
        </w:rPr>
        <w:t xml:space="preserve">]. Mann-Whitney test was used to compare measures between groups. The significance level adopted was of 0.05. RESULTS: menthol chewing gum significantly reduced the intensity (p &lt;0.001), with Cohen's medium-effect d, and &lt;P 0&gt; </w:t>
      </w:r>
      <w:r>
        <w:rPr>
          <w:rFonts w:cs="Courier New" w:ascii="Courier New" w:hAnsi="Courier New"/>
          <w:sz w:val="20"/>
          <w:szCs w:val="20"/>
          <w:highlight w:val="yellow"/>
        </w:rPr>
        <w:t>thirst discomfort</w:t>
      </w:r>
      <w:r>
        <w:rPr>
          <w:rFonts w:cs="Courier New" w:ascii="Courier New" w:hAnsi="Courier New"/>
          <w:sz w:val="20"/>
          <w:szCs w:val="20"/>
        </w:rPr>
        <w:t xml:space="preserve"> &lt;/&gt; (p &lt;0.001), with a large-effect Cohen's d. CONCLUSION: menthol chewing gum was effective in reducing the &lt;P 0&gt;(E3) </w:t>
      </w:r>
      <w:r>
        <w:rPr>
          <w:rFonts w:cs="Courier New" w:ascii="Courier New" w:hAnsi="Courier New"/>
          <w:sz w:val="20"/>
          <w:szCs w:val="20"/>
          <w:highlight w:val="yellow"/>
        </w:rPr>
        <w:t>intensity</w:t>
      </w:r>
      <w:r>
        <w:rPr>
          <w:rFonts w:cs="Courier New" w:ascii="Courier New" w:hAnsi="Courier New"/>
          <w:sz w:val="20"/>
          <w:szCs w:val="20"/>
        </w:rPr>
        <w:t xml:space="preserve"> and &lt;P 0&gt; </w:t>
      </w:r>
      <w:r>
        <w:rPr>
          <w:rFonts w:cs="Courier New" w:ascii="Courier New" w:hAnsi="Courier New"/>
          <w:sz w:val="20"/>
          <w:szCs w:val="20"/>
          <w:highlight w:val="yellow"/>
        </w:rPr>
        <w:t>discomfort of preoperative thirst</w:t>
      </w:r>
      <w:r>
        <w:rPr>
          <w:rFonts w:cs="Courier New" w:ascii="Courier New" w:hAnsi="Courier New"/>
          <w:sz w:val="20"/>
          <w:szCs w:val="20"/>
        </w:rPr>
        <w:t xml:space="preserve"> &lt;/&gt;. The strategy proved to be an innovative, &lt;P 32&gt; </w:t>
      </w:r>
      <w:r>
        <w:rPr>
          <w:rFonts w:cs="Courier New" w:ascii="Courier New" w:hAnsi="Courier New"/>
          <w:sz w:val="20"/>
          <w:szCs w:val="20"/>
          <w:highlight w:val="yellow"/>
        </w:rPr>
        <w:t>feasible</w:t>
      </w:r>
      <w:r>
        <w:rPr>
          <w:rFonts w:cs="Courier New" w:ascii="Courier New" w:hAnsi="Courier New"/>
          <w:sz w:val="20"/>
          <w:szCs w:val="20"/>
        </w:rPr>
        <w:t xml:space="preserve"> &lt;/&gt; and safe option in the use for the surgical patient, in the management of the preoperative thirst, in elective surgeries. NCT: 03200197.</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31597020</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Controlled Trial of Two Incremental Milk-Feeding Rates in Preterm Infants.</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Comparative Study, Journal Article, Multicenter Study, Randomized Controlled Trial, Research Support, Non-U.S. Gov't,</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The New England journal of medicine</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0255562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['2019/10/10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BACKGROUND: Observational data have shown that slow advancement of enteral feeding volumes in preterm infants is associated with a reduced risk of necrotizing enterocolitis but an increased risk of late-onset sepsis. However, data from randomized trials are limited. METHODS: We randomly assigned very preterm or very-low-birth-weight infants to daily milk increments of 30 ml per kilogram of body weight (faster increment) or 18 ml per kilogram (slower increment) until reaching full feeding volumes. The primary outcome was &lt;P 1&gt; </w:t>
      </w:r>
      <w:r>
        <w:rPr>
          <w:rFonts w:cs="Courier New" w:ascii="Courier New" w:hAnsi="Courier New"/>
          <w:sz w:val="20"/>
          <w:szCs w:val="20"/>
          <w:highlight w:val="yellow"/>
        </w:rPr>
        <w:t>survival</w:t>
      </w:r>
      <w:r>
        <w:rPr>
          <w:rFonts w:cs="Courier New" w:ascii="Courier New" w:hAnsi="Courier New"/>
          <w:sz w:val="20"/>
          <w:szCs w:val="20"/>
        </w:rPr>
        <w:t xml:space="preserve"> &lt;/&gt; without moderate or severe &lt;P 29&gt; </w:t>
      </w:r>
      <w:r>
        <w:rPr>
          <w:rFonts w:cs="Courier New" w:ascii="Courier New" w:hAnsi="Courier New"/>
          <w:sz w:val="20"/>
          <w:szCs w:val="20"/>
          <w:highlight w:val="yellow"/>
        </w:rPr>
        <w:t>neurodevelopmental disability</w:t>
      </w:r>
      <w:r>
        <w:rPr>
          <w:rFonts w:cs="Courier New" w:ascii="Courier New" w:hAnsi="Courier New"/>
          <w:sz w:val="20"/>
          <w:szCs w:val="20"/>
        </w:rPr>
        <w:t xml:space="preserve"> &lt;/&gt; at 24 months. Secondary outcomes included components of the primary outcome, confirmed or suspected late-onset &lt;P 0&gt; </w:t>
      </w:r>
      <w:r>
        <w:rPr>
          <w:rFonts w:cs="Courier New" w:ascii="Courier New" w:hAnsi="Courier New"/>
          <w:sz w:val="20"/>
          <w:szCs w:val="20"/>
          <w:highlight w:val="yellow"/>
        </w:rPr>
        <w:t>sepsis</w:t>
      </w:r>
      <w:r>
        <w:rPr>
          <w:rFonts w:cs="Courier New" w:ascii="Courier New" w:hAnsi="Courier New"/>
          <w:sz w:val="20"/>
          <w:szCs w:val="20"/>
        </w:rPr>
        <w:t xml:space="preserve"> &lt;/&gt;, &lt;P 0&gt; </w:t>
      </w:r>
      <w:r>
        <w:rPr>
          <w:rFonts w:cs="Courier New" w:ascii="Courier New" w:hAnsi="Courier New"/>
          <w:sz w:val="20"/>
          <w:szCs w:val="20"/>
          <w:highlight w:val="yellow"/>
        </w:rPr>
        <w:t>necrotizing enterocolitis</w:t>
      </w:r>
      <w:r>
        <w:rPr>
          <w:rFonts w:cs="Courier New" w:ascii="Courier New" w:hAnsi="Courier New"/>
          <w:sz w:val="20"/>
          <w:szCs w:val="20"/>
        </w:rPr>
        <w:t xml:space="preserve"> &lt;/&gt;, and &lt;P 0&gt; </w:t>
      </w:r>
      <w:r>
        <w:rPr>
          <w:rFonts w:cs="Courier New" w:ascii="Courier New" w:hAnsi="Courier New"/>
          <w:sz w:val="20"/>
          <w:szCs w:val="20"/>
          <w:highlight w:val="yellow"/>
        </w:rPr>
        <w:t>cerebral palsy</w:t>
      </w:r>
      <w:r>
        <w:rPr>
          <w:rFonts w:cs="Courier New" w:ascii="Courier New" w:hAnsi="Courier New"/>
          <w:sz w:val="20"/>
          <w:szCs w:val="20"/>
        </w:rPr>
        <w:t xml:space="preserve"> &lt;/&gt;. RESULTS: Among 2804 infants who underwent randomization, the primary outcome could be assessed in 1224 (87.4%) assigned to the faster increment and 1246 (88.7%) assigned to the slower increment. &lt;P 1&gt; </w:t>
      </w:r>
      <w:r>
        <w:rPr>
          <w:rFonts w:cs="Courier New" w:ascii="Courier New" w:hAnsi="Courier New"/>
          <w:sz w:val="20"/>
          <w:szCs w:val="20"/>
          <w:highlight w:val="yellow"/>
        </w:rPr>
        <w:t>Survival</w:t>
      </w:r>
      <w:r>
        <w:rPr>
          <w:rFonts w:cs="Courier New" w:ascii="Courier New" w:hAnsi="Courier New"/>
          <w:sz w:val="20"/>
          <w:szCs w:val="20"/>
        </w:rPr>
        <w:t xml:space="preserve"> &lt;/&gt; without moderate or severe &lt;P 29&gt; </w:t>
      </w:r>
      <w:r>
        <w:rPr>
          <w:rFonts w:cs="Courier New" w:ascii="Courier New" w:hAnsi="Courier New"/>
          <w:sz w:val="20"/>
          <w:szCs w:val="20"/>
          <w:highlight w:val="yellow"/>
        </w:rPr>
        <w:t>neurodevelopmental disability</w:t>
      </w:r>
      <w:r>
        <w:rPr>
          <w:rFonts w:cs="Courier New" w:ascii="Courier New" w:hAnsi="Courier New"/>
          <w:sz w:val="20"/>
          <w:szCs w:val="20"/>
        </w:rPr>
        <w:t xml:space="preserve"> &lt;/&gt; at 24 months occurred in 802 of 1224 infants (65.5%) assigned to the faster increment and 848 of 1246 (68.1%) assigned to the slower increment (adjusted risk ratio, 0.96; 95% confidence interval [CI], 0.92 to 1.01; P = 0.16). Late-onset &lt;P 0&gt; </w:t>
      </w:r>
      <w:r>
        <w:rPr>
          <w:rFonts w:cs="Courier New" w:ascii="Courier New" w:hAnsi="Courier New"/>
          <w:sz w:val="20"/>
          <w:szCs w:val="20"/>
          <w:highlight w:val="yellow"/>
        </w:rPr>
        <w:t>sepsis</w:t>
      </w:r>
      <w:r>
        <w:rPr>
          <w:rFonts w:cs="Courier New" w:ascii="Courier New" w:hAnsi="Courier New"/>
          <w:sz w:val="20"/>
          <w:szCs w:val="20"/>
        </w:rPr>
        <w:t xml:space="preserve"> &lt;/&gt; occurred in 414 of 1389 infants (29.8%) in the faster-increment group and 434 of 1397 (31.1%) in the slower-increment group (adjusted risk ratio, 0.96; 95% CI, 0.86 to 1.07). &lt;P 0&gt; </w:t>
      </w:r>
      <w:r>
        <w:rPr>
          <w:rFonts w:cs="Courier New" w:ascii="Courier New" w:hAnsi="Courier New"/>
          <w:sz w:val="20"/>
          <w:szCs w:val="20"/>
          <w:highlight w:val="yellow"/>
        </w:rPr>
        <w:t>Necrotizing enterocolitis</w:t>
      </w:r>
      <w:r>
        <w:rPr>
          <w:rFonts w:cs="Courier New" w:ascii="Courier New" w:hAnsi="Courier New"/>
          <w:sz w:val="20"/>
          <w:szCs w:val="20"/>
        </w:rPr>
        <w:t xml:space="preserve"> &lt;/&gt; occurred in 70 of 1394 infants (5.0%) in the faster-increment group and 78 of 1399 (5.6%) in the slower-increment group (adjusted risk ratio, 0.88; 95% CI, 0.68 to 1.16). CONCLUSIONS: There was no significant difference in &lt;P 1&gt; </w:t>
      </w:r>
      <w:r>
        <w:rPr>
          <w:rFonts w:cs="Courier New" w:ascii="Courier New" w:hAnsi="Courier New"/>
          <w:sz w:val="20"/>
          <w:szCs w:val="20"/>
          <w:highlight w:val="yellow"/>
        </w:rPr>
        <w:t>survival</w:t>
      </w:r>
      <w:r>
        <w:rPr>
          <w:rFonts w:cs="Courier New" w:ascii="Courier New" w:hAnsi="Courier New"/>
          <w:sz w:val="20"/>
          <w:szCs w:val="20"/>
        </w:rPr>
        <w:t xml:space="preserve"> &lt;/&gt; without moderate or severe &lt;P 29&gt; </w:t>
      </w:r>
      <w:r>
        <w:rPr>
          <w:rFonts w:cs="Courier New" w:ascii="Courier New" w:hAnsi="Courier New"/>
          <w:sz w:val="20"/>
          <w:szCs w:val="20"/>
          <w:highlight w:val="yellow"/>
        </w:rPr>
        <w:t>neurodevelopmental disability</w:t>
      </w:r>
      <w:r>
        <w:rPr>
          <w:rFonts w:cs="Courier New" w:ascii="Courier New" w:hAnsi="Courier New"/>
          <w:sz w:val="20"/>
          <w:szCs w:val="20"/>
        </w:rPr>
        <w:t xml:space="preserve"> &lt;/&gt; at 24 months in very preterm or very-low-birth-weight infants with a strategy of advancing milk feeding volumes in daily increments of 30 ml per kilogram as compared with 18 ml per kilogram. (Funded by the Health Technology Assessment Programme of the National Institute for Health Research; SIFT Current Controlled Trials number, ISRCTN76463425.).</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PMID: 31597637</w:t>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Title: National quality improvement programmes need time and resources to have an impact.</w:t>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Publication Type: Journal Article, Randomized Controlled Trial, Research Support, Non-U.S. Gov't,</w:t>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Journal-Name: BMJ (Clinical research ed.)</w:t>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Journal ID: 8900488</w:t>
      </w:r>
    </w:p>
    <w:p>
      <w:pPr>
        <w:pStyle w:val="Normal"/>
        <w:spacing w:lineRule="auto" w:line="240" w:before="0" w:after="160"/>
        <w:contextualSpacing/>
        <w:rPr>
          <w:rFonts w:ascii="Courier New" w:hAnsi="Courier New" w:cs="Courier New"/>
          <w:i/>
          <w:i/>
          <w:iCs/>
          <w:sz w:val="20"/>
          <w:szCs w:val="20"/>
        </w:rPr>
      </w:pPr>
      <w:r>
        <w:rPr>
          <w:rFonts w:cs="Courier New" w:ascii="Courier New" w:hAnsi="Courier New"/>
          <w:i/>
          <w:iCs/>
          <w:sz w:val="20"/>
          <w:szCs w:val="20"/>
        </w:rPr>
        <w:t>Publication date: ['2019/10/11 06:00']</w:t>
      </w:r>
    </w:p>
    <w:p>
      <w:pPr>
        <w:pStyle w:val="Normal"/>
        <w:rPr>
          <w:rFonts w:ascii="Courier New" w:hAnsi="Courier New" w:cs="Courier New"/>
          <w:i/>
          <w:i/>
          <w:iCs/>
          <w:sz w:val="20"/>
          <w:szCs w:val="20"/>
        </w:rPr>
      </w:pPr>
      <w:r>
        <w:rPr>
          <w:rFonts w:cs="Courier New" w:ascii="Courier New" w:hAnsi="Courier New"/>
          <w:i/>
          <w:iCs/>
          <w:sz w:val="20"/>
          <w:szCs w:val="20"/>
        </w:rPr>
      </w:r>
    </w:p>
    <w:p>
      <w:pPr>
        <w:pStyle w:val="Normal"/>
        <w:rPr>
          <w:rFonts w:ascii="Courier New" w:hAnsi="Courier New" w:cs="Courier New"/>
          <w:i/>
          <w:i/>
          <w:iCs/>
          <w:sz w:val="20"/>
          <w:szCs w:val="20"/>
        </w:rPr>
      </w:pPr>
      <w:r>
        <w:rPr>
          <w:rFonts w:cs="Courier New" w:ascii="Courier New" w:hAnsi="Courier New"/>
          <w:i/>
          <w:iCs/>
          <w:sz w:val="20"/>
          <w:szCs w:val="20"/>
        </w:rPr>
        <w:t>The studyPeden CJ, Stephens T, Martin G et al. Effectiveness of a national quality improvement programme to improve survival after emergency abdominal surgery (EPOCH): a stepped-wedge cluster-randomised trial. Lancet 2019;393:2213-21.This project was funded by the NIHR Health Services and Delivery Research Programme (project number 12/5005/10).To read the full NIHR Signal, go to https://discover.dc.nihr.ac.uk/content/signal-000789/national-quality-improvement -programmes-need-time-and-resources-to-have-impact.</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31597806</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Efficacy of Curcumin as an Adjunct to Scaling and Root Planing in Chronic Periodontitis Patients: A Randomized Controlled Clinical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The journal of contemporary dental practice</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101090552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['2019/10/11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AIM: The aim of the present study is to evaluate the efficacy of curcumin gel as local drug delivery post-scaling and root planing and its effect on clinical parameters like &lt;P 0&gt; </w:t>
      </w:r>
      <w:r>
        <w:rPr>
          <w:rFonts w:cs="Courier New" w:ascii="Courier New" w:hAnsi="Courier New"/>
          <w:sz w:val="20"/>
          <w:szCs w:val="20"/>
          <w:highlight w:val="yellow"/>
        </w:rPr>
        <w:t>plaque</w:t>
      </w:r>
      <w:r>
        <w:rPr>
          <w:rFonts w:cs="Courier New" w:ascii="Courier New" w:hAnsi="Courier New"/>
          <w:sz w:val="20"/>
          <w:szCs w:val="20"/>
        </w:rPr>
        <w:t xml:space="preserve"> &lt;/&gt;, &lt;P 0&gt; </w:t>
      </w:r>
      <w:r>
        <w:rPr>
          <w:rFonts w:cs="Courier New" w:ascii="Courier New" w:hAnsi="Courier New"/>
          <w:sz w:val="20"/>
          <w:szCs w:val="20"/>
          <w:highlight w:val="yellow"/>
        </w:rPr>
        <w:t>gingival</w:t>
      </w:r>
      <w:r>
        <w:rPr>
          <w:rFonts w:cs="Courier New" w:ascii="Courier New" w:hAnsi="Courier New"/>
          <w:sz w:val="20"/>
          <w:szCs w:val="20"/>
        </w:rPr>
        <w:t xml:space="preserve"> &lt;/&gt; scores, &lt;P 0&gt; </w:t>
      </w:r>
      <w:r>
        <w:rPr>
          <w:rFonts w:cs="Courier New" w:ascii="Courier New" w:hAnsi="Courier New"/>
          <w:sz w:val="20"/>
          <w:szCs w:val="20"/>
          <w:highlight w:val="yellow"/>
        </w:rPr>
        <w:t>pocket depth</w:t>
      </w:r>
      <w:r>
        <w:rPr>
          <w:rFonts w:cs="Courier New" w:ascii="Courier New" w:hAnsi="Courier New"/>
          <w:sz w:val="20"/>
          <w:szCs w:val="20"/>
        </w:rPr>
        <w:t xml:space="preserve"> &lt;/&gt;, and &lt;P 0&gt; </w:t>
      </w:r>
      <w:r>
        <w:rPr>
          <w:rFonts w:cs="Courier New" w:ascii="Courier New" w:hAnsi="Courier New"/>
          <w:sz w:val="20"/>
          <w:szCs w:val="20"/>
          <w:highlight w:val="yellow"/>
        </w:rPr>
        <w:t>clinical attachment level (CAL)</w:t>
      </w:r>
      <w:r>
        <w:rPr>
          <w:rFonts w:cs="Courier New" w:ascii="Courier New" w:hAnsi="Courier New"/>
          <w:sz w:val="20"/>
          <w:szCs w:val="20"/>
        </w:rPr>
        <w:t xml:space="preserve"> &lt;/&gt;. MATERIALS AND METHODS: Ten patients with two sites in the contralateral quadrants having probing pocket depths (PPDs) of &gt;/=5 mm were selected. Full-mouth scaling and root planing (SRP) was performed followed by the application of curcumin gel on a single side. Assessment of [T &lt;P 0&gt; </w:t>
      </w:r>
      <w:r>
        <w:rPr>
          <w:rFonts w:cs="Courier New" w:ascii="Courier New" w:hAnsi="Courier New"/>
          <w:color w:val="FF0000"/>
          <w:sz w:val="20"/>
          <w:szCs w:val="20"/>
          <w:highlight w:val="yellow"/>
        </w:rPr>
        <w:t>plaque</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index (PI)</w:t>
      </w:r>
      <w:r>
        <w:rPr>
          <w:rFonts w:cs="Courier New" w:ascii="Courier New" w:hAnsi="Courier New"/>
          <w:sz w:val="20"/>
          <w:szCs w:val="20"/>
        </w:rPr>
        <w:t xml:space="preserve">], [T &lt;P 0&gt; </w:t>
      </w:r>
      <w:r>
        <w:rPr>
          <w:rFonts w:cs="Courier New" w:ascii="Courier New" w:hAnsi="Courier New"/>
          <w:color w:val="FF0000"/>
          <w:sz w:val="20"/>
          <w:szCs w:val="20"/>
          <w:highlight w:val="yellow"/>
        </w:rPr>
        <w:t>gingival</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index (GI)</w:t>
      </w:r>
      <w:r>
        <w:rPr>
          <w:rFonts w:cs="Courier New" w:ascii="Courier New" w:hAnsi="Courier New"/>
          <w:sz w:val="20"/>
          <w:szCs w:val="20"/>
        </w:rPr>
        <w:t xml:space="preserve">], &lt;P 0&gt; </w:t>
      </w:r>
      <w:r>
        <w:rPr>
          <w:rFonts w:cs="Courier New" w:ascii="Courier New" w:hAnsi="Courier New"/>
          <w:sz w:val="20"/>
          <w:szCs w:val="20"/>
          <w:highlight w:val="yellow"/>
          <w:u w:val="single"/>
        </w:rPr>
        <w:t>probing pocket depth</w:t>
      </w:r>
      <w:r>
        <w:rPr>
          <w:rFonts w:cs="Courier New" w:ascii="Courier New" w:hAnsi="Courier New"/>
          <w:sz w:val="20"/>
          <w:szCs w:val="20"/>
        </w:rPr>
        <w:t xml:space="preserve"> &lt;/&gt;, and &lt;P 0&gt; </w:t>
      </w:r>
      <w:r>
        <w:rPr>
          <w:rFonts w:cs="Courier New" w:ascii="Courier New" w:hAnsi="Courier New"/>
          <w:sz w:val="20"/>
          <w:szCs w:val="20"/>
          <w:highlight w:val="yellow"/>
          <w:u w:val="single"/>
        </w:rPr>
        <w:t>clinical attachment level</w:t>
      </w:r>
      <w:r>
        <w:rPr>
          <w:rFonts w:cs="Courier New" w:ascii="Courier New" w:hAnsi="Courier New"/>
          <w:sz w:val="20"/>
          <w:szCs w:val="20"/>
          <w:highlight w:val="yellow"/>
        </w:rPr>
        <w:t>s (CAL)</w:t>
      </w:r>
      <w:r>
        <w:rPr>
          <w:rFonts w:cs="Courier New" w:ascii="Courier New" w:hAnsi="Courier New"/>
          <w:sz w:val="20"/>
          <w:szCs w:val="20"/>
        </w:rPr>
        <w:t xml:space="preserve"> &lt;/&gt; were done at the baseline and at the 4th week. RESULTS: The results revealed that there was a statistically significant reduction in [T &lt;P 0&gt; </w:t>
      </w:r>
      <w:r>
        <w:rPr>
          <w:rFonts w:cs="Courier New" w:ascii="Courier New" w:hAnsi="Courier New"/>
          <w:color w:val="FF0000"/>
          <w:sz w:val="20"/>
          <w:szCs w:val="20"/>
          <w:highlight w:val="yellow"/>
        </w:rPr>
        <w:t>plaque</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index (PI)</w:t>
      </w:r>
      <w:r>
        <w:rPr>
          <w:rFonts w:cs="Courier New" w:ascii="Courier New" w:hAnsi="Courier New"/>
          <w:sz w:val="20"/>
          <w:szCs w:val="20"/>
        </w:rPr>
        <w:t xml:space="preserve">] and &lt;P 0&gt; </w:t>
      </w:r>
      <w:r>
        <w:rPr>
          <w:rFonts w:cs="Courier New" w:ascii="Courier New" w:hAnsi="Courier New"/>
          <w:sz w:val="20"/>
          <w:szCs w:val="20"/>
          <w:highlight w:val="yellow"/>
        </w:rPr>
        <w:t>probing depth</w:t>
      </w:r>
      <w:r>
        <w:rPr>
          <w:rFonts w:cs="Courier New" w:ascii="Courier New" w:hAnsi="Courier New"/>
          <w:sz w:val="20"/>
          <w:szCs w:val="20"/>
        </w:rPr>
        <w:t xml:space="preserve"> &lt;/&gt; in the test group when compared with the control group. &lt;P 0&gt; </w:t>
      </w:r>
      <w:r>
        <w:rPr>
          <w:rFonts w:cs="Courier New" w:ascii="Courier New" w:hAnsi="Courier New"/>
          <w:sz w:val="20"/>
          <w:szCs w:val="20"/>
          <w:highlight w:val="yellow"/>
          <w:u w:val="single"/>
        </w:rPr>
        <w:t>Clinical attachment level</w:t>
      </w:r>
      <w:r>
        <w:rPr>
          <w:rFonts w:cs="Courier New" w:ascii="Courier New" w:hAnsi="Courier New"/>
          <w:sz w:val="20"/>
          <w:szCs w:val="20"/>
        </w:rPr>
        <w:t xml:space="preserve"> &lt;/&gt; was improved but the results were not statically significant. CONCLUSION: The local application of curcumin gel when used in conjunction with SRP showed a significant improvement in periodontal parameters and has a beneficial effect in patients with chronic periodontitis. CLINICAL SIGNIFICANCE: Curcumin gel as an adjunct to SRP showed a marked improvement in restoring &lt;P 0&gt; </w:t>
      </w:r>
      <w:r>
        <w:rPr>
          <w:rFonts w:cs="Courier New" w:ascii="Courier New" w:hAnsi="Courier New"/>
          <w:sz w:val="20"/>
          <w:szCs w:val="20"/>
          <w:highlight w:val="yellow"/>
        </w:rPr>
        <w:t>gingival health</w:t>
      </w:r>
      <w:r>
        <w:rPr>
          <w:rFonts w:cs="Courier New" w:ascii="Courier New" w:hAnsi="Courier New"/>
          <w:sz w:val="20"/>
          <w:szCs w:val="20"/>
        </w:rPr>
        <w:t xml:space="preserve"> &lt;/&gt; by an improvement in clinical parameters. It has proven properties like anti-inflammatory, antioxidant, antimicrobial, hepatoprotective, immunostimulant, antiseptic, antimutagenic, and it also accelerates wound healing. It may be a more acceptable and viable option for the common man. Curcumin can be used as an effective alternative local drug delivery agent.</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31609293</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Contrast Material Injection Protocol With the Dose Determined According to Lean Body Weight at Hepatic Dynamic Computed Tomography: Comparison Among Patients With Different Body Mass Indices.</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Journal of computer assisted tomography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7703942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['2019/10/15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The objective of this study was to compare &lt;P 32&gt; </w:t>
      </w:r>
      <w:r>
        <w:rPr>
          <w:rFonts w:cs="Courier New" w:ascii="Courier New" w:hAnsi="Courier New"/>
          <w:sz w:val="20"/>
          <w:szCs w:val="20"/>
          <w:highlight w:val="yellow"/>
        </w:rPr>
        <w:t>enhancement</w:t>
      </w:r>
      <w:r>
        <w:rPr>
          <w:rFonts w:cs="Courier New" w:ascii="Courier New" w:hAnsi="Courier New"/>
          <w:sz w:val="20"/>
          <w:szCs w:val="20"/>
        </w:rPr>
        <w:t xml:space="preserve"> &lt;/&gt; of the aorta and liver on hepatic dynamic computed tomography scans acquired with contrast material doses based on the lean body weight (LBW) or the total body weight (TBW). METHODS: We randomly divided 529 patients (279 men, 250 women; median age, 66 years) scheduled for hepatic dynamic computed tomography into 2 groups. The LBW patients (n = 278) were injected with 679 mg iodine/kg (men) or 762 mg iodine/kg (women). The TBW group (n = 251) was injected with 600 mg iodine/kg TBW. Each group was subdivided into the 3 classes based on the body mass index (BMI; low, normal, high). Aortic &lt;P 32&gt; </w:t>
      </w:r>
      <w:r>
        <w:rPr>
          <w:rFonts w:cs="Courier New" w:ascii="Courier New" w:hAnsi="Courier New"/>
          <w:sz w:val="20"/>
          <w:szCs w:val="20"/>
          <w:highlight w:val="yellow"/>
        </w:rPr>
        <w:t>enhancement</w:t>
      </w:r>
      <w:r>
        <w:rPr>
          <w:rFonts w:cs="Courier New" w:ascii="Courier New" w:hAnsi="Courier New"/>
          <w:sz w:val="20"/>
          <w:szCs w:val="20"/>
        </w:rPr>
        <w:t xml:space="preserve"> &lt;/&gt; during the hepatic arterial phase and hepatic enhancement during the portal venous phase was compared. The aortic and hepatic equivalence margins were 100 and 20 Hounsfield units, respectively. RESULTS: Comparison of the median iodine &lt;P 32&gt; </w:t>
      </w:r>
      <w:r>
        <w:rPr>
          <w:rFonts w:cs="Courier New" w:ascii="Courier New" w:hAnsi="Courier New"/>
          <w:sz w:val="20"/>
          <w:szCs w:val="20"/>
          <w:highlight w:val="yellow"/>
        </w:rPr>
        <w:t>dose</w:t>
      </w:r>
      <w:r>
        <w:rPr>
          <w:rFonts w:cs="Courier New" w:ascii="Courier New" w:hAnsi="Courier New"/>
          <w:sz w:val="20"/>
          <w:szCs w:val="20"/>
        </w:rPr>
        <w:t xml:space="preserve"> &lt;/&gt; in patients with a normal or high BMI showed that it was significantly lower under the LBW protocol than the TBW protocol (558.2 and 507.0 mg iodine/kg, P &lt; 0.001, respectively). However, in patients with a low BMI, the LBW protocol delivered a significantly higher &lt;P 32&gt; </w:t>
      </w:r>
      <w:r>
        <w:rPr>
          <w:rFonts w:cs="Courier New" w:ascii="Courier New" w:hAnsi="Courier New"/>
          <w:sz w:val="20"/>
          <w:szCs w:val="20"/>
          <w:highlight w:val="yellow"/>
        </w:rPr>
        <w:t>dose</w:t>
      </w:r>
      <w:r>
        <w:rPr>
          <w:rFonts w:cs="Courier New" w:ascii="Courier New" w:hAnsi="Courier New"/>
          <w:sz w:val="20"/>
          <w:szCs w:val="20"/>
        </w:rPr>
        <w:t xml:space="preserve"> &lt;/&gt; than the TBW protocol (620.7 vs 600.0 mg iodine/kg, P &lt; 0.001). The 95% confidence interval for the difference in aortic and hepatic &lt;P 32&gt; </w:t>
      </w:r>
      <w:r>
        <w:rPr>
          <w:rFonts w:cs="Courier New" w:ascii="Courier New" w:hAnsi="Courier New"/>
          <w:sz w:val="20"/>
          <w:szCs w:val="20"/>
          <w:highlight w:val="yellow"/>
        </w:rPr>
        <w:t>enhancement</w:t>
      </w:r>
      <w:r>
        <w:rPr>
          <w:rFonts w:cs="Courier New" w:ascii="Courier New" w:hAnsi="Courier New"/>
          <w:sz w:val="20"/>
          <w:szCs w:val="20"/>
        </w:rPr>
        <w:t xml:space="preserve"> &lt;/&gt; between the 2 protocols was within the range of the predetermined equivalence margins in all BMI subgroups. CONCLUSIONS: &lt;P 32&gt; </w:t>
      </w:r>
      <w:r>
        <w:rPr>
          <w:rFonts w:cs="Courier New" w:ascii="Courier New" w:hAnsi="Courier New"/>
          <w:sz w:val="20"/>
          <w:szCs w:val="20"/>
          <w:highlight w:val="yellow"/>
        </w:rPr>
        <w:t>Contrast enhancement</w:t>
      </w:r>
      <w:r>
        <w:rPr>
          <w:rFonts w:cs="Courier New" w:ascii="Courier New" w:hAnsi="Courier New"/>
          <w:sz w:val="20"/>
          <w:szCs w:val="20"/>
        </w:rPr>
        <w:t xml:space="preserve"> &lt;/&gt; was equivalent under both protocols. The LBW protocol can avoid iodine &lt;P 32&gt; </w:t>
      </w:r>
      <w:r>
        <w:rPr>
          <w:rFonts w:cs="Courier New" w:ascii="Courier New" w:hAnsi="Courier New"/>
          <w:sz w:val="20"/>
          <w:szCs w:val="20"/>
          <w:highlight w:val="yellow"/>
        </w:rPr>
        <w:t>overdosing</w:t>
      </w:r>
      <w:r>
        <w:rPr>
          <w:rFonts w:cs="Courier New" w:ascii="Courier New" w:hAnsi="Courier New"/>
          <w:sz w:val="20"/>
          <w:szCs w:val="20"/>
        </w:rPr>
        <w:t xml:space="preserve"> &lt;/&gt;, especially in patients with a high BMI.</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31613346</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 xml:space="preserve">Title: Effect of a Nutritional and Behavioral Intervention on Energy-Reduced Mediterranean Diet &lt;P 32&gt; </w:t>
      </w:r>
      <w:r>
        <w:rPr>
          <w:rFonts w:cs="Courier New" w:ascii="Courier New" w:hAnsi="Courier New"/>
          <w:sz w:val="20"/>
          <w:szCs w:val="20"/>
          <w:highlight w:val="yellow"/>
        </w:rPr>
        <w:t>Adherence</w:t>
      </w:r>
      <w:r>
        <w:rPr>
          <w:rFonts w:cs="Courier New" w:ascii="Courier New" w:hAnsi="Courier New"/>
          <w:sz w:val="20"/>
          <w:szCs w:val="20"/>
        </w:rPr>
        <w:t xml:space="preserve"> &lt;/&gt; Among Patients With Metabolic Syndrome: Interim Analysis of the PREDIMED-Plus Randomized Clinical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Comparative Study, Journal Article, Multicenter Study, Randomized Controlled Trial, Research Support, Non-U.S. Gov't,</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JAMA</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7501160</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['2019/10/16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Importance: High-quality dietary patterns may help prevent chronic disease, but limited data exist from randomized trials about the effects of nutritional and behavioral interventions on dietary changes. Objective: To assess the effect of a nutritional and physical activity education program on &lt;P 25&gt; </w:t>
      </w:r>
      <w:r>
        <w:rPr>
          <w:rFonts w:cs="Courier New" w:ascii="Courier New" w:hAnsi="Courier New"/>
          <w:sz w:val="20"/>
          <w:szCs w:val="20"/>
          <w:highlight w:val="yellow"/>
        </w:rPr>
        <w:t>dietary quality</w:t>
      </w:r>
      <w:r>
        <w:rPr>
          <w:rFonts w:cs="Courier New" w:ascii="Courier New" w:hAnsi="Courier New"/>
          <w:sz w:val="20"/>
          <w:szCs w:val="20"/>
        </w:rPr>
        <w:t xml:space="preserve"> &lt;/&gt;. Design, Setting, and Participants: Preliminary exploratory interim analysis of an ongoing randomized trial. In 23 research centers in Spain, 6874 men and women aged 55 to 75 years with metabolic syndrome and no cardiovascular disease were enrolled in the trial between September 2013 and December 2016, with final data collection in March 2019. Interventions: Participants were randomized to an intervention group that encouraged an energy-reduced Mediterranean diet, promoted physical activity, and provided behavioral support (n = 3406) or to a control group that encouraged an energy-unrestricted Mediterranean diet (n = 3468). All participants received allotments of extra-virgin olive oil (1 L/mo) and nuts (125 g/mo) for free. Main Outcomes and Measures: The primary outcome was 12-month change in &lt;P 32&gt; </w:t>
      </w:r>
      <w:r>
        <w:rPr>
          <w:rFonts w:cs="Courier New" w:ascii="Courier New" w:hAnsi="Courier New"/>
          <w:sz w:val="20"/>
          <w:szCs w:val="20"/>
          <w:highlight w:val="yellow"/>
        </w:rPr>
        <w:t>adherence</w:t>
      </w:r>
      <w:r>
        <w:rPr>
          <w:rFonts w:cs="Courier New" w:ascii="Courier New" w:hAnsi="Courier New"/>
          <w:sz w:val="20"/>
          <w:szCs w:val="20"/>
        </w:rPr>
        <w:t xml:space="preserve"> &lt;/&gt; based on </w:t>
      </w:r>
      <w:r>
        <w:rPr>
          <w:rFonts w:cs="Courier New" w:ascii="Courier New" w:hAnsi="Courier New"/>
          <w:color w:val="FF0000"/>
          <w:sz w:val="20"/>
          <w:szCs w:val="20"/>
        </w:rPr>
        <w:t>the energy-reduced Mediterranean diet (er-MedDiet) score</w:t>
      </w:r>
      <w:r>
        <w:rPr>
          <w:rFonts w:cs="Courier New" w:ascii="Courier New" w:hAnsi="Courier New"/>
          <w:sz w:val="20"/>
          <w:szCs w:val="20"/>
        </w:rPr>
        <w:t xml:space="preserve"> (range, 0-17; higher scores indicate greater adherence; minimal clinically important difference, 1 point). Results: Among 6874 randomized participants (mean [SD] age, 65.0 [4.9] years; 3406 [52%] men), 6583 (96%) completed the 12-month follow-up and were included in the main analysis. The mean (SD) </w:t>
      </w:r>
      <w:r>
        <w:rPr>
          <w:rFonts w:cs="Courier New" w:ascii="Courier New" w:hAnsi="Courier New"/>
          <w:color w:val="FF0000"/>
          <w:sz w:val="20"/>
          <w:szCs w:val="20"/>
        </w:rPr>
        <w:t xml:space="preserve">er-MedDiet score </w:t>
      </w:r>
      <w:r>
        <w:rPr>
          <w:rFonts w:cs="Courier New" w:ascii="Courier New" w:hAnsi="Courier New"/>
          <w:sz w:val="20"/>
          <w:szCs w:val="20"/>
        </w:rPr>
        <w:t xml:space="preserve">was 8.5 (2.6) at baseline and 13.2 (2.7) at 12 months in the intervention group (increase, 4.7 [95% CI, 4.6-4.8]) and 8.6 (2.7) at baseline and 11.1 (2.8) at 12 months in the control group (increase, 2.5 [95% CI, 2.3-2.6]) (between-group difference, 2.2 [95% CI, 2.1-2.4]; P &lt; .001). Conclusions and Relevance: In this preliminary analysis of an ongoing trial, an intervention that encouraged an energy-reduced Mediterranean diet and physical activity, compared with advice to follow an energy-unrestricted Mediterranean diet, resulted in a significantly greater increase in diet &lt;P 32&gt; </w:t>
      </w:r>
      <w:r>
        <w:rPr>
          <w:rFonts w:cs="Courier New" w:ascii="Courier New" w:hAnsi="Courier New"/>
          <w:sz w:val="20"/>
          <w:szCs w:val="20"/>
          <w:highlight w:val="yellow"/>
        </w:rPr>
        <w:t>adherence</w:t>
      </w:r>
      <w:r>
        <w:rPr>
          <w:rFonts w:cs="Courier New" w:ascii="Courier New" w:hAnsi="Courier New"/>
          <w:color w:val="FF0000"/>
          <w:sz w:val="20"/>
          <w:szCs w:val="20"/>
        </w:rPr>
        <w:t xml:space="preserve"> </w:t>
      </w:r>
      <w:r>
        <w:rPr>
          <w:rFonts w:cs="Courier New" w:ascii="Courier New" w:hAnsi="Courier New"/>
          <w:sz w:val="20"/>
          <w:szCs w:val="20"/>
        </w:rPr>
        <w:t>&lt;/&gt; after 12 months. Further evaluation of long-term cardiovascular effects is needed. Trial Registration: isrctn.com Identifier: ISRCTN89898870.</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31613945</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Effectiveness of Adjunctive Use of Low-Level Laser Therapy and Photodynamic Therapy After Scaling and Root Planing in Patients with Chronic Periodontitis.</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The International journal of periodontics &amp; restorative dentistry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8200894</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['2019/10/16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The aim of this split-mouth, randomized controlled clinical trial was to evaluate the efficacy of low-level laser therapy (LLLT) and photodynamic therapy (PDT) as an adjunct to scaling and root planing (SRP) in treatment of chronic periodontitis. Each quadrant was categorized into control group (SRP alone; two quadrants per patient), test group 1 (SRP + PDT), and test group 2 (SRP + LLLT. The test groups showed significantly higher reductions in [T &lt;P 0&gt; </w:t>
      </w:r>
      <w:r>
        <w:rPr>
          <w:rFonts w:cs="Courier New" w:ascii="Courier New" w:hAnsi="Courier New"/>
          <w:color w:val="FF0000"/>
          <w:sz w:val="20"/>
          <w:szCs w:val="20"/>
          <w:highlight w:val="yellow"/>
        </w:rPr>
        <w:t>Gingival</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Index</w:t>
      </w:r>
      <w:r>
        <w:rPr>
          <w:rFonts w:cs="Courier New" w:ascii="Courier New" w:hAnsi="Courier New"/>
          <w:sz w:val="20"/>
          <w:szCs w:val="20"/>
        </w:rPr>
        <w:t xml:space="preserve">], &lt;P 0&gt; </w:t>
      </w:r>
      <w:r>
        <w:rPr>
          <w:rFonts w:cs="Courier New" w:ascii="Courier New" w:hAnsi="Courier New"/>
          <w:sz w:val="20"/>
          <w:szCs w:val="20"/>
          <w:highlight w:val="yellow"/>
        </w:rPr>
        <w:t>probing depth</w:t>
      </w:r>
      <w:r>
        <w:rPr>
          <w:rFonts w:cs="Courier New" w:ascii="Courier New" w:hAnsi="Courier New"/>
          <w:sz w:val="20"/>
          <w:szCs w:val="20"/>
        </w:rPr>
        <w:t xml:space="preserve"> &lt;/&gt;, and &lt;P 0&gt; </w:t>
      </w:r>
      <w:r>
        <w:rPr>
          <w:rFonts w:cs="Courier New" w:ascii="Courier New" w:hAnsi="Courier New"/>
          <w:sz w:val="20"/>
          <w:szCs w:val="20"/>
          <w:highlight w:val="yellow"/>
        </w:rPr>
        <w:t>clinical attachment level</w:t>
      </w:r>
      <w:r>
        <w:rPr>
          <w:rFonts w:cs="Courier New" w:ascii="Courier New" w:hAnsi="Courier New"/>
          <w:sz w:val="20"/>
          <w:szCs w:val="20"/>
        </w:rPr>
        <w:t xml:space="preserve"> &lt;/&gt; as well as reductions in &lt;P 0&gt; </w:t>
      </w:r>
      <w:r>
        <w:rPr>
          <w:rFonts w:cs="Courier New" w:ascii="Courier New" w:hAnsi="Courier New"/>
          <w:sz w:val="20"/>
          <w:szCs w:val="20"/>
          <w:highlight w:val="yellow"/>
        </w:rPr>
        <w:t>Porphyromonas gingivalis</w:t>
      </w:r>
      <w:r>
        <w:rPr>
          <w:rFonts w:cs="Courier New" w:ascii="Courier New" w:hAnsi="Courier New"/>
          <w:sz w:val="20"/>
          <w:szCs w:val="20"/>
        </w:rPr>
        <w:t xml:space="preserve"> &lt;/&gt; and &lt;P 0&gt; </w:t>
      </w:r>
      <w:r>
        <w:rPr>
          <w:rFonts w:cs="Courier New" w:ascii="Courier New" w:hAnsi="Courier New"/>
          <w:sz w:val="20"/>
          <w:szCs w:val="20"/>
          <w:highlight w:val="yellow"/>
        </w:rPr>
        <w:t>Aggregatibacter actinomycetemcomitans</w:t>
      </w:r>
      <w:r>
        <w:rPr>
          <w:rFonts w:cs="Courier New" w:ascii="Courier New" w:hAnsi="Courier New"/>
          <w:sz w:val="20"/>
          <w:szCs w:val="20"/>
        </w:rPr>
        <w:t xml:space="preserve"> &lt;/&gt; counts at 1-, 3-, 6-, and 9-month follow-ups when compared with the control group.</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31615781</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 xml:space="preserve">Title: Effectiveness of routine third trimester ultrasonography to reduce &lt;P 38&gt; </w:t>
      </w:r>
      <w:r>
        <w:rPr>
          <w:rFonts w:cs="Courier New" w:ascii="Courier New" w:hAnsi="Courier New"/>
          <w:sz w:val="20"/>
          <w:szCs w:val="20"/>
          <w:highlight w:val="yellow"/>
        </w:rPr>
        <w:t>adverse perinatal outcomes</w:t>
      </w:r>
      <w:r>
        <w:rPr>
          <w:rFonts w:cs="Courier New" w:ascii="Courier New" w:hAnsi="Courier New"/>
          <w:sz w:val="20"/>
          <w:szCs w:val="20"/>
        </w:rPr>
        <w:t xml:space="preserve"> &lt;/&gt; in low risk pregnancy (the IRIS study): nationwide, pragmatic, multicentre, stepped wedge cluster randomised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Multicenter Study, Pragmatic Clinical Trial, Randomized Controlled Trial, Research Support, Non-U.S. Gov't,</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BMJ (Clinical research ed.)</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8900488</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['2019/10/17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OBJECTIVES: To investigate the effectiveness of routine ultrasonography in the third trimester in reducing &lt;P 0, 1&gt; </w:t>
      </w:r>
      <w:r>
        <w:rPr>
          <w:rFonts w:cs="Courier New" w:ascii="Courier New" w:hAnsi="Courier New"/>
          <w:sz w:val="20"/>
          <w:szCs w:val="20"/>
          <w:highlight w:val="yellow"/>
        </w:rPr>
        <w:t>adverse perinatal</w:t>
      </w:r>
      <w:r>
        <w:rPr>
          <w:rFonts w:cs="Courier New" w:ascii="Courier New" w:hAnsi="Courier New"/>
          <w:sz w:val="20"/>
          <w:szCs w:val="20"/>
        </w:rPr>
        <w:t xml:space="preserve"> &lt;/&gt; outcomes in low risk pregnancies compared with usual care and the effect of this policy on &lt;P 0&gt; </w:t>
      </w:r>
      <w:r>
        <w:rPr>
          <w:rFonts w:cs="Courier New" w:ascii="Courier New" w:hAnsi="Courier New"/>
          <w:sz w:val="20"/>
          <w:szCs w:val="20"/>
          <w:highlight w:val="yellow"/>
        </w:rPr>
        <w:t>maternal</w:t>
      </w:r>
      <w:r>
        <w:rPr>
          <w:rFonts w:cs="Courier New" w:ascii="Courier New" w:hAnsi="Courier New"/>
          <w:sz w:val="20"/>
          <w:szCs w:val="20"/>
        </w:rPr>
        <w:t xml:space="preserve"> &lt;/&gt; outcomes and &lt;P 36&gt; </w:t>
      </w:r>
      <w:r>
        <w:rPr>
          <w:rFonts w:cs="Courier New" w:ascii="Courier New" w:hAnsi="Courier New"/>
          <w:sz w:val="20"/>
          <w:szCs w:val="20"/>
          <w:highlight w:val="yellow"/>
        </w:rPr>
        <w:t>obstetric interventions</w:t>
      </w:r>
      <w:r>
        <w:rPr>
          <w:rFonts w:cs="Courier New" w:ascii="Courier New" w:hAnsi="Courier New"/>
          <w:sz w:val="20"/>
          <w:szCs w:val="20"/>
        </w:rPr>
        <w:t xml:space="preserve"> &lt;/&gt;. DESIGN: Pragmatic, multicentre, stepped wedge cluster randomised trial. SETTING: 60 midwifery practices in the Netherlands. PARTICIPANTS: 13 046 women aged 16 years or older with a low risk singleton pregnancy. INTERVENTIONS: 60 midwifery practices offered usual care (serial fundal height measurements with clinically indicated ultrasonography). After 3, 7, and 10 months, a third of the practices were randomised to the intervention strategy. As well as receiving usual care, women in the intervention strategy were offered two routine biometry scans at 28-30 and 34-36 weeks' gestation. The same multidisciplinary protocol for detecting and managing fetal growth restriction was used in both strategies. MAIN OUTCOME MEASURES: The primary outcome measure was a composite of &lt;P 38&gt; </w:t>
      </w:r>
      <w:r>
        <w:rPr>
          <w:rFonts w:cs="Courier New" w:ascii="Courier New" w:hAnsi="Courier New"/>
          <w:sz w:val="20"/>
          <w:szCs w:val="20"/>
          <w:highlight w:val="yellow"/>
        </w:rPr>
        <w:t>severe adverse perinatal outcomes</w:t>
      </w:r>
      <w:r>
        <w:rPr>
          <w:rFonts w:cs="Courier New" w:ascii="Courier New" w:hAnsi="Courier New"/>
          <w:sz w:val="20"/>
          <w:szCs w:val="20"/>
        </w:rPr>
        <w:t xml:space="preserve"> &lt;/&gt;: &lt;P 1&gt; </w:t>
      </w:r>
      <w:r>
        <w:rPr>
          <w:rFonts w:cs="Courier New" w:ascii="Courier New" w:hAnsi="Courier New"/>
          <w:sz w:val="20"/>
          <w:szCs w:val="20"/>
          <w:highlight w:val="yellow"/>
        </w:rPr>
        <w:t>perinatal death</w:t>
      </w:r>
      <w:r>
        <w:rPr>
          <w:rFonts w:cs="Courier New" w:ascii="Courier New" w:hAnsi="Courier New"/>
          <w:sz w:val="20"/>
          <w:szCs w:val="20"/>
        </w:rPr>
        <w:t xml:space="preserve"> &lt;/&gt;, &lt;P 0&gt; </w:t>
      </w:r>
      <w:r>
        <w:rPr>
          <w:rFonts w:cs="Courier New" w:ascii="Courier New" w:hAnsi="Courier New"/>
          <w:sz w:val="20"/>
          <w:szCs w:val="20"/>
          <w:highlight w:val="yellow"/>
        </w:rPr>
        <w:t>Apgar score</w:t>
      </w:r>
      <w:r>
        <w:rPr>
          <w:rFonts w:cs="Courier New" w:ascii="Courier New" w:hAnsi="Courier New"/>
          <w:sz w:val="20"/>
          <w:szCs w:val="20"/>
        </w:rPr>
        <w:t xml:space="preserve"> &lt;/&gt; &lt;4, &lt;P 0&gt; </w:t>
      </w:r>
      <w:r>
        <w:rPr>
          <w:rFonts w:cs="Courier New" w:ascii="Courier New" w:hAnsi="Courier New"/>
          <w:sz w:val="20"/>
          <w:szCs w:val="20"/>
          <w:highlight w:val="yellow"/>
        </w:rPr>
        <w:t>impaired consciousness</w:t>
      </w:r>
      <w:r>
        <w:rPr>
          <w:rFonts w:cs="Courier New" w:ascii="Courier New" w:hAnsi="Courier New"/>
          <w:sz w:val="20"/>
          <w:szCs w:val="20"/>
        </w:rPr>
        <w:t xml:space="preserve"> &lt;/&gt;, &lt;P 0&gt; </w:t>
      </w:r>
      <w:r>
        <w:rPr>
          <w:rFonts w:cs="Courier New" w:ascii="Courier New" w:hAnsi="Courier New"/>
          <w:sz w:val="20"/>
          <w:szCs w:val="20"/>
          <w:highlight w:val="yellow"/>
        </w:rPr>
        <w:t>asphyxia</w:t>
      </w:r>
      <w:r>
        <w:rPr>
          <w:rFonts w:cs="Courier New" w:ascii="Courier New" w:hAnsi="Courier New"/>
          <w:sz w:val="20"/>
          <w:szCs w:val="20"/>
        </w:rPr>
        <w:t xml:space="preserve"> &lt;/&gt;, &lt;P 0&gt; </w:t>
      </w:r>
      <w:r>
        <w:rPr>
          <w:rFonts w:cs="Courier New" w:ascii="Courier New" w:hAnsi="Courier New"/>
          <w:sz w:val="20"/>
          <w:szCs w:val="20"/>
          <w:highlight w:val="yellow"/>
        </w:rPr>
        <w:t>seizures</w:t>
      </w:r>
      <w:r>
        <w:rPr>
          <w:rFonts w:cs="Courier New" w:ascii="Courier New" w:hAnsi="Courier New"/>
          <w:sz w:val="20"/>
          <w:szCs w:val="20"/>
        </w:rPr>
        <w:t xml:space="preserve"> &lt;/&gt;, &lt;P 0&gt; </w:t>
      </w:r>
      <w:r>
        <w:rPr>
          <w:rFonts w:cs="Courier New" w:ascii="Courier New" w:hAnsi="Courier New"/>
          <w:sz w:val="20"/>
          <w:szCs w:val="20"/>
          <w:highlight w:val="yellow"/>
        </w:rPr>
        <w:t>assisted ventilation</w:t>
      </w:r>
      <w:r>
        <w:rPr>
          <w:rFonts w:cs="Courier New" w:ascii="Courier New" w:hAnsi="Courier New"/>
          <w:sz w:val="20"/>
          <w:szCs w:val="20"/>
        </w:rPr>
        <w:t xml:space="preserve"> &lt;/&gt;, &lt;P 0&gt; </w:t>
      </w:r>
      <w:r>
        <w:rPr>
          <w:rFonts w:cs="Courier New" w:ascii="Courier New" w:hAnsi="Courier New"/>
          <w:sz w:val="20"/>
          <w:szCs w:val="20"/>
          <w:highlight w:val="yellow"/>
        </w:rPr>
        <w:t>septicaemia</w:t>
      </w:r>
      <w:r>
        <w:rPr>
          <w:rFonts w:cs="Courier New" w:ascii="Courier New" w:hAnsi="Courier New"/>
          <w:sz w:val="20"/>
          <w:szCs w:val="20"/>
        </w:rPr>
        <w:t xml:space="preserve"> &lt;/&gt;, &lt;P 0&gt; </w:t>
      </w:r>
      <w:r>
        <w:rPr>
          <w:rFonts w:cs="Courier New" w:ascii="Courier New" w:hAnsi="Courier New"/>
          <w:sz w:val="20"/>
          <w:szCs w:val="20"/>
          <w:highlight w:val="yellow"/>
        </w:rPr>
        <w:t>meningitis</w:t>
      </w:r>
      <w:r>
        <w:rPr>
          <w:rFonts w:cs="Courier New" w:ascii="Courier New" w:hAnsi="Courier New"/>
          <w:sz w:val="20"/>
          <w:szCs w:val="20"/>
        </w:rPr>
        <w:t xml:space="preserve"> &lt;/&gt;, &lt;P 0&gt; </w:t>
      </w:r>
      <w:r>
        <w:rPr>
          <w:rFonts w:cs="Courier New" w:ascii="Courier New" w:hAnsi="Courier New"/>
          <w:sz w:val="20"/>
          <w:szCs w:val="20"/>
          <w:highlight w:val="yellow"/>
        </w:rPr>
        <w:t>bronchopulmonary dysplasia</w:t>
      </w:r>
      <w:r>
        <w:rPr>
          <w:rFonts w:cs="Courier New" w:ascii="Courier New" w:hAnsi="Courier New"/>
          <w:sz w:val="20"/>
          <w:szCs w:val="20"/>
        </w:rPr>
        <w:t xml:space="preserve"> &lt;/&gt;, &lt;P 0&gt; </w:t>
      </w:r>
      <w:r>
        <w:rPr>
          <w:rFonts w:cs="Courier New" w:ascii="Courier New" w:hAnsi="Courier New"/>
          <w:sz w:val="20"/>
          <w:szCs w:val="20"/>
          <w:highlight w:val="yellow"/>
        </w:rPr>
        <w:t>intraventricular haemorrhage</w:t>
      </w:r>
      <w:r>
        <w:rPr>
          <w:rFonts w:cs="Courier New" w:ascii="Courier New" w:hAnsi="Courier New"/>
          <w:sz w:val="20"/>
          <w:szCs w:val="20"/>
        </w:rPr>
        <w:t xml:space="preserve"> &lt;/&gt;, &lt;P 0&gt; </w:t>
      </w:r>
      <w:r>
        <w:rPr>
          <w:rFonts w:cs="Courier New" w:ascii="Courier New" w:hAnsi="Courier New"/>
          <w:sz w:val="20"/>
          <w:szCs w:val="20"/>
          <w:highlight w:val="yellow"/>
        </w:rPr>
        <w:t>periventricular leukomalacia</w:t>
      </w:r>
      <w:r>
        <w:rPr>
          <w:rFonts w:cs="Courier New" w:ascii="Courier New" w:hAnsi="Courier New"/>
          <w:sz w:val="20"/>
          <w:szCs w:val="20"/>
        </w:rPr>
        <w:t xml:space="preserve"> &lt;/&gt;</w:t>
      </w:r>
      <w:bookmarkStart w:id="0" w:name="_GoBack"/>
      <w:bookmarkEnd w:id="0"/>
      <w:r>
        <w:rPr>
          <w:rFonts w:cs="Courier New" w:ascii="Courier New" w:hAnsi="Courier New"/>
          <w:sz w:val="20"/>
          <w:szCs w:val="20"/>
        </w:rPr>
        <w:t xml:space="preserve">, or &lt;P 0&gt; </w:t>
      </w:r>
      <w:r>
        <w:rPr>
          <w:rFonts w:cs="Courier New" w:ascii="Courier New" w:hAnsi="Courier New"/>
          <w:sz w:val="20"/>
          <w:szCs w:val="20"/>
          <w:highlight w:val="yellow"/>
        </w:rPr>
        <w:t>necrotising enterocolitis</w:t>
      </w:r>
      <w:r>
        <w:rPr>
          <w:rFonts w:cs="Courier New" w:ascii="Courier New" w:hAnsi="Courier New"/>
          <w:sz w:val="20"/>
          <w:szCs w:val="20"/>
        </w:rPr>
        <w:t xml:space="preserve"> &lt;/&gt;. Secondary outcomes were two composite measures of &lt;P 0&gt; </w:t>
      </w:r>
      <w:r>
        <w:rPr>
          <w:rFonts w:cs="Courier New" w:ascii="Courier New" w:hAnsi="Courier New"/>
          <w:sz w:val="20"/>
          <w:szCs w:val="20"/>
          <w:highlight w:val="yellow"/>
        </w:rPr>
        <w:t>severe maternal morbidity</w:t>
      </w:r>
      <w:r>
        <w:rPr>
          <w:rFonts w:cs="Courier New" w:ascii="Courier New" w:hAnsi="Courier New"/>
          <w:sz w:val="20"/>
          <w:szCs w:val="20"/>
        </w:rPr>
        <w:t xml:space="preserve"> &lt;/&gt;, and &lt;P 0&gt; </w:t>
      </w:r>
      <w:r>
        <w:rPr>
          <w:rFonts w:cs="Courier New" w:ascii="Courier New" w:hAnsi="Courier New"/>
          <w:sz w:val="20"/>
          <w:szCs w:val="20"/>
          <w:highlight w:val="yellow"/>
        </w:rPr>
        <w:t>spontaneous labour and birth</w:t>
      </w:r>
      <w:r>
        <w:rPr>
          <w:rFonts w:cs="Courier New" w:ascii="Courier New" w:hAnsi="Courier New"/>
          <w:sz w:val="20"/>
          <w:szCs w:val="20"/>
        </w:rPr>
        <w:t xml:space="preserve"> &lt;/&gt;. RESULTS: Between 1 February 2015 and 29 February 2016, 60 midwifery practices enrolled 13 520 women in mid-pregnancy (mean 22.8 (SD 2.4) weeks' gestation). 13 046 women (intervention n=7067, usual care n=5979) with data based on the national Dutch perinatal registry or hospital records were included in the analyses. &lt;P 0&gt; </w:t>
      </w:r>
      <w:r>
        <w:rPr>
          <w:rFonts w:cs="Courier New" w:ascii="Courier New" w:hAnsi="Courier New"/>
          <w:sz w:val="20"/>
          <w:szCs w:val="20"/>
          <w:highlight w:val="yellow"/>
        </w:rPr>
        <w:t>Small for gestational age at birth</w:t>
      </w:r>
      <w:r>
        <w:rPr>
          <w:rFonts w:cs="Courier New" w:ascii="Courier New" w:hAnsi="Courier New"/>
          <w:sz w:val="20"/>
          <w:szCs w:val="20"/>
        </w:rPr>
        <w:t xml:space="preserve"> &lt;/&gt; was significantly more often detected in the intervention group than in the usual care group (179 of 556 (32%) v 78 of 407 (19%), P&lt;0.001). The incidence of &lt;P 38&gt; </w:t>
      </w:r>
      <w:r>
        <w:rPr>
          <w:rFonts w:cs="Courier New" w:ascii="Courier New" w:hAnsi="Courier New"/>
          <w:sz w:val="20"/>
          <w:szCs w:val="20"/>
          <w:highlight w:val="yellow"/>
        </w:rPr>
        <w:t>severe adverse perinatal outcomes</w:t>
      </w:r>
      <w:r>
        <w:rPr>
          <w:rFonts w:cs="Courier New" w:ascii="Courier New" w:hAnsi="Courier New"/>
          <w:sz w:val="20"/>
          <w:szCs w:val="20"/>
        </w:rPr>
        <w:t xml:space="preserve"> &lt;/&gt; was 1.7% (n=118) for the intervention strategy and 1.8% (n=106) for usual care. After adjustment for confounders, the difference between the groups was not significant (odds ratio 0.88, 95% confidence interval 0.70 to 1.20). The intervention strategy showed a higher incidence of &lt;P 36&gt; </w:t>
      </w:r>
      <w:r>
        <w:rPr>
          <w:rFonts w:cs="Courier New" w:ascii="Courier New" w:hAnsi="Courier New"/>
          <w:sz w:val="20"/>
          <w:szCs w:val="20"/>
          <w:highlight w:val="yellow"/>
        </w:rPr>
        <w:t>induction of labour</w:t>
      </w:r>
      <w:r>
        <w:rPr>
          <w:rFonts w:cs="Courier New" w:ascii="Courier New" w:hAnsi="Courier New"/>
          <w:sz w:val="20"/>
          <w:szCs w:val="20"/>
        </w:rPr>
        <w:t xml:space="preserve"> &lt;/&gt; (1.16, 1.04 to 1.30) and a lower incidence of &lt;P 36&gt; </w:t>
      </w:r>
      <w:r>
        <w:rPr>
          <w:rFonts w:cs="Courier New" w:ascii="Courier New" w:hAnsi="Courier New"/>
          <w:sz w:val="20"/>
          <w:szCs w:val="20"/>
          <w:highlight w:val="yellow"/>
        </w:rPr>
        <w:t>augmentation of labour</w:t>
      </w:r>
      <w:r>
        <w:rPr>
          <w:rFonts w:cs="Courier New" w:ascii="Courier New" w:hAnsi="Courier New"/>
          <w:sz w:val="20"/>
          <w:szCs w:val="20"/>
        </w:rPr>
        <w:t xml:space="preserve"> &lt;/&gt; (0.78, 0.71 to 0.85). &lt;P 0&gt; </w:t>
      </w:r>
      <w:r>
        <w:rPr>
          <w:rFonts w:cs="Courier New" w:ascii="Courier New" w:hAnsi="Courier New"/>
          <w:sz w:val="20"/>
          <w:szCs w:val="20"/>
          <w:highlight w:val="yellow"/>
        </w:rPr>
        <w:t>Maternal</w:t>
      </w:r>
      <w:r>
        <w:rPr>
          <w:rFonts w:cs="Courier New" w:ascii="Courier New" w:hAnsi="Courier New"/>
          <w:sz w:val="20"/>
          <w:szCs w:val="20"/>
        </w:rPr>
        <w:t xml:space="preserve"> &lt;/&gt; outcomes and other &lt;P 36&gt; </w:t>
      </w:r>
      <w:r>
        <w:rPr>
          <w:rFonts w:cs="Courier New" w:ascii="Courier New" w:hAnsi="Courier New"/>
          <w:sz w:val="20"/>
          <w:szCs w:val="20"/>
          <w:highlight w:val="yellow"/>
        </w:rPr>
        <w:t>obstetric interventions</w:t>
      </w:r>
      <w:r>
        <w:rPr>
          <w:rFonts w:cs="Courier New" w:ascii="Courier New" w:hAnsi="Courier New"/>
          <w:sz w:val="20"/>
          <w:szCs w:val="20"/>
        </w:rPr>
        <w:t xml:space="preserve"> &lt;/&gt; did not differ between the strategies. CONCLUSION: In low risk pregnancies, routine ultrasonography in the third trimester along with clinically indicated ultrasonography was associated with higher antenatal detection of &lt;P 0&gt; </w:t>
      </w:r>
      <w:r>
        <w:rPr>
          <w:rFonts w:cs="Courier New" w:ascii="Courier New" w:hAnsi="Courier New"/>
          <w:sz w:val="20"/>
          <w:szCs w:val="20"/>
          <w:highlight w:val="yellow"/>
        </w:rPr>
        <w:t>small for gestational age fetuses</w:t>
      </w:r>
      <w:r>
        <w:rPr>
          <w:rFonts w:cs="Courier New" w:ascii="Courier New" w:hAnsi="Courier New"/>
          <w:sz w:val="20"/>
          <w:szCs w:val="20"/>
        </w:rPr>
        <w:t xml:space="preserve"> &lt;/&gt; but not with a reduced incidence of &lt;P 38&gt; </w:t>
      </w:r>
      <w:r>
        <w:rPr>
          <w:rFonts w:cs="Courier New" w:ascii="Courier New" w:hAnsi="Courier New"/>
          <w:sz w:val="20"/>
          <w:szCs w:val="20"/>
          <w:highlight w:val="yellow"/>
        </w:rPr>
        <w:t>severe adverse perinatal outcomes</w:t>
      </w:r>
      <w:r>
        <w:rPr>
          <w:rFonts w:cs="Courier New" w:ascii="Courier New" w:hAnsi="Courier New"/>
          <w:sz w:val="20"/>
          <w:szCs w:val="20"/>
        </w:rPr>
        <w:t xml:space="preserve"> &lt;/&gt; compared with usual care alone. The findings do not support routine ultrasonography in the third trimester for low risk pregnancies. TRIAL REGISTRATION: Netherlands Trial Register NTR4367.</w:t>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31618286</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Traditional chest drainage versus drainage by thoracotomy: a prospective randomized study.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Einstein (Sao Paulo, Brazil)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101281800</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['2019/10/17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To compare the chest tube drainage by the same thoracotomy intercostal space with the traditional approach in patients undergoing muscle-sparing thoracotomy. METHODS: We evaluated 40 patients aged &gt;/=18 years who underwent elective muscle sparing thoracotomies. Patients were divided into two groups of 20 patients. One group underwent thoracic drainage by the same intercostal space of thoracotomy and the other by traditional chest drainage approach. RESULTS: The mean &lt;P 35&gt; </w:t>
      </w:r>
      <w:r>
        <w:rPr>
          <w:rFonts w:cs="Courier New" w:ascii="Courier New" w:hAnsi="Courier New"/>
          <w:sz w:val="20"/>
          <w:szCs w:val="20"/>
          <w:highlight w:val="yellow"/>
        </w:rPr>
        <w:t>length of hospital stay</w:t>
      </w:r>
      <w:r>
        <w:rPr>
          <w:rFonts w:cs="Courier New" w:ascii="Courier New" w:hAnsi="Courier New"/>
          <w:sz w:val="20"/>
          <w:szCs w:val="20"/>
        </w:rPr>
        <w:t xml:space="preserve"> &lt;/&gt; for the intercostal drainage group in the intensive care unit was 1.5 day (1.0 to 2.0 days) and 2.0 days (25.1 to 3.0 days) for the traditional chest drainage group (p=0.060). The intercostal drainage group had mean &lt;P 35&gt; </w:t>
      </w:r>
      <w:r>
        <w:rPr>
          <w:rFonts w:cs="Courier New" w:ascii="Courier New" w:hAnsi="Courier New"/>
          <w:sz w:val="20"/>
          <w:szCs w:val="20"/>
          <w:highlight w:val="yellow"/>
        </w:rPr>
        <w:t>length of hospital stay</w:t>
      </w:r>
      <w:r>
        <w:rPr>
          <w:rFonts w:cs="Courier New" w:ascii="Courier New" w:hAnsi="Courier New"/>
          <w:sz w:val="20"/>
          <w:szCs w:val="20"/>
        </w:rPr>
        <w:t xml:space="preserve"> &lt;/&gt; (p=0.527) and drainage (p=0.547) of 4 days, and the traditional chest drainage group and 2 and 5.5 days, respectively. Dipirona and tramadol doses did not differ between groups (p=0.201 and p=0.341). The mean &lt;P 0&gt; </w:t>
      </w:r>
      <w:r>
        <w:rPr>
          <w:rFonts w:cs="Courier New" w:ascii="Courier New" w:hAnsi="Courier New"/>
          <w:sz w:val="20"/>
          <w:szCs w:val="20"/>
          <w:highlight w:val="yellow"/>
        </w:rPr>
        <w:t>pain</w:t>
      </w:r>
      <w:r>
        <w:rPr>
          <w:rFonts w:cs="Courier New" w:ascii="Courier New" w:hAnsi="Courier New"/>
          <w:sz w:val="20"/>
          <w:szCs w:val="20"/>
        </w:rPr>
        <w:t xml:space="preserve"> &lt;/&gt; scale values on first postoperative was 4.24 in the drainage by the same intercostal group and 3.95 in the traditional chest drainage (p=0.733). In third postoperative day, mean was 3.18 for the first group and 3.11 for the traditional group (p=0.937). In the 15th day after surgery, drainage by the incision was 1.53 and the traditional chest drainage was 2.11 (p=0.440), 30th days after drainage by incision was 0.71 and traditional chest drainage was 0.84 (p=0.787). &lt;P 38&gt; </w:t>
      </w:r>
      <w:r>
        <w:rPr>
          <w:rFonts w:cs="Courier New" w:ascii="Courier New" w:hAnsi="Courier New"/>
          <w:sz w:val="20"/>
          <w:szCs w:val="20"/>
          <w:highlight w:val="yellow"/>
        </w:rPr>
        <w:t>Complications</w:t>
      </w:r>
      <w:r>
        <w:rPr>
          <w:rFonts w:cs="Courier New" w:ascii="Courier New" w:hAnsi="Courier New"/>
          <w:sz w:val="20"/>
          <w:szCs w:val="20"/>
        </w:rPr>
        <w:t xml:space="preserve"> &lt;/&gt;, for both groups were similar with 30% in proposed drainage and 25% in traditional approach (p=0.723). CONCLUSION: Drainage by the same thoracotomy intercostal space was feasible and results 30 days after surgery were not inferior to those of the traditional chest drainage approach.</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31618328</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Therapeutic effects of dimethyldiguanide combined with clomifene citrate in the treatment of polycystic ovary syndrome.</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Revista da Associacao Medica Brasileira (1992)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9308586</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['2019/10/17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In view of the high incidence of polycystic ovary syndrome (PCOS) and the unsatisfactory therapeutic effects of dimethyldiguanide or clomifene citrate alone, our study aimed to investigate the therapeutic effects of dimethyldiguanide combined with clomifene citrate in the treatment of PCOS. METHODS: A total of 79 patients with POCS and 35 healthy females were included, and endometrial biopsies were obtained. The &lt;P 0&gt; </w:t>
      </w:r>
      <w:r>
        <w:rPr>
          <w:rFonts w:cs="Courier New" w:ascii="Courier New" w:hAnsi="Courier New"/>
          <w:sz w:val="20"/>
          <w:szCs w:val="20"/>
          <w:highlight w:val="yellow"/>
        </w:rPr>
        <w:t>sterol regulatory element-binding protein-1 (SREBP1) expression</w:t>
      </w:r>
      <w:r>
        <w:rPr>
          <w:rFonts w:cs="Courier New" w:ascii="Courier New" w:hAnsi="Courier New"/>
          <w:sz w:val="20"/>
          <w:szCs w:val="20"/>
        </w:rPr>
        <w:t xml:space="preserve"> &lt;/&gt; in endometrial tissues was detected by qRT-PCR. POC patients were randomly divided into group A (n=40) and group B (n=39). Patients in group A were treated with dimethyldiguanide combined with clomifene citrate, while patients in group B were treated with clomifene citrate alone. The number of &lt;P 0&gt; </w:t>
      </w:r>
      <w:r>
        <w:rPr>
          <w:rFonts w:cs="Courier New" w:ascii="Courier New" w:hAnsi="Courier New"/>
          <w:sz w:val="20"/>
          <w:szCs w:val="20"/>
          <w:highlight w:val="yellow"/>
        </w:rPr>
        <w:t>mature follicles</w:t>
      </w:r>
      <w:r>
        <w:rPr>
          <w:rFonts w:cs="Courier New" w:ascii="Courier New" w:hAnsi="Courier New"/>
          <w:sz w:val="20"/>
          <w:szCs w:val="20"/>
        </w:rPr>
        <w:t xml:space="preserve"> &lt;/&gt; and [T &lt;P 0&gt; </w:t>
      </w:r>
      <w:r>
        <w:rPr>
          <w:rFonts w:cs="Courier New" w:ascii="Courier New" w:hAnsi="Courier New"/>
          <w:color w:val="FF0000"/>
          <w:sz w:val="20"/>
          <w:szCs w:val="20"/>
          <w:highlight w:val="yellow"/>
        </w:rPr>
        <w:t>cervical mucus</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rPr>
        <w:t>score</w:t>
      </w:r>
      <w:r>
        <w:rPr>
          <w:rFonts w:cs="Courier New" w:ascii="Courier New" w:hAnsi="Courier New"/>
          <w:sz w:val="20"/>
          <w:szCs w:val="20"/>
        </w:rPr>
        <w:t xml:space="preserve">], &lt;P 0&gt; </w:t>
      </w:r>
      <w:r>
        <w:rPr>
          <w:rFonts w:cs="Courier New" w:ascii="Courier New" w:hAnsi="Courier New"/>
          <w:sz w:val="20"/>
          <w:szCs w:val="20"/>
          <w:highlight w:val="yellow"/>
        </w:rPr>
        <w:t>follicular development</w:t>
      </w:r>
      <w:r>
        <w:rPr>
          <w:rFonts w:cs="Courier New" w:ascii="Courier New" w:hAnsi="Courier New"/>
          <w:sz w:val="20"/>
          <w:szCs w:val="20"/>
        </w:rPr>
        <w:t xml:space="preserve"> &lt;/&gt; rate and &lt;P 0&gt; </w:t>
      </w:r>
      <w:r>
        <w:rPr>
          <w:rFonts w:cs="Courier New" w:ascii="Courier New" w:hAnsi="Courier New"/>
          <w:sz w:val="20"/>
          <w:szCs w:val="20"/>
          <w:highlight w:val="yellow"/>
        </w:rPr>
        <w:t>single follicle ovulation</w:t>
      </w:r>
      <w:r>
        <w:rPr>
          <w:rFonts w:cs="Courier New" w:ascii="Courier New" w:hAnsi="Courier New"/>
          <w:sz w:val="20"/>
          <w:szCs w:val="20"/>
        </w:rPr>
        <w:t xml:space="preserve"> &lt;/&gt; rate, &lt;P 0&gt; </w:t>
      </w:r>
      <w:r>
        <w:rPr>
          <w:rFonts w:cs="Courier New" w:ascii="Courier New" w:hAnsi="Courier New"/>
          <w:sz w:val="20"/>
          <w:szCs w:val="20"/>
          <w:highlight w:val="yellow"/>
        </w:rPr>
        <w:t>cycle pregnancy</w:t>
      </w:r>
      <w:r>
        <w:rPr>
          <w:rFonts w:cs="Courier New" w:ascii="Courier New" w:hAnsi="Courier New"/>
          <w:sz w:val="20"/>
          <w:szCs w:val="20"/>
        </w:rPr>
        <w:t xml:space="preserve"> &lt;/&gt; rate, &lt;P 1&gt; </w:t>
      </w:r>
      <w:r>
        <w:rPr>
          <w:rFonts w:cs="Courier New" w:ascii="Courier New" w:hAnsi="Courier New"/>
          <w:sz w:val="20"/>
          <w:szCs w:val="20"/>
          <w:highlight w:val="yellow"/>
        </w:rPr>
        <w:t>early miscarriage</w:t>
      </w:r>
      <w:r>
        <w:rPr>
          <w:rFonts w:cs="Courier New" w:ascii="Courier New" w:hAnsi="Courier New"/>
          <w:sz w:val="20"/>
          <w:szCs w:val="20"/>
        </w:rPr>
        <w:t xml:space="preserve"> &lt;/&gt; rate, &lt;P 0&gt; </w:t>
      </w:r>
      <w:r>
        <w:rPr>
          <w:rFonts w:cs="Courier New" w:ascii="Courier New" w:hAnsi="Courier New"/>
          <w:sz w:val="20"/>
          <w:szCs w:val="20"/>
          <w:highlight w:val="yellow"/>
        </w:rPr>
        <w:t>ovulation</w:t>
      </w:r>
      <w:r>
        <w:rPr>
          <w:rFonts w:cs="Courier New" w:ascii="Courier New" w:hAnsi="Courier New"/>
          <w:sz w:val="20"/>
          <w:szCs w:val="20"/>
        </w:rPr>
        <w:t xml:space="preserve"> &lt;/&gt; rate, &lt;P 0&gt; </w:t>
      </w:r>
      <w:r>
        <w:rPr>
          <w:rFonts w:cs="Courier New" w:ascii="Courier New" w:hAnsi="Courier New"/>
          <w:sz w:val="20"/>
          <w:szCs w:val="20"/>
          <w:highlight w:val="yellow"/>
        </w:rPr>
        <w:t>endometrial thickness</w:t>
      </w:r>
      <w:r>
        <w:rPr>
          <w:rFonts w:cs="Courier New" w:ascii="Courier New" w:hAnsi="Courier New"/>
          <w:sz w:val="20"/>
          <w:szCs w:val="20"/>
        </w:rPr>
        <w:t xml:space="preserve"> &lt;/&gt;, positive rate of &lt;P 0&gt; </w:t>
      </w:r>
      <w:r>
        <w:rPr>
          <w:rFonts w:cs="Courier New" w:ascii="Courier New" w:hAnsi="Courier New"/>
          <w:sz w:val="20"/>
          <w:szCs w:val="20"/>
          <w:highlight w:val="yellow"/>
        </w:rPr>
        <w:t>three lines sign</w:t>
      </w:r>
      <w:r>
        <w:rPr>
          <w:rFonts w:cs="Courier New" w:ascii="Courier New" w:hAnsi="Courier New"/>
          <w:sz w:val="20"/>
          <w:szCs w:val="20"/>
        </w:rPr>
        <w:t xml:space="preserve"> &lt;/&gt;, &lt;P 0&gt; </w:t>
      </w:r>
      <w:r>
        <w:rPr>
          <w:rFonts w:cs="Courier New" w:ascii="Courier New" w:hAnsi="Courier New"/>
          <w:sz w:val="20"/>
          <w:szCs w:val="20"/>
          <w:highlight w:val="yellow"/>
        </w:rPr>
        <w:t>follicle stimulating hormone</w:t>
      </w:r>
      <w:r>
        <w:rPr>
          <w:rFonts w:cs="Courier New" w:ascii="Courier New" w:hAnsi="Courier New"/>
          <w:sz w:val="20"/>
          <w:szCs w:val="20"/>
        </w:rPr>
        <w:t xml:space="preserve"> &lt;/&gt; level and &lt;P 0&gt; </w:t>
      </w:r>
      <w:r>
        <w:rPr>
          <w:rFonts w:cs="Courier New" w:ascii="Courier New" w:hAnsi="Courier New"/>
          <w:sz w:val="20"/>
          <w:szCs w:val="20"/>
          <w:highlight w:val="yellow"/>
        </w:rPr>
        <w:t>luteinizing hormone</w:t>
      </w:r>
      <w:r>
        <w:rPr>
          <w:rFonts w:cs="Courier New" w:ascii="Courier New" w:hAnsi="Courier New"/>
          <w:sz w:val="20"/>
          <w:szCs w:val="20"/>
        </w:rPr>
        <w:t xml:space="preserve"> &lt;/&gt; level were compared between the two groups. RESULTS: The expression level of &lt;P 0&gt; </w:t>
      </w:r>
      <w:r>
        <w:rPr>
          <w:rFonts w:cs="Courier New" w:ascii="Courier New" w:hAnsi="Courier New"/>
          <w:sz w:val="20"/>
          <w:szCs w:val="20"/>
          <w:highlight w:val="yellow"/>
          <w:u w:val="single"/>
        </w:rPr>
        <w:t>sterol regulatory element-binding protein-1</w:t>
      </w:r>
      <w:r>
        <w:rPr>
          <w:rFonts w:cs="Courier New" w:ascii="Courier New" w:hAnsi="Courier New"/>
          <w:sz w:val="20"/>
          <w:szCs w:val="20"/>
        </w:rPr>
        <w:t xml:space="preserve"> &lt;/&gt; was higher in PCOS patients than that in the healthy control. &lt;P 0&gt; </w:t>
      </w:r>
      <w:r>
        <w:rPr>
          <w:rFonts w:cs="Courier New" w:ascii="Courier New" w:hAnsi="Courier New"/>
          <w:sz w:val="20"/>
          <w:szCs w:val="20"/>
          <w:highlight w:val="yellow"/>
          <w:u w:val="single"/>
        </w:rPr>
        <w:t>Sterol regulatory element-binding protein-1</w:t>
      </w:r>
      <w:r>
        <w:rPr>
          <w:rFonts w:cs="Courier New" w:ascii="Courier New" w:hAnsi="Courier New"/>
          <w:sz w:val="20"/>
          <w:szCs w:val="20"/>
          <w:highlight w:val="yellow"/>
        </w:rPr>
        <w:t xml:space="preserve"> expression</w:t>
      </w:r>
      <w:r>
        <w:rPr>
          <w:rFonts w:cs="Courier New" w:ascii="Courier New" w:hAnsi="Courier New"/>
          <w:sz w:val="20"/>
          <w:szCs w:val="20"/>
        </w:rPr>
        <w:t xml:space="preserve"> &lt;/&gt; was inhibited after treatment, while the inhibitory effects of combined treatment were stronger than those of clomifene citrate alone. Compared with clomifene citrate alone, the combined treatment improved &lt;P 0&gt; </w:t>
      </w:r>
      <w:r>
        <w:rPr>
          <w:rFonts w:cs="Courier New" w:ascii="Courier New" w:hAnsi="Courier New"/>
          <w:sz w:val="20"/>
          <w:szCs w:val="20"/>
          <w:highlight w:val="yellow"/>
        </w:rPr>
        <w:t>cervical mucus</w:t>
      </w:r>
      <w:r>
        <w:rPr>
          <w:rFonts w:cs="Courier New" w:ascii="Courier New" w:hAnsi="Courier New"/>
          <w:sz w:val="20"/>
          <w:szCs w:val="20"/>
        </w:rPr>
        <w:t xml:space="preserve"> &lt;/&gt; score, &lt;P 0&gt; </w:t>
      </w:r>
      <w:r>
        <w:rPr>
          <w:rFonts w:cs="Courier New" w:ascii="Courier New" w:hAnsi="Courier New"/>
          <w:sz w:val="20"/>
          <w:szCs w:val="20"/>
          <w:highlight w:val="yellow"/>
        </w:rPr>
        <w:t>follicle development</w:t>
      </w:r>
      <w:r>
        <w:rPr>
          <w:rFonts w:cs="Courier New" w:ascii="Courier New" w:hAnsi="Courier New"/>
          <w:sz w:val="20"/>
          <w:szCs w:val="20"/>
        </w:rPr>
        <w:t xml:space="preserve"> &lt;/&gt; rate, &lt;P 0&gt; </w:t>
      </w:r>
      <w:r>
        <w:rPr>
          <w:rFonts w:cs="Courier New" w:ascii="Courier New" w:hAnsi="Courier New"/>
          <w:sz w:val="20"/>
          <w:szCs w:val="20"/>
          <w:highlight w:val="yellow"/>
        </w:rPr>
        <w:t>single follicle ovulation</w:t>
      </w:r>
      <w:r>
        <w:rPr>
          <w:rFonts w:cs="Courier New" w:ascii="Courier New" w:hAnsi="Courier New"/>
          <w:sz w:val="20"/>
          <w:szCs w:val="20"/>
        </w:rPr>
        <w:t xml:space="preserve"> &lt;/&gt; rate, &lt;P 0&gt; </w:t>
      </w:r>
      <w:r>
        <w:rPr>
          <w:rFonts w:cs="Courier New" w:ascii="Courier New" w:hAnsi="Courier New"/>
          <w:sz w:val="20"/>
          <w:szCs w:val="20"/>
          <w:highlight w:val="yellow"/>
        </w:rPr>
        <w:t>endometrial thickness</w:t>
      </w:r>
      <w:r>
        <w:rPr>
          <w:rFonts w:cs="Courier New" w:ascii="Courier New" w:hAnsi="Courier New"/>
          <w:sz w:val="20"/>
          <w:szCs w:val="20"/>
        </w:rPr>
        <w:t xml:space="preserve"> &lt;/&gt;, positive rate of &lt;P 0&gt; </w:t>
      </w:r>
      <w:r>
        <w:rPr>
          <w:rFonts w:cs="Courier New" w:ascii="Courier New" w:hAnsi="Courier New"/>
          <w:sz w:val="20"/>
          <w:szCs w:val="20"/>
          <w:highlight w:val="yellow"/>
        </w:rPr>
        <w:t>three lines sign</w:t>
      </w:r>
      <w:r>
        <w:rPr>
          <w:rFonts w:cs="Courier New" w:ascii="Courier New" w:hAnsi="Courier New"/>
          <w:sz w:val="20"/>
          <w:szCs w:val="20"/>
        </w:rPr>
        <w:t xml:space="preserve"> &lt;/&gt;, and &lt;P 0&gt; </w:t>
      </w:r>
      <w:r>
        <w:rPr>
          <w:rFonts w:cs="Courier New" w:ascii="Courier New" w:hAnsi="Courier New"/>
          <w:sz w:val="20"/>
          <w:szCs w:val="20"/>
          <w:highlight w:val="yellow"/>
        </w:rPr>
        <w:t>follicle-stimulating hormone</w:t>
      </w:r>
      <w:r>
        <w:rPr>
          <w:rFonts w:cs="Courier New" w:ascii="Courier New" w:hAnsi="Courier New"/>
          <w:sz w:val="20"/>
          <w:szCs w:val="20"/>
        </w:rPr>
        <w:t xml:space="preserve"> &lt;/&gt; level. CONCLUSION: The therapeutic effect of combined treatment is better than clomifene citrate alone in the treatment of PCOS.</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31618331</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Bilevel positive airway pressure in two moments after bariatric surgery.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Revista da Associacao Medica Brasileira (1992)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9308586</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['2019/10/17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To investigate the use of Bilevel Positive Airway Pressure (BiPAP) in morbidly obese individuals in two moments following bariatric surgery (Roux-en-Y gastric bypass): post-anesthetic recovery (PAR) and first postoperative day (1PO). DESIGN: Randomized and blinded clinical trial. METHODS: We studied 40 morbidly obese individuals aged between 25 and 55 years who underwent pulmonary function test and chest X-ray preoperatively, and on the day of discharge (2nd day after surgery). They were randomly allocated into two groups: PAR-G (BiPAP in PAR for one hour), and 1PO-G (BIPAP for one hour on the 1PO). RESULTS: In the PAR-G and 1PO-G, respectively there were significant reductions in &lt;P 0&gt; </w:t>
      </w:r>
      <w:r>
        <w:rPr>
          <w:rFonts w:cs="Courier New" w:ascii="Courier New" w:hAnsi="Courier New"/>
          <w:sz w:val="20"/>
          <w:szCs w:val="20"/>
          <w:highlight w:val="yellow"/>
        </w:rPr>
        <w:t>slow vital capacity (SVC)</w:t>
      </w:r>
      <w:r>
        <w:rPr>
          <w:rFonts w:cs="Courier New" w:ascii="Courier New" w:hAnsi="Courier New"/>
          <w:sz w:val="20"/>
          <w:szCs w:val="20"/>
        </w:rPr>
        <w:t xml:space="preserve"> &lt;/&gt; (p=0.0007 vs. p&lt;0.0001), &lt;P 0&gt; </w:t>
      </w:r>
      <w:r>
        <w:rPr>
          <w:rFonts w:cs="Courier New" w:ascii="Courier New" w:hAnsi="Courier New"/>
          <w:sz w:val="20"/>
          <w:szCs w:val="20"/>
          <w:highlight w:val="yellow"/>
        </w:rPr>
        <w:t>inspiratory reserve volume (IRV)</w:t>
      </w:r>
      <w:r>
        <w:rPr>
          <w:rFonts w:cs="Courier New" w:ascii="Courier New" w:hAnsi="Courier New"/>
          <w:sz w:val="20"/>
          <w:szCs w:val="20"/>
        </w:rPr>
        <w:t xml:space="preserve"> &lt;/&gt; (p=0.0016 vs. p=0.0026), and &lt;P 0&gt; </w:t>
      </w:r>
      <w:r>
        <w:rPr>
          <w:rFonts w:cs="Courier New" w:ascii="Courier New" w:hAnsi="Courier New"/>
          <w:sz w:val="20"/>
          <w:szCs w:val="20"/>
          <w:highlight w:val="yellow"/>
        </w:rPr>
        <w:t>forced vital capacity (FVC)</w:t>
      </w:r>
      <w:r>
        <w:rPr>
          <w:rFonts w:cs="Courier New" w:ascii="Courier New" w:hAnsi="Courier New"/>
          <w:sz w:val="20"/>
          <w:szCs w:val="20"/>
        </w:rPr>
        <w:t xml:space="preserve"> &lt;/&gt; (p=0.0013 vs. p&lt;0.0001) and &lt;P 0&gt; </w:t>
      </w:r>
      <w:r>
        <w:rPr>
          <w:rFonts w:cs="Courier New" w:ascii="Courier New" w:hAnsi="Courier New"/>
          <w:sz w:val="20"/>
          <w:szCs w:val="20"/>
          <w:highlight w:val="yellow"/>
        </w:rPr>
        <w:t>expiratory reserve volume (ERV)</w:t>
      </w:r>
      <w:r>
        <w:rPr>
          <w:rFonts w:cs="Courier New" w:ascii="Courier New" w:hAnsi="Courier New"/>
          <w:sz w:val="20"/>
          <w:szCs w:val="20"/>
        </w:rPr>
        <w:t xml:space="preserve"> &lt;/&gt; was maintained only for the PAR-G (p=0.4446 vs. p=0.0191). Comparing the groups, the &lt;P 0&gt; </w:t>
      </w:r>
      <w:r>
        <w:rPr>
          <w:rFonts w:cs="Courier New" w:ascii="Courier New" w:hAnsi="Courier New"/>
          <w:sz w:val="20"/>
          <w:szCs w:val="20"/>
          <w:highlight w:val="yellow"/>
          <w:u w:val="single"/>
        </w:rPr>
        <w:t>slow vital capacity</w:t>
      </w:r>
      <w:r>
        <w:rPr>
          <w:rFonts w:cs="Courier New" w:ascii="Courier New" w:hAnsi="Courier New"/>
          <w:sz w:val="20"/>
          <w:szCs w:val="20"/>
        </w:rPr>
        <w:t xml:space="preserve"> &lt;/&gt; (p=0.0027) and &lt;P 0&gt; </w:t>
      </w:r>
      <w:r>
        <w:rPr>
          <w:rFonts w:cs="Courier New" w:ascii="Courier New" w:hAnsi="Courier New"/>
          <w:sz w:val="20"/>
          <w:szCs w:val="20"/>
          <w:highlight w:val="yellow"/>
          <w:u w:val="single"/>
        </w:rPr>
        <w:t>forced vital capacity</w:t>
      </w:r>
      <w:r>
        <w:rPr>
          <w:rFonts w:cs="Courier New" w:ascii="Courier New" w:hAnsi="Courier New"/>
          <w:sz w:val="20"/>
          <w:szCs w:val="20"/>
        </w:rPr>
        <w:t xml:space="preserve"> &lt;/&gt; (p=0.0028) showed a significant difference between the treatments, while the PAR-G showed smaller declines in these capacities. The prevalence of atelectasis was 10% for the PAR-G and 30% for the 1PO-G (p=0.0027). CONCLUSION: Thus, the use of BiPAP in PAR can promote restoration of &lt;P 0&gt; </w:t>
      </w:r>
      <w:r>
        <w:rPr>
          <w:rFonts w:cs="Courier New" w:ascii="Courier New" w:hAnsi="Courier New"/>
          <w:sz w:val="20"/>
          <w:szCs w:val="20"/>
          <w:highlight w:val="yellow"/>
          <w:u w:val="single"/>
        </w:rPr>
        <w:t>expiratory reserve volume</w:t>
      </w:r>
      <w:r>
        <w:rPr>
          <w:rFonts w:cs="Courier New" w:ascii="Courier New" w:hAnsi="Courier New"/>
          <w:sz w:val="20"/>
          <w:szCs w:val="20"/>
        </w:rPr>
        <w:t xml:space="preserve"> &lt;/&gt; and contribute to the reduction of atelectasis.</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31618539</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Randomized Trial of Medical versus Surgical Treatment for Refractory Heartburn.</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Comparative Study, Journal Article, Multicenter Study, Randomized Controlled Trial, Research Support, U.S. Gov't, Non-P.H.S.,</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The New England journal of medicine</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0255562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['2019/10/17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BACKGROUND: Heartburn that persists despite proton-pump inhibitor (PPI) treatment is a frequent clinical problem with multiple potential causes. Treatments for PPI-refractory heartburn are of unproven efficacy and focus on controlling gastroesophageal reflux with reflux-reducing medication (e.g., baclofen) or antireflux surgery or on dampening visceral hypersensitivity with neuromodulators (e.g., desipramine). METHODS: Patients who were referred to Veterans Affairs (VA) gastroenterology clinics for PPI-refractory heartburn received 20 mg of omeprazole twice daily for 2 weeks, and those with persistent heartburn underwent endoscopy, esophageal biopsy, esophageal manometry, and multichannel intraluminal impedance-pH monitoring. If patients were found to have reflux-related heartburn, we randomly assigned them to receive surgical treatment (laparoscopic Nissen fundoplication), active medical treatment (omeprazole plus baclofen, with desipramine added depending on symptoms), or control medical treatment (omeprazole plus placebo). The primary outcome was &lt;P 0&gt; </w:t>
      </w:r>
      <w:r>
        <w:rPr>
          <w:rFonts w:cs="Courier New" w:ascii="Courier New" w:hAnsi="Courier New"/>
          <w:sz w:val="20"/>
          <w:szCs w:val="20"/>
          <w:highlight w:val="yellow"/>
        </w:rPr>
        <w:t>treatment success</w:t>
      </w:r>
      <w:r>
        <w:rPr>
          <w:rFonts w:cs="Courier New" w:ascii="Courier New" w:hAnsi="Courier New"/>
          <w:sz w:val="20"/>
          <w:szCs w:val="20"/>
        </w:rPr>
        <w:t xml:space="preserve"> &lt;/&gt;, defined as a decrease of 50% or more in the [T </w:t>
      </w:r>
      <w:r>
        <w:rPr>
          <w:rFonts w:cs="Courier New" w:ascii="Courier New" w:hAnsi="Courier New"/>
          <w:color w:val="FF0000"/>
          <w:sz w:val="20"/>
          <w:szCs w:val="20"/>
        </w:rPr>
        <w:t xml:space="preserve">Gastroesophageal Reflux Disease (GERD)-Health Related </w:t>
      </w:r>
      <w:r>
        <w:rPr>
          <w:rFonts w:cs="Courier New" w:ascii="Courier New" w:hAnsi="Courier New"/>
          <w:sz w:val="20"/>
          <w:szCs w:val="20"/>
        </w:rPr>
        <w:t xml:space="preserve">&lt;P 30&gt; </w:t>
      </w:r>
      <w:r>
        <w:rPr>
          <w:rFonts w:cs="Courier New" w:ascii="Courier New" w:hAnsi="Courier New"/>
          <w:color w:val="FF0000"/>
          <w:sz w:val="20"/>
          <w:szCs w:val="20"/>
          <w:highlight w:val="yellow"/>
        </w:rPr>
        <w:t>Quality of Life</w:t>
      </w:r>
      <w:r>
        <w:rPr>
          <w:rFonts w:cs="Courier New" w:ascii="Courier New" w:hAnsi="Courier New"/>
          <w:color w:val="FF0000"/>
          <w:sz w:val="20"/>
          <w:szCs w:val="20"/>
        </w:rPr>
        <w:t xml:space="preserve"> </w:t>
      </w:r>
      <w:r>
        <w:rPr>
          <w:rFonts w:cs="Courier New" w:ascii="Courier New" w:hAnsi="Courier New"/>
          <w:sz w:val="20"/>
          <w:szCs w:val="20"/>
        </w:rPr>
        <w:t>&lt;/&gt;</w:t>
      </w:r>
      <w:r>
        <w:rPr>
          <w:rFonts w:cs="Courier New" w:ascii="Courier New" w:hAnsi="Courier New"/>
          <w:color w:val="FF0000"/>
          <w:sz w:val="20"/>
          <w:szCs w:val="20"/>
        </w:rPr>
        <w:t xml:space="preserve"> score</w:t>
      </w:r>
      <w:r>
        <w:rPr>
          <w:rFonts w:cs="Courier New" w:ascii="Courier New" w:hAnsi="Courier New"/>
          <w:sz w:val="20"/>
          <w:szCs w:val="20"/>
        </w:rPr>
        <w:t xml:space="preserve">] (range, 0 to 50, with higher scores indicating worse symptoms) at 1 year. RESULTS: A total of 366 patients (mean age, 48.5 years; 280 men) were enrolled. Prerandomization procedures excluded 288 patients: 42 had relief of their heartburn during the 2-week omeprazole trial, 70 did not complete trial procedures, 54 were excluded for other reasons, 23 had non-GERD esophageal disorders, and 99 had functional heartburn (not due to GERD or other histopathologic, motility, or structural abnormality). The remaining 78 patients underwent randomization. The incidence of &lt;P 0&gt; </w:t>
      </w:r>
      <w:r>
        <w:rPr>
          <w:rFonts w:cs="Courier New" w:ascii="Courier New" w:hAnsi="Courier New"/>
          <w:sz w:val="20"/>
          <w:szCs w:val="20"/>
          <w:highlight w:val="yellow"/>
        </w:rPr>
        <w:t>treatment success</w:t>
      </w:r>
      <w:r>
        <w:rPr>
          <w:rFonts w:cs="Courier New" w:ascii="Courier New" w:hAnsi="Courier New"/>
          <w:sz w:val="20"/>
          <w:szCs w:val="20"/>
        </w:rPr>
        <w:t xml:space="preserve"> &lt;/&gt; with surgery (18 of 27 patients, 67%) was significantly superior to that with active medical treatment (7 of 25 patients, 28%; P = 0.007) or control medical treatment (3 of 26 patients, 12%; P&lt;0.001). The difference in the incidence of treatment success between the active medical group and the control medical group was 16 percentage points (95% confidence interval, -5 to 38; P = 0.17). CONCLUSIONS: Among patients referred to VA gastroenterology clinics for PPI-refractory heartburn, systematic workup revealed truly PPI-refractory and reflux-related heartburn in a minority of patients. For that highly selected subgroup, surgery was superior to medical treatment. (Funded by the Department of Veterans Affairs Cooperative Studies Program; ClinicalTrials.gov number, NCT01265550.).</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31619437</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Efficacy of antibiotic treatment in patients with chronic low back pain and Modic changes (the AIM study): double blind, randomised, placebo controlled, multicentre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Multicenter Study, Randomized Controlled Trial, Research Support, Non-U.S. Gov't,</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BMJ (Clinical research ed.)</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8900488</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['2019/10/18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 To assess the efficacy of three months of antibiotic treatment compared with placebo in patients with chronic low back pain, previous disc herniation, and vertebral endplate changes (Modic changes). DESIGN: Double blind, parallel group, placebo controlled, multicentre trial. SETTING: Hospital outpatient clinics at six hospitals in Norway. PARTICIPANTS: 180 patients with chronic low back pain, previous disc herniation, and type 1 (n=118) or type 2 (n=62) Modic changes enrolled from June 2015 to September 2017. INTERVENTIONS: Patients were randomised to three months of oral treatment with either 750 mg amoxicillin or placebo three times daily. The allocation sequence was concealed by using a computer generated number on the prescription. MAIN OUTCOME MEASURES: The primary outcome was the [T </w:t>
      </w:r>
      <w:r>
        <w:rPr>
          <w:rFonts w:cs="Courier New" w:ascii="Courier New" w:hAnsi="Courier New"/>
          <w:color w:val="FF0000"/>
          <w:sz w:val="20"/>
          <w:szCs w:val="20"/>
        </w:rPr>
        <w:t xml:space="preserve">Roland-Morris </w:t>
      </w:r>
      <w:r>
        <w:rPr>
          <w:rFonts w:cs="Courier New" w:ascii="Courier New" w:hAnsi="Courier New"/>
          <w:sz w:val="20"/>
          <w:szCs w:val="20"/>
        </w:rPr>
        <w:t xml:space="preserve">&lt;P 25&gt; </w:t>
      </w:r>
      <w:r>
        <w:rPr>
          <w:rFonts w:cs="Courier New" w:ascii="Courier New" w:hAnsi="Courier New"/>
          <w:color w:val="FF0000"/>
          <w:sz w:val="20"/>
          <w:szCs w:val="20"/>
          <w:highlight w:val="yellow"/>
        </w:rPr>
        <w:t>Disability</w:t>
      </w:r>
      <w:r>
        <w:rPr>
          <w:rFonts w:cs="Courier New" w:ascii="Courier New" w:hAnsi="Courier New"/>
          <w:sz w:val="20"/>
          <w:szCs w:val="20"/>
        </w:rPr>
        <w:t xml:space="preserve"> &lt;/&gt; </w:t>
      </w:r>
      <w:r>
        <w:rPr>
          <w:rFonts w:cs="Courier New" w:ascii="Courier New" w:hAnsi="Courier New"/>
          <w:color w:val="FF0000"/>
          <w:sz w:val="20"/>
          <w:szCs w:val="20"/>
        </w:rPr>
        <w:t>Questionnaire</w:t>
      </w:r>
      <w:r>
        <w:rPr>
          <w:rFonts w:cs="Courier New" w:ascii="Courier New" w:hAnsi="Courier New"/>
          <w:sz w:val="20"/>
          <w:szCs w:val="20"/>
        </w:rPr>
        <w:t xml:space="preserve"> (RMDQ)] score (range 0-24) at one year follow-up in the intention to treat population. The minimal clinically important between group difference in mean [T </w:t>
      </w:r>
      <w:r>
        <w:rPr>
          <w:rFonts w:cs="Courier New" w:ascii="Courier New" w:hAnsi="Courier New"/>
          <w:color w:val="FF0000"/>
          <w:sz w:val="20"/>
          <w:szCs w:val="20"/>
          <w:u w:val="single"/>
        </w:rPr>
        <w:t xml:space="preserve">Roland-Morris </w:t>
      </w:r>
      <w:r>
        <w:rPr>
          <w:rFonts w:cs="Courier New" w:ascii="Courier New" w:hAnsi="Courier New"/>
          <w:sz w:val="20"/>
          <w:szCs w:val="20"/>
        </w:rPr>
        <w:t xml:space="preserve">&lt;P 25&gt; </w:t>
      </w:r>
      <w:r>
        <w:rPr>
          <w:rFonts w:cs="Courier New" w:ascii="Courier New" w:hAnsi="Courier New"/>
          <w:color w:val="FF0000"/>
          <w:sz w:val="20"/>
          <w:szCs w:val="20"/>
          <w:highlight w:val="yellow"/>
          <w:u w:val="single"/>
        </w:rPr>
        <w:t>Disability</w:t>
      </w:r>
      <w:r>
        <w:rPr>
          <w:rFonts w:cs="Courier New" w:ascii="Courier New" w:hAnsi="Courier New"/>
          <w:sz w:val="20"/>
          <w:szCs w:val="20"/>
        </w:rPr>
        <w:t xml:space="preserve"> &lt;/&gt; </w:t>
      </w:r>
      <w:r>
        <w:rPr>
          <w:rFonts w:cs="Courier New" w:ascii="Courier New" w:hAnsi="Courier New"/>
          <w:color w:val="FF0000"/>
          <w:sz w:val="20"/>
          <w:szCs w:val="20"/>
          <w:u w:val="single"/>
        </w:rPr>
        <w:t>Questionnaire</w:t>
      </w:r>
      <w:r>
        <w:rPr>
          <w:rFonts w:cs="Courier New" w:ascii="Courier New" w:hAnsi="Courier New"/>
          <w:sz w:val="20"/>
          <w:szCs w:val="20"/>
        </w:rPr>
        <w:t xml:space="preserve"> (RMDQ)] score was predefined as 4. RESULTS: In the primary analysis of the total cohort at one year, the difference in the mean [T </w:t>
      </w:r>
      <w:r>
        <w:rPr>
          <w:rFonts w:cs="Courier New" w:ascii="Courier New" w:hAnsi="Courier New"/>
          <w:color w:val="FF0000"/>
          <w:sz w:val="20"/>
          <w:szCs w:val="20"/>
          <w:u w:val="single"/>
        </w:rPr>
        <w:t xml:space="preserve">Roland-Morris </w:t>
      </w:r>
      <w:r>
        <w:rPr>
          <w:rFonts w:cs="Courier New" w:ascii="Courier New" w:hAnsi="Courier New"/>
          <w:sz w:val="20"/>
          <w:szCs w:val="20"/>
        </w:rPr>
        <w:t xml:space="preserve">&lt;P 25&gt; </w:t>
      </w:r>
      <w:r>
        <w:rPr>
          <w:rFonts w:cs="Courier New" w:ascii="Courier New" w:hAnsi="Courier New"/>
          <w:color w:val="FF0000"/>
          <w:sz w:val="20"/>
          <w:szCs w:val="20"/>
          <w:highlight w:val="yellow"/>
          <w:u w:val="single"/>
        </w:rPr>
        <w:t>Disability</w:t>
      </w:r>
      <w:r>
        <w:rPr>
          <w:rFonts w:cs="Courier New" w:ascii="Courier New" w:hAnsi="Courier New"/>
          <w:sz w:val="20"/>
          <w:szCs w:val="20"/>
        </w:rPr>
        <w:t xml:space="preserve"> &lt;/&gt; </w:t>
      </w:r>
      <w:r>
        <w:rPr>
          <w:rFonts w:cs="Courier New" w:ascii="Courier New" w:hAnsi="Courier New"/>
          <w:color w:val="FF0000"/>
          <w:sz w:val="20"/>
          <w:szCs w:val="20"/>
          <w:u w:val="single"/>
        </w:rPr>
        <w:t>Questionnaire</w:t>
      </w:r>
      <w:r>
        <w:rPr>
          <w:rFonts w:cs="Courier New" w:ascii="Courier New" w:hAnsi="Courier New"/>
          <w:sz w:val="20"/>
          <w:szCs w:val="20"/>
        </w:rPr>
        <w:t xml:space="preserve"> (RMDQ)] score between the amoxicillin group and the placebo group was -1.6 (95% confidence interval -3.1 to 0.0, P=0.04). In the secondary analysis, the difference in the mean [T </w:t>
      </w:r>
      <w:r>
        <w:rPr>
          <w:rFonts w:cs="Courier New" w:ascii="Courier New" w:hAnsi="Courier New"/>
          <w:color w:val="FF0000"/>
          <w:sz w:val="20"/>
          <w:szCs w:val="20"/>
          <w:u w:val="single"/>
        </w:rPr>
        <w:t xml:space="preserve">Roland-Morris </w:t>
      </w:r>
      <w:r>
        <w:rPr>
          <w:rFonts w:cs="Courier New" w:ascii="Courier New" w:hAnsi="Courier New"/>
          <w:sz w:val="20"/>
          <w:szCs w:val="20"/>
        </w:rPr>
        <w:t xml:space="preserve">&lt;P 25&gt; </w:t>
      </w:r>
      <w:r>
        <w:rPr>
          <w:rFonts w:cs="Courier New" w:ascii="Courier New" w:hAnsi="Courier New"/>
          <w:color w:val="FF0000"/>
          <w:sz w:val="20"/>
          <w:szCs w:val="20"/>
          <w:highlight w:val="yellow"/>
          <w:u w:val="single"/>
        </w:rPr>
        <w:t>Disability</w:t>
      </w:r>
      <w:r>
        <w:rPr>
          <w:rFonts w:cs="Courier New" w:ascii="Courier New" w:hAnsi="Courier New"/>
          <w:sz w:val="20"/>
          <w:szCs w:val="20"/>
        </w:rPr>
        <w:t xml:space="preserve"> &lt;/&gt; </w:t>
      </w:r>
      <w:r>
        <w:rPr>
          <w:rFonts w:cs="Courier New" w:ascii="Courier New" w:hAnsi="Courier New"/>
          <w:color w:val="FF0000"/>
          <w:sz w:val="20"/>
          <w:szCs w:val="20"/>
          <w:u w:val="single"/>
        </w:rPr>
        <w:t>Questionnaire</w:t>
      </w:r>
      <w:r>
        <w:rPr>
          <w:rFonts w:cs="Courier New" w:ascii="Courier New" w:hAnsi="Courier New"/>
          <w:sz w:val="20"/>
          <w:szCs w:val="20"/>
        </w:rPr>
        <w:t xml:space="preserve"> (RMDQ)] score between the groups was -2.3 (-4.2 to-0.4, P=0.02) for patients with type 1 Modic changes and -0.1 (-2.7 to 2.6, P=0.95) for patients with type 2 Modic changes. Fifty patients (56%) in the amoxicillin group experienced at least one drug related &lt;P 38&gt; </w:t>
      </w:r>
      <w:r>
        <w:rPr>
          <w:rFonts w:cs="Courier New" w:ascii="Courier New" w:hAnsi="Courier New"/>
          <w:sz w:val="20"/>
          <w:szCs w:val="20"/>
          <w:highlight w:val="yellow"/>
        </w:rPr>
        <w:t>adverse event</w:t>
      </w:r>
      <w:r>
        <w:rPr>
          <w:rFonts w:cs="Courier New" w:ascii="Courier New" w:hAnsi="Courier New"/>
          <w:sz w:val="20"/>
          <w:szCs w:val="20"/>
        </w:rPr>
        <w:t xml:space="preserve"> &lt;/&gt; compared with 31 (34%) in the placebo group. CONCLUSIONS: In this study on patients with chronic low back pain and Modic changes at the level of a previous disc herniation, three months of treatment with amoxicillin did not provide a clinically important benefit compared with placebo. Secondary analyses and sensitivity analyses supported this finding. Therefore, our results do not support the use of antibiotic treatment for chronic low back pain and Modic changes. TRIAL REGISTRATION: ClinicalTrials.gov NCT02323412.</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31623042</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 xml:space="preserve">Title: [Effects of rhodiola rosea on &lt;P 0&gt; </w:t>
      </w:r>
      <w:r>
        <w:rPr>
          <w:rFonts w:cs="Courier New" w:ascii="Courier New" w:hAnsi="Courier New"/>
          <w:sz w:val="20"/>
          <w:szCs w:val="20"/>
          <w:highlight w:val="yellow"/>
        </w:rPr>
        <w:t>oxidative stress</w:t>
      </w:r>
      <w:r>
        <w:rPr>
          <w:rFonts w:cs="Courier New" w:ascii="Courier New" w:hAnsi="Courier New"/>
          <w:sz w:val="20"/>
          <w:szCs w:val="20"/>
        </w:rPr>
        <w:t xml:space="preserve"> &lt;/&gt; and &lt;P 0&gt; </w:t>
      </w:r>
      <w:r>
        <w:rPr>
          <w:rFonts w:cs="Courier New" w:ascii="Courier New" w:hAnsi="Courier New"/>
          <w:sz w:val="20"/>
          <w:szCs w:val="20"/>
          <w:highlight w:val="yellow"/>
        </w:rPr>
        <w:t>negative emotional states</w:t>
      </w:r>
      <w:r>
        <w:rPr>
          <w:rFonts w:cs="Courier New" w:ascii="Courier New" w:hAnsi="Courier New"/>
          <w:sz w:val="20"/>
          <w:szCs w:val="20"/>
        </w:rPr>
        <w:t xml:space="preserve"> &lt;/&gt; in patients with obstructive sleep apnea].</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Lin chuang er bi yan hou tou jing wai ke za zhi = Journal of clinical otorhinolaryngology, head, and neck surgery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101303164</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['2019/10/18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Objective:The aim of this study is to investigate the effects of rhodiola rosea on &lt;P 0&gt; </w:t>
      </w:r>
      <w:r>
        <w:rPr>
          <w:rFonts w:cs="Courier New" w:ascii="Courier New" w:hAnsi="Courier New"/>
          <w:sz w:val="20"/>
          <w:szCs w:val="20"/>
          <w:highlight w:val="yellow"/>
        </w:rPr>
        <w:t>oxidative stress</w:t>
      </w:r>
      <w:r>
        <w:rPr>
          <w:rFonts w:cs="Courier New" w:ascii="Courier New" w:hAnsi="Courier New"/>
          <w:sz w:val="20"/>
          <w:szCs w:val="20"/>
        </w:rPr>
        <w:t xml:space="preserve"> &lt;/&gt;, &lt;P 0, 28&gt; </w:t>
      </w:r>
      <w:r>
        <w:rPr>
          <w:rFonts w:cs="Courier New" w:ascii="Courier New" w:hAnsi="Courier New"/>
          <w:sz w:val="20"/>
          <w:szCs w:val="20"/>
          <w:highlight w:val="yellow"/>
        </w:rPr>
        <w:t>anxiety</w:t>
      </w:r>
      <w:r>
        <w:rPr>
          <w:rFonts w:cs="Courier New" w:ascii="Courier New" w:hAnsi="Courier New"/>
          <w:sz w:val="20"/>
          <w:szCs w:val="20"/>
        </w:rPr>
        <w:t xml:space="preserve"> &lt;/&gt; and &lt;P 0, 28&gt; </w:t>
      </w:r>
      <w:r>
        <w:rPr>
          <w:rFonts w:cs="Courier New" w:ascii="Courier New" w:hAnsi="Courier New"/>
          <w:sz w:val="20"/>
          <w:szCs w:val="20"/>
          <w:highlight w:val="yellow"/>
        </w:rPr>
        <w:t>depression</w:t>
      </w:r>
      <w:r>
        <w:rPr>
          <w:rFonts w:cs="Courier New" w:ascii="Courier New" w:hAnsi="Courier New"/>
          <w:sz w:val="20"/>
          <w:szCs w:val="20"/>
        </w:rPr>
        <w:t xml:space="preserve"> &lt;/&gt; in patients with OSA. Method:Ninety patients with moderate and severe OSA patients with negative emotions diagnosed by PSG, [T </w:t>
      </w:r>
      <w:r>
        <w:rPr>
          <w:rFonts w:cs="Courier New" w:ascii="Courier New" w:hAnsi="Courier New"/>
          <w:color w:val="FF0000"/>
          <w:sz w:val="20"/>
          <w:szCs w:val="20"/>
        </w:rPr>
        <w:t>self-rating depression scale (SDS)</w:t>
      </w:r>
      <w:r>
        <w:rPr>
          <w:rFonts w:cs="Courier New" w:ascii="Courier New" w:hAnsi="Courier New"/>
          <w:sz w:val="20"/>
          <w:szCs w:val="20"/>
        </w:rPr>
        <w:t xml:space="preserve">] and [T </w:t>
      </w:r>
      <w:r>
        <w:rPr>
          <w:rFonts w:cs="Courier New" w:ascii="Courier New" w:hAnsi="Courier New"/>
          <w:color w:val="FF0000"/>
          <w:sz w:val="20"/>
          <w:szCs w:val="20"/>
        </w:rPr>
        <w:t>self-rating anxiety scale SAS</w:t>
      </w:r>
      <w:r>
        <w:rPr>
          <w:rFonts w:cs="Courier New" w:ascii="Courier New" w:hAnsi="Courier New"/>
          <w:sz w:val="20"/>
          <w:szCs w:val="20"/>
        </w:rPr>
        <w:t>]</w:t>
      </w:r>
      <w:r>
        <w:rPr>
          <w:rFonts w:cs="Courier New" w:ascii="Courier New" w:hAnsi="Courier New"/>
          <w:color w:val="FF0000"/>
          <w:sz w:val="20"/>
          <w:szCs w:val="20"/>
        </w:rPr>
        <w:t xml:space="preserve"> </w:t>
      </w:r>
      <w:r>
        <w:rPr>
          <w:rFonts w:cs="Courier New" w:ascii="Courier New" w:hAnsi="Courier New"/>
          <w:sz w:val="20"/>
          <w:szCs w:val="20"/>
        </w:rPr>
        <w:t xml:space="preserve">were selected from the respiratory department of our hospital from February 2015 to February 2018. According to the random number table method, the patients were randomly divided into non-invasive ventilator group, rhodiola rosea+non-invasive ventilator group and rhodiola rosea group, with 30 cases in each group. Patients in the non-invasive ventilator group were treated with continuous positive airway pressure CPAP for 3 months, and those in the rhodiola rosea+non-invasive ventilator group were treated with oral rhodiola capsules for 3 months on the basis of CPAP, and those in the rhodiola rosea treatment group were treated with pure oral rhodiola capsules for 3 months. The changes of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depression</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(SDS)</w:t>
      </w:r>
      <w:r>
        <w:rPr>
          <w:rFonts w:cs="Courier New" w:ascii="Courier New" w:hAnsi="Courier New"/>
          <w:sz w:val="20"/>
          <w:szCs w:val="20"/>
        </w:rPr>
        <w:t xml:space="preserve">] and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anxiety</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SAS</w:t>
      </w:r>
      <w:r>
        <w:rPr>
          <w:rFonts w:cs="Courier New" w:ascii="Courier New" w:hAnsi="Courier New"/>
          <w:sz w:val="20"/>
          <w:szCs w:val="20"/>
        </w:rPr>
        <w:t>]</w:t>
      </w:r>
      <w:r>
        <w:rPr>
          <w:rFonts w:cs="Courier New" w:ascii="Courier New" w:hAnsi="Courier New"/>
          <w:color w:val="FF0000"/>
          <w:sz w:val="20"/>
          <w:szCs w:val="20"/>
        </w:rPr>
        <w:t xml:space="preserve"> </w:t>
      </w:r>
      <w:r>
        <w:rPr>
          <w:rFonts w:cs="Courier New" w:ascii="Courier New" w:hAnsi="Courier New"/>
          <w:sz w:val="20"/>
          <w:szCs w:val="20"/>
        </w:rPr>
        <w:t xml:space="preserve">before and after the three groups were compared, and the changes of serum SOD and MDA were detected by immunoenzyme-linked adsorption for comparative analysis. Result:There were no significant differences in SDS and SAS scores between the three groups P&gt;0.05.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depression</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(SDS)</w:t>
      </w:r>
      <w:r>
        <w:rPr>
          <w:rFonts w:cs="Courier New" w:ascii="Courier New" w:hAnsi="Courier New"/>
          <w:sz w:val="20"/>
          <w:szCs w:val="20"/>
        </w:rPr>
        <w:t xml:space="preserve">] and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anxiety</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SAS</w:t>
      </w:r>
      <w:r>
        <w:rPr>
          <w:rFonts w:cs="Courier New" w:ascii="Courier New" w:hAnsi="Courier New"/>
          <w:sz w:val="20"/>
          <w:szCs w:val="20"/>
        </w:rPr>
        <w:t>]</w:t>
      </w:r>
      <w:r>
        <w:rPr>
          <w:rFonts w:cs="Courier New" w:ascii="Courier New" w:hAnsi="Courier New"/>
          <w:color w:val="FF0000"/>
          <w:sz w:val="20"/>
          <w:szCs w:val="20"/>
        </w:rPr>
        <w:t xml:space="preserve"> </w:t>
      </w:r>
      <w:r>
        <w:rPr>
          <w:rFonts w:cs="Courier New" w:ascii="Courier New" w:hAnsi="Courier New"/>
          <w:sz w:val="20"/>
          <w:szCs w:val="20"/>
        </w:rPr>
        <w:t xml:space="preserve">scores of patients in the rhodiola rosea+non-invasive ventilator group decreased after treatment P&lt;0.05 compared with those in the non-invasive ventilator group.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depression</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(SDS)</w:t>
      </w:r>
      <w:r>
        <w:rPr>
          <w:rFonts w:cs="Courier New" w:ascii="Courier New" w:hAnsi="Courier New"/>
          <w:sz w:val="20"/>
          <w:szCs w:val="20"/>
        </w:rPr>
        <w:t xml:space="preserve">] and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anxiety</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SAS</w:t>
      </w:r>
      <w:r>
        <w:rPr>
          <w:rFonts w:cs="Courier New" w:ascii="Courier New" w:hAnsi="Courier New"/>
          <w:sz w:val="20"/>
          <w:szCs w:val="20"/>
        </w:rPr>
        <w:t>]</w:t>
      </w:r>
      <w:r>
        <w:rPr>
          <w:rFonts w:cs="Courier New" w:ascii="Courier New" w:hAnsi="Courier New"/>
          <w:color w:val="FF0000"/>
          <w:sz w:val="20"/>
          <w:szCs w:val="20"/>
        </w:rPr>
        <w:t xml:space="preserve"> </w:t>
      </w:r>
      <w:r>
        <w:rPr>
          <w:rFonts w:cs="Courier New" w:ascii="Courier New" w:hAnsi="Courier New"/>
          <w:sz w:val="20"/>
          <w:szCs w:val="20"/>
        </w:rPr>
        <w:t xml:space="preserve">scores of patients in the rhodiola treatment group increased after treatment P&lt;0.05. Compared with those in the rhodiola treatment group,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depression</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(SDS)</w:t>
      </w:r>
      <w:r>
        <w:rPr>
          <w:rFonts w:cs="Courier New" w:ascii="Courier New" w:hAnsi="Courier New"/>
          <w:sz w:val="20"/>
          <w:szCs w:val="20"/>
        </w:rPr>
        <w:t xml:space="preserve">] and [T </w:t>
      </w:r>
      <w:r>
        <w:rPr>
          <w:rFonts w:cs="Courier New" w:ascii="Courier New" w:hAnsi="Courier New"/>
          <w:color w:val="FF0000"/>
          <w:sz w:val="20"/>
          <w:szCs w:val="20"/>
          <w:u w:val="single"/>
        </w:rPr>
        <w:t>self-rating</w:t>
      </w:r>
      <w:r>
        <w:rPr>
          <w:rFonts w:cs="Courier New" w:ascii="Courier New" w:hAnsi="Courier New"/>
          <w:color w:val="FF0000"/>
          <w:sz w:val="20"/>
          <w:szCs w:val="20"/>
        </w:rPr>
        <w:t xml:space="preserve"> </w:t>
      </w:r>
      <w:r>
        <w:rPr>
          <w:rFonts w:cs="Courier New" w:ascii="Courier New" w:hAnsi="Courier New"/>
          <w:sz w:val="20"/>
          <w:szCs w:val="20"/>
        </w:rPr>
        <w:t xml:space="preserve">&lt;P 0, 28&gt; </w:t>
      </w:r>
      <w:r>
        <w:rPr>
          <w:rFonts w:cs="Courier New" w:ascii="Courier New" w:hAnsi="Courier New"/>
          <w:color w:val="FF0000"/>
          <w:sz w:val="20"/>
          <w:szCs w:val="20"/>
          <w:highlight w:val="yellow"/>
          <w:u w:val="single"/>
        </w:rPr>
        <w:t>anxiety</w:t>
      </w:r>
      <w:r>
        <w:rPr>
          <w:rFonts w:cs="Courier New" w:ascii="Courier New" w:hAnsi="Courier New"/>
          <w:color w:val="FF0000"/>
          <w:sz w:val="20"/>
          <w:szCs w:val="20"/>
        </w:rPr>
        <w:t xml:space="preserve"> </w:t>
      </w:r>
      <w:r>
        <w:rPr>
          <w:rFonts w:cs="Courier New" w:ascii="Courier New" w:hAnsi="Courier New"/>
          <w:sz w:val="20"/>
          <w:szCs w:val="20"/>
        </w:rPr>
        <w:t xml:space="preserve">&lt;/&gt; </w:t>
      </w:r>
      <w:r>
        <w:rPr>
          <w:rFonts w:cs="Courier New" w:ascii="Courier New" w:hAnsi="Courier New"/>
          <w:color w:val="FF0000"/>
          <w:sz w:val="20"/>
          <w:szCs w:val="20"/>
          <w:u w:val="single"/>
        </w:rPr>
        <w:t>scale</w:t>
      </w:r>
      <w:r>
        <w:rPr>
          <w:rFonts w:cs="Courier New" w:ascii="Courier New" w:hAnsi="Courier New"/>
          <w:color w:val="FF0000"/>
          <w:sz w:val="20"/>
          <w:szCs w:val="20"/>
        </w:rPr>
        <w:t xml:space="preserve"> SAS</w:t>
      </w:r>
      <w:r>
        <w:rPr>
          <w:rFonts w:cs="Courier New" w:ascii="Courier New" w:hAnsi="Courier New"/>
          <w:sz w:val="20"/>
          <w:szCs w:val="20"/>
        </w:rPr>
        <w:t>]</w:t>
      </w:r>
      <w:r>
        <w:rPr>
          <w:rFonts w:cs="Courier New" w:ascii="Courier New" w:hAnsi="Courier New"/>
          <w:color w:val="FF0000"/>
          <w:sz w:val="20"/>
          <w:szCs w:val="20"/>
        </w:rPr>
        <w:t xml:space="preserve"> </w:t>
      </w:r>
      <w:r>
        <w:rPr>
          <w:rFonts w:cs="Courier New" w:ascii="Courier New" w:hAnsi="Courier New"/>
          <w:sz w:val="20"/>
          <w:szCs w:val="20"/>
        </w:rPr>
        <w:t xml:space="preserve">scores of patients in the rhodiola+non-invasive breathing group decreased after treatment P&lt;0.05. Three group patients were no significant difference in serum &lt;P 0&gt; </w:t>
      </w:r>
      <w:r>
        <w:rPr>
          <w:rFonts w:cs="Courier New" w:ascii="Courier New" w:hAnsi="Courier New"/>
          <w:sz w:val="20"/>
          <w:szCs w:val="20"/>
          <w:highlight w:val="yellow"/>
        </w:rPr>
        <w:t>SOD</w:t>
      </w:r>
      <w:r>
        <w:rPr>
          <w:rFonts w:cs="Courier New" w:ascii="Courier New" w:hAnsi="Courier New"/>
          <w:sz w:val="20"/>
          <w:szCs w:val="20"/>
        </w:rPr>
        <w:t xml:space="preserve"> &lt;/&gt; and &lt;P 0&gt; </w:t>
      </w:r>
      <w:r>
        <w:rPr>
          <w:rFonts w:cs="Courier New" w:ascii="Courier New" w:hAnsi="Courier New"/>
          <w:sz w:val="20"/>
          <w:szCs w:val="20"/>
          <w:highlight w:val="yellow"/>
        </w:rPr>
        <w:t>malondialdehyde (MDA</w:t>
      </w:r>
      <w:r>
        <w:rPr>
          <w:rFonts w:cs="Courier New" w:ascii="Courier New" w:hAnsi="Courier New"/>
          <w:sz w:val="20"/>
          <w:szCs w:val="20"/>
        </w:rPr>
        <w:t xml:space="preserve">) &lt;/&gt; before treatment P&gt;0.05. Compared with before treatment, serum &lt;P 0&gt; </w:t>
      </w:r>
      <w:r>
        <w:rPr>
          <w:rFonts w:cs="Courier New" w:ascii="Courier New" w:hAnsi="Courier New"/>
          <w:sz w:val="20"/>
          <w:szCs w:val="20"/>
          <w:highlight w:val="yellow"/>
        </w:rPr>
        <w:t>SOD</w:t>
      </w:r>
      <w:r>
        <w:rPr>
          <w:rFonts w:cs="Courier New" w:ascii="Courier New" w:hAnsi="Courier New"/>
          <w:sz w:val="20"/>
          <w:szCs w:val="20"/>
        </w:rPr>
        <w:t xml:space="preserve"> &lt;/&gt; level were all increased and &lt;P 0&gt; </w:t>
      </w:r>
      <w:r>
        <w:rPr>
          <w:rFonts w:cs="Courier New" w:ascii="Courier New" w:hAnsi="Courier New"/>
          <w:sz w:val="20"/>
          <w:szCs w:val="20"/>
          <w:highlight w:val="yellow"/>
          <w:u w:val="single"/>
        </w:rPr>
        <w:t>malondialdehyde</w:t>
      </w:r>
      <w:r>
        <w:rPr>
          <w:rFonts w:cs="Courier New" w:ascii="Courier New" w:hAnsi="Courier New"/>
          <w:sz w:val="20"/>
          <w:szCs w:val="20"/>
          <w:highlight w:val="yellow"/>
        </w:rPr>
        <w:t xml:space="preserve"> (MDA</w:t>
      </w:r>
      <w:r>
        <w:rPr>
          <w:rFonts w:cs="Courier New" w:ascii="Courier New" w:hAnsi="Courier New"/>
          <w:sz w:val="20"/>
          <w:szCs w:val="20"/>
        </w:rPr>
        <w:t xml:space="preserve">) &lt;/&gt; level were all decreased in the three groups after treatment P&lt;0.05. Compared with noninvasive breathing unit after treatment, rhodiola+noninvasive breathing unit after treatment in patients with elevated levels of serum &lt;P 0&gt; </w:t>
      </w:r>
      <w:r>
        <w:rPr>
          <w:rFonts w:cs="Courier New" w:ascii="Courier New" w:hAnsi="Courier New"/>
          <w:sz w:val="20"/>
          <w:szCs w:val="20"/>
          <w:highlight w:val="yellow"/>
        </w:rPr>
        <w:t>SOD</w:t>
      </w:r>
      <w:r>
        <w:rPr>
          <w:rFonts w:cs="Courier New" w:ascii="Courier New" w:hAnsi="Courier New"/>
          <w:sz w:val="20"/>
          <w:szCs w:val="20"/>
        </w:rPr>
        <w:t xml:space="preserve"> &lt;/&gt;, &lt;P 0&gt; </w:t>
      </w:r>
      <w:r>
        <w:rPr>
          <w:rFonts w:cs="Courier New" w:ascii="Courier New" w:hAnsi="Courier New"/>
          <w:sz w:val="20"/>
          <w:szCs w:val="20"/>
          <w:highlight w:val="yellow"/>
          <w:u w:val="single"/>
        </w:rPr>
        <w:t>malondialdehyde</w:t>
      </w:r>
      <w:r>
        <w:rPr>
          <w:rFonts w:cs="Courier New" w:ascii="Courier New" w:hAnsi="Courier New"/>
          <w:sz w:val="20"/>
          <w:szCs w:val="20"/>
          <w:highlight w:val="yellow"/>
        </w:rPr>
        <w:t xml:space="preserve"> (MDA</w:t>
      </w:r>
      <w:r>
        <w:rPr>
          <w:rFonts w:cs="Courier New" w:ascii="Courier New" w:hAnsi="Courier New"/>
          <w:sz w:val="20"/>
          <w:szCs w:val="20"/>
        </w:rPr>
        <w:t xml:space="preserve">) &lt;/&gt; level decreased P&lt;0.05, and for the treatment group after treatment in patients with serum &lt;P 0&gt; </w:t>
      </w:r>
      <w:r>
        <w:rPr>
          <w:rFonts w:cs="Courier New" w:ascii="Courier New" w:hAnsi="Courier New"/>
          <w:sz w:val="20"/>
          <w:szCs w:val="20"/>
          <w:highlight w:val="yellow"/>
        </w:rPr>
        <w:t>SOD</w:t>
      </w:r>
      <w:r>
        <w:rPr>
          <w:rFonts w:cs="Courier New" w:ascii="Courier New" w:hAnsi="Courier New"/>
          <w:sz w:val="20"/>
          <w:szCs w:val="20"/>
        </w:rPr>
        <w:t xml:space="preserve"> &lt;/&gt; levels drop, the &lt;P 0&gt; </w:t>
      </w:r>
      <w:r>
        <w:rPr>
          <w:rFonts w:cs="Courier New" w:ascii="Courier New" w:hAnsi="Courier New"/>
          <w:sz w:val="20"/>
          <w:szCs w:val="20"/>
          <w:highlight w:val="yellow"/>
          <w:u w:val="single"/>
        </w:rPr>
        <w:t>malondialdehyde</w:t>
      </w:r>
      <w:r>
        <w:rPr>
          <w:rFonts w:cs="Courier New" w:ascii="Courier New" w:hAnsi="Courier New"/>
          <w:sz w:val="20"/>
          <w:szCs w:val="20"/>
          <w:highlight w:val="yellow"/>
        </w:rPr>
        <w:t xml:space="preserve"> (MDA</w:t>
      </w:r>
      <w:r>
        <w:rPr>
          <w:rFonts w:cs="Courier New" w:ascii="Courier New" w:hAnsi="Courier New"/>
          <w:sz w:val="20"/>
          <w:szCs w:val="20"/>
        </w:rPr>
        <w:t xml:space="preserve">) &lt;/&gt; levels P&lt;0.05, and the after rhodiola rosea treatment group compared, rhodiola+noninvasive breathing unit after treatment in patients with elevated levels of serum &lt;P 0&gt; </w:t>
      </w:r>
      <w:r>
        <w:rPr>
          <w:rFonts w:cs="Courier New" w:ascii="Courier New" w:hAnsi="Courier New"/>
          <w:sz w:val="20"/>
          <w:szCs w:val="20"/>
          <w:highlight w:val="yellow"/>
        </w:rPr>
        <w:t>SOD</w:t>
      </w:r>
      <w:r>
        <w:rPr>
          <w:rFonts w:cs="Courier New" w:ascii="Courier New" w:hAnsi="Courier New"/>
          <w:sz w:val="20"/>
          <w:szCs w:val="20"/>
        </w:rPr>
        <w:t xml:space="preserve"> &lt;/&gt;, &lt;P 0&gt; </w:t>
      </w:r>
      <w:r>
        <w:rPr>
          <w:rFonts w:cs="Courier New" w:ascii="Courier New" w:hAnsi="Courier New"/>
          <w:sz w:val="20"/>
          <w:szCs w:val="20"/>
          <w:highlight w:val="yellow"/>
          <w:u w:val="single"/>
        </w:rPr>
        <w:t>malondialdehyde</w:t>
      </w:r>
      <w:r>
        <w:rPr>
          <w:rFonts w:cs="Courier New" w:ascii="Courier New" w:hAnsi="Courier New"/>
          <w:sz w:val="20"/>
          <w:szCs w:val="20"/>
          <w:highlight w:val="yellow"/>
        </w:rPr>
        <w:t xml:space="preserve"> (MDA</w:t>
      </w:r>
      <w:r>
        <w:rPr>
          <w:rFonts w:cs="Courier New" w:ascii="Courier New" w:hAnsi="Courier New"/>
          <w:sz w:val="20"/>
          <w:szCs w:val="20"/>
        </w:rPr>
        <w:t xml:space="preserve">) &lt;/&gt; level decreased P&lt;0.05. Conclusion:Rhodiola may improve the &lt;P 28&gt; </w:t>
      </w:r>
      <w:r>
        <w:rPr>
          <w:rFonts w:cs="Courier New" w:ascii="Courier New" w:hAnsi="Courier New"/>
          <w:sz w:val="20"/>
          <w:szCs w:val="20"/>
          <w:highlight w:val="yellow"/>
        </w:rPr>
        <w:t>negative emotions</w:t>
      </w:r>
      <w:r>
        <w:rPr>
          <w:rFonts w:cs="Courier New" w:ascii="Courier New" w:hAnsi="Courier New"/>
          <w:sz w:val="20"/>
          <w:szCs w:val="20"/>
        </w:rPr>
        <w:t xml:space="preserve"> &lt;/&gt; such as &lt;P 0, 28&gt; </w:t>
      </w:r>
      <w:r>
        <w:rPr>
          <w:rFonts w:cs="Courier New" w:ascii="Courier New" w:hAnsi="Courier New"/>
          <w:sz w:val="20"/>
          <w:szCs w:val="20"/>
          <w:highlight w:val="yellow"/>
        </w:rPr>
        <w:t>anxiety</w:t>
      </w:r>
      <w:r>
        <w:rPr>
          <w:rFonts w:cs="Courier New" w:ascii="Courier New" w:hAnsi="Courier New"/>
          <w:sz w:val="20"/>
          <w:szCs w:val="20"/>
        </w:rPr>
        <w:t xml:space="preserve"> &lt;/&gt; and &lt;P 0, 28&gt; </w:t>
      </w:r>
      <w:r>
        <w:rPr>
          <w:rFonts w:cs="Courier New" w:ascii="Courier New" w:hAnsi="Courier New"/>
          <w:sz w:val="20"/>
          <w:szCs w:val="20"/>
          <w:highlight w:val="yellow"/>
        </w:rPr>
        <w:t>depression</w:t>
      </w:r>
      <w:r>
        <w:rPr>
          <w:rFonts w:cs="Courier New" w:ascii="Courier New" w:hAnsi="Courier New"/>
          <w:sz w:val="20"/>
          <w:szCs w:val="20"/>
        </w:rPr>
        <w:t xml:space="preserve"> &lt;/&gt; by inhibiting &lt;P 0&gt; </w:t>
      </w:r>
      <w:r>
        <w:rPr>
          <w:rFonts w:cs="Courier New" w:ascii="Courier New" w:hAnsi="Courier New"/>
          <w:sz w:val="20"/>
          <w:szCs w:val="20"/>
          <w:highlight w:val="yellow"/>
        </w:rPr>
        <w:t>oxygen free radicals</w:t>
      </w:r>
      <w:r>
        <w:rPr>
          <w:rFonts w:cs="Courier New" w:ascii="Courier New" w:hAnsi="Courier New"/>
          <w:sz w:val="20"/>
          <w:szCs w:val="20"/>
        </w:rPr>
        <w:t xml:space="preserve"> &lt;/&gt; and &lt;P 0&gt; </w:t>
      </w:r>
      <w:r>
        <w:rPr>
          <w:rFonts w:cs="Courier New" w:ascii="Courier New" w:hAnsi="Courier New"/>
          <w:sz w:val="20"/>
          <w:szCs w:val="20"/>
          <w:highlight w:val="yellow"/>
        </w:rPr>
        <w:t>lipid peroxidation</w:t>
      </w:r>
      <w:r>
        <w:rPr>
          <w:rFonts w:cs="Courier New" w:ascii="Courier New" w:hAnsi="Courier New"/>
          <w:sz w:val="20"/>
          <w:szCs w:val="20"/>
        </w:rPr>
        <w:t xml:space="preserve"> &lt;/&gt; in patients with OSA.</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PMID: 31623051</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Title: [Clinical observation of LOP chemotherapy combined with radiotherapy in the treatment of early nasal NK/T cell lymphoma].</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Type: Journal Article, Randomized Controlled Trial,</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Journal-Name: Lin chuang er bi yan hou tou jing wai ke za zhi = Journal of clinical otorhinolaryngology, head, and neck surgery</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Journal ID: 101303164</w:t>
      </w:r>
    </w:p>
    <w:p>
      <w:pPr>
        <w:pStyle w:val="Normal"/>
        <w:spacing w:lineRule="auto" w:line="240" w:before="0" w:after="160"/>
        <w:contextualSpacing/>
        <w:rPr>
          <w:rFonts w:ascii="Courier New" w:hAnsi="Courier New" w:cs="Courier New"/>
          <w:sz w:val="20"/>
          <w:szCs w:val="20"/>
        </w:rPr>
      </w:pPr>
      <w:r>
        <w:rPr>
          <w:rFonts w:cs="Courier New" w:ascii="Courier New" w:hAnsi="Courier New"/>
          <w:sz w:val="20"/>
          <w:szCs w:val="20"/>
        </w:rPr>
        <w:t>Publication date: ['2019/10/18 06:00']</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t xml:space="preserve">Objective:To investigate the efficacy and safety of LOPasparaginase + vincristine + dexamethasone chemotherapy combined with radiotherapy in patients with nasal NK/T cell lymphoma. Method:Sixty patients with nasal NK/T cell lymphoma admitted to our hospital from February 2012 to February 2016 were selected as the study subject. They were randomly divided into group A and group B, 30 cases in each group. All patients were treated with combined chemotherapy and IMRTintensity modulated conformal radiotherapy. The LOP regimen was used in group A and the CHOPcyclophosphamide + pirarubicin + vincristine + dexamethasone regimen was used in group B. The short-term efficacy, long-term efficacy and &lt;P 38&gt; </w:t>
      </w:r>
      <w:r>
        <w:rPr>
          <w:rFonts w:cs="Courier New" w:ascii="Courier New" w:hAnsi="Courier New"/>
          <w:sz w:val="20"/>
          <w:szCs w:val="20"/>
          <w:highlight w:val="yellow"/>
        </w:rPr>
        <w:t>adverse reactions</w:t>
      </w:r>
      <w:r>
        <w:rPr>
          <w:rFonts w:cs="Courier New" w:ascii="Courier New" w:hAnsi="Courier New"/>
          <w:sz w:val="20"/>
          <w:szCs w:val="20"/>
        </w:rPr>
        <w:t xml:space="preserve"> &lt;/&gt; of the two groups were compared. Result:The clinical manifestations of 60 patients mainly included &lt;P 0&gt; </w:t>
      </w:r>
      <w:r>
        <w:rPr>
          <w:rFonts w:cs="Courier New" w:ascii="Courier New" w:hAnsi="Courier New"/>
          <w:sz w:val="20"/>
          <w:szCs w:val="20"/>
          <w:highlight w:val="yellow"/>
        </w:rPr>
        <w:t>nasal obstruction</w:t>
      </w:r>
      <w:r>
        <w:rPr>
          <w:rFonts w:cs="Courier New" w:ascii="Courier New" w:hAnsi="Courier New"/>
          <w:sz w:val="20"/>
          <w:szCs w:val="20"/>
        </w:rPr>
        <w:t xml:space="preserve"> &lt;/&gt; 81.67%, accompanied by &lt;P 0&gt; </w:t>
      </w:r>
      <w:r>
        <w:rPr>
          <w:rFonts w:cs="Courier New" w:ascii="Courier New" w:hAnsi="Courier New"/>
          <w:sz w:val="20"/>
          <w:szCs w:val="20"/>
          <w:highlight w:val="yellow"/>
        </w:rPr>
        <w:t>fever</w:t>
      </w:r>
      <w:r>
        <w:rPr>
          <w:rFonts w:cs="Courier New" w:ascii="Courier New" w:hAnsi="Courier New"/>
          <w:sz w:val="20"/>
          <w:szCs w:val="20"/>
        </w:rPr>
        <w:t xml:space="preserve"> &lt;/&gt;, &lt;P 0&gt; </w:t>
      </w:r>
      <w:r>
        <w:rPr>
          <w:rFonts w:cs="Courier New" w:ascii="Courier New" w:hAnsi="Courier New"/>
          <w:sz w:val="20"/>
          <w:szCs w:val="20"/>
          <w:highlight w:val="yellow"/>
        </w:rPr>
        <w:t>headache</w:t>
      </w:r>
      <w:r>
        <w:rPr>
          <w:rFonts w:cs="Courier New" w:ascii="Courier New" w:hAnsi="Courier New"/>
          <w:sz w:val="20"/>
          <w:szCs w:val="20"/>
        </w:rPr>
        <w:t xml:space="preserve"> &lt;/&gt;, &lt;P 0&gt; </w:t>
      </w:r>
      <w:r>
        <w:rPr>
          <w:rFonts w:cs="Courier New" w:ascii="Courier New" w:hAnsi="Courier New"/>
          <w:sz w:val="20"/>
          <w:szCs w:val="20"/>
          <w:highlight w:val="yellow"/>
        </w:rPr>
        <w:t>nosebleed</w:t>
      </w:r>
      <w:r>
        <w:rPr>
          <w:rFonts w:cs="Courier New" w:ascii="Courier New" w:hAnsi="Courier New"/>
          <w:sz w:val="20"/>
          <w:szCs w:val="20"/>
        </w:rPr>
        <w:t xml:space="preserve"> &lt;/&gt; and &lt;P 0&gt; </w:t>
      </w:r>
      <w:r>
        <w:rPr>
          <w:rFonts w:cs="Courier New" w:ascii="Courier New" w:hAnsi="Courier New"/>
          <w:sz w:val="20"/>
          <w:szCs w:val="20"/>
          <w:highlight w:val="yellow"/>
        </w:rPr>
        <w:t>runny nose</w:t>
      </w:r>
      <w:r>
        <w:rPr>
          <w:rFonts w:cs="Courier New" w:ascii="Courier New" w:hAnsi="Courier New"/>
          <w:sz w:val="20"/>
          <w:szCs w:val="20"/>
        </w:rPr>
        <w:t xml:space="preserve"> &lt;/&gt;. Forty-one patients68.33% had only one site of &lt;P 0&gt; </w:t>
      </w:r>
      <w:r>
        <w:rPr>
          <w:rFonts w:cs="Courier New" w:ascii="Courier New" w:hAnsi="Courier New"/>
          <w:sz w:val="20"/>
          <w:szCs w:val="20"/>
          <w:highlight w:val="yellow"/>
        </w:rPr>
        <w:t>lesion</w:t>
      </w:r>
      <w:r>
        <w:rPr>
          <w:rFonts w:cs="Courier New" w:ascii="Courier New" w:hAnsi="Courier New"/>
          <w:sz w:val="20"/>
          <w:szCs w:val="20"/>
        </w:rPr>
        <w:t xml:space="preserve"> &lt;/&gt;, and 21 patients35.00% had multiple sites of &lt;P 0&gt; </w:t>
      </w:r>
      <w:r>
        <w:rPr>
          <w:rFonts w:cs="Courier New" w:ascii="Courier New" w:hAnsi="Courier New"/>
          <w:sz w:val="20"/>
          <w:szCs w:val="20"/>
          <w:highlight w:val="yellow"/>
        </w:rPr>
        <w:t>lesions</w:t>
      </w:r>
      <w:r>
        <w:rPr>
          <w:rFonts w:cs="Courier New" w:ascii="Courier New" w:hAnsi="Courier New"/>
          <w:sz w:val="20"/>
          <w:szCs w:val="20"/>
        </w:rPr>
        <w:t xml:space="preserve"> &lt;/&gt;. In terms of total &lt;P 0&gt; </w:t>
      </w:r>
      <w:r>
        <w:rPr>
          <w:rFonts w:cs="Courier New" w:ascii="Courier New" w:hAnsi="Courier New"/>
          <w:sz w:val="20"/>
          <w:szCs w:val="20"/>
          <w:highlight w:val="yellow"/>
        </w:rPr>
        <w:t>remission</w:t>
      </w:r>
      <w:r>
        <w:rPr>
          <w:rFonts w:cs="Courier New" w:ascii="Courier New" w:hAnsi="Courier New"/>
          <w:sz w:val="20"/>
          <w:szCs w:val="20"/>
        </w:rPr>
        <w:t xml:space="preserve"> &lt;/&gt; rate, it was significantly higher in group A than that in group B93.33% vs. 66.67%, P&lt;0.05. In terms of &lt;P 38&gt; </w:t>
      </w:r>
      <w:r>
        <w:rPr>
          <w:rFonts w:cs="Courier New" w:ascii="Courier New" w:hAnsi="Courier New"/>
          <w:sz w:val="20"/>
          <w:szCs w:val="20"/>
          <w:highlight w:val="yellow"/>
        </w:rPr>
        <w:t>adverse reactions</w:t>
      </w:r>
      <w:r>
        <w:rPr>
          <w:rFonts w:cs="Courier New" w:ascii="Courier New" w:hAnsi="Courier New"/>
          <w:sz w:val="20"/>
          <w:szCs w:val="20"/>
        </w:rPr>
        <w:t xml:space="preserve"> &lt;/&gt;, the incidence of &lt;P 0&gt; </w:t>
      </w:r>
      <w:r>
        <w:rPr>
          <w:rFonts w:cs="Courier New" w:ascii="Courier New" w:hAnsi="Courier New"/>
          <w:sz w:val="20"/>
          <w:szCs w:val="20"/>
          <w:highlight w:val="yellow"/>
        </w:rPr>
        <w:t>bone marrow suppression</w:t>
      </w:r>
      <w:r>
        <w:rPr>
          <w:rFonts w:cs="Courier New" w:ascii="Courier New" w:hAnsi="Courier New"/>
          <w:sz w:val="20"/>
          <w:szCs w:val="20"/>
        </w:rPr>
        <w:t xml:space="preserve"> &lt;/&gt;, &lt;P 0&gt; </w:t>
      </w:r>
      <w:r>
        <w:rPr>
          <w:rFonts w:cs="Courier New" w:ascii="Courier New" w:hAnsi="Courier New"/>
          <w:sz w:val="20"/>
          <w:szCs w:val="20"/>
          <w:highlight w:val="yellow"/>
        </w:rPr>
        <w:t>gastrointestinal reaction</w:t>
      </w:r>
      <w:r>
        <w:rPr>
          <w:rFonts w:cs="Courier New" w:ascii="Courier New" w:hAnsi="Courier New"/>
          <w:sz w:val="20"/>
          <w:szCs w:val="20"/>
        </w:rPr>
        <w:t xml:space="preserve"> &lt;/&gt; and &lt;P 0&gt; </w:t>
      </w:r>
      <w:r>
        <w:rPr>
          <w:rFonts w:cs="Courier New" w:ascii="Courier New" w:hAnsi="Courier New"/>
          <w:sz w:val="20"/>
          <w:szCs w:val="20"/>
          <w:highlight w:val="yellow"/>
        </w:rPr>
        <w:t>low-protein reaction</w:t>
      </w:r>
      <w:r>
        <w:rPr>
          <w:rFonts w:cs="Courier New" w:ascii="Courier New" w:hAnsi="Courier New"/>
          <w:sz w:val="20"/>
          <w:szCs w:val="20"/>
        </w:rPr>
        <w:t xml:space="preserve"> &lt;/&gt; was significantly lower in group A than that in group BP&lt;0.05. Three patients &lt;P 1&gt; </w:t>
      </w:r>
      <w:r>
        <w:rPr>
          <w:rFonts w:cs="Courier New" w:ascii="Courier New" w:hAnsi="Courier New"/>
          <w:sz w:val="20"/>
          <w:szCs w:val="20"/>
          <w:highlight w:val="yellow"/>
        </w:rPr>
        <w:t>died</w:t>
      </w:r>
      <w:r>
        <w:rPr>
          <w:rFonts w:cs="Courier New" w:ascii="Courier New" w:hAnsi="Courier New"/>
          <w:sz w:val="20"/>
          <w:szCs w:val="20"/>
        </w:rPr>
        <w:t xml:space="preserve"> &lt;/&gt; in group A and 11 patients &lt;P 1&gt; </w:t>
      </w:r>
      <w:r>
        <w:rPr>
          <w:rFonts w:cs="Courier New" w:ascii="Courier New" w:hAnsi="Courier New"/>
          <w:sz w:val="20"/>
          <w:szCs w:val="20"/>
          <w:highlight w:val="yellow"/>
        </w:rPr>
        <w:t>died</w:t>
      </w:r>
      <w:r>
        <w:rPr>
          <w:rFonts w:cs="Courier New" w:ascii="Courier New" w:hAnsi="Courier New"/>
          <w:sz w:val="20"/>
          <w:szCs w:val="20"/>
        </w:rPr>
        <w:t xml:space="preserve"> &lt;/&gt; in group B during the 3-year follow-up. The 3-year &lt;P 1&gt; </w:t>
      </w:r>
      <w:r>
        <w:rPr>
          <w:rFonts w:cs="Courier New" w:ascii="Courier New" w:hAnsi="Courier New"/>
          <w:sz w:val="20"/>
          <w:szCs w:val="20"/>
          <w:highlight w:val="yellow"/>
        </w:rPr>
        <w:t>survival</w:t>
      </w:r>
      <w:r>
        <w:rPr>
          <w:rFonts w:cs="Courier New" w:ascii="Courier New" w:hAnsi="Courier New"/>
          <w:sz w:val="20"/>
          <w:szCs w:val="20"/>
        </w:rPr>
        <w:t xml:space="preserve"> &lt;/&gt; rate of group A was higher than that of group BP&lt;0.05. Conclusion:Compared with CHOP+IMRT regimen, the LOP+IMRT regimen for nasal NK/T-cell lymphoma patients resulted in higher overall &lt;P 0&gt; </w:t>
      </w:r>
      <w:r>
        <w:rPr>
          <w:rFonts w:cs="Courier New" w:ascii="Courier New" w:hAnsi="Courier New"/>
          <w:sz w:val="20"/>
          <w:szCs w:val="20"/>
          <w:highlight w:val="yellow"/>
        </w:rPr>
        <w:t>remission</w:t>
      </w:r>
      <w:r>
        <w:rPr>
          <w:rFonts w:cs="Courier New" w:ascii="Courier New" w:hAnsi="Courier New"/>
          <w:sz w:val="20"/>
          <w:szCs w:val="20"/>
        </w:rPr>
        <w:t xml:space="preserve"> &lt;/&gt; rate, &lt;P 1&gt; </w:t>
      </w:r>
      <w:r>
        <w:rPr>
          <w:rFonts w:cs="Courier New" w:ascii="Courier New" w:hAnsi="Courier New"/>
          <w:sz w:val="20"/>
          <w:szCs w:val="20"/>
          <w:highlight w:val="yellow"/>
        </w:rPr>
        <w:t>survival</w:t>
      </w:r>
      <w:r>
        <w:rPr>
          <w:rFonts w:cs="Courier New" w:ascii="Courier New" w:hAnsi="Courier New"/>
          <w:sz w:val="20"/>
          <w:szCs w:val="20"/>
        </w:rPr>
        <w:t xml:space="preserve"> &lt;/&gt; rate and lower &lt;P 38&gt; </w:t>
      </w:r>
      <w:r>
        <w:rPr>
          <w:rFonts w:cs="Courier New" w:ascii="Courier New" w:hAnsi="Courier New"/>
          <w:sz w:val="20"/>
          <w:szCs w:val="20"/>
          <w:highlight w:val="yellow"/>
        </w:rPr>
        <w:t>adverse reactions</w:t>
      </w:r>
      <w:r>
        <w:rPr>
          <w:rFonts w:cs="Courier New" w:ascii="Courier New" w:hAnsi="Courier New"/>
          <w:sz w:val="20"/>
          <w:szCs w:val="20"/>
        </w:rPr>
        <w:t xml:space="preserve"> &lt;/&gt;, so it is worth in clinical promotion.</w:t>
      </w:r>
    </w:p>
    <w:p>
      <w:pPr>
        <w:pStyle w:val="Normal"/>
        <w:rPr>
          <w:rFonts w:ascii="Courier New" w:hAnsi="Courier New" w:cs="Courier New"/>
          <w:sz w:val="20"/>
          <w:szCs w:val="20"/>
        </w:rPr>
      </w:pPr>
      <w:r>
        <w:rPr>
          <w:rFonts w:cs="Courier New" w:ascii="Courier New" w:hAnsi="Courier New"/>
          <w:sz w:val="20"/>
          <w:szCs w:val="20"/>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e3f38"/>
    <w:rPr>
      <w:sz w:val="16"/>
      <w:szCs w:val="16"/>
    </w:rPr>
  </w:style>
  <w:style w:type="character" w:styleId="CommentTextChar" w:customStyle="1">
    <w:name w:val="Comment Text Char"/>
    <w:basedOn w:val="DefaultParagraphFont"/>
    <w:link w:val="CommentText"/>
    <w:uiPriority w:val="99"/>
    <w:semiHidden/>
    <w:qFormat/>
    <w:rsid w:val="008e3f38"/>
    <w:rPr>
      <w:sz w:val="20"/>
      <w:szCs w:val="20"/>
    </w:rPr>
  </w:style>
  <w:style w:type="character" w:styleId="CommentSubjectChar" w:customStyle="1">
    <w:name w:val="Comment Subject Char"/>
    <w:basedOn w:val="CommentTextChar"/>
    <w:link w:val="CommentSubject"/>
    <w:uiPriority w:val="99"/>
    <w:semiHidden/>
    <w:qFormat/>
    <w:rsid w:val="008e3f38"/>
    <w:rPr>
      <w:b/>
      <w:bCs/>
      <w:sz w:val="20"/>
      <w:szCs w:val="20"/>
    </w:rPr>
  </w:style>
  <w:style w:type="character" w:styleId="BalloonTextChar" w:customStyle="1">
    <w:name w:val="Balloon Text Char"/>
    <w:basedOn w:val="DefaultParagraphFont"/>
    <w:link w:val="BalloonText"/>
    <w:uiPriority w:val="99"/>
    <w:semiHidden/>
    <w:qFormat/>
    <w:rsid w:val="008e3f3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8e3f3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e3f38"/>
    <w:pPr/>
    <w:rPr>
      <w:b/>
      <w:bCs/>
    </w:rPr>
  </w:style>
  <w:style w:type="paragraph" w:styleId="BalloonText">
    <w:name w:val="Balloon Text"/>
    <w:basedOn w:val="Normal"/>
    <w:link w:val="BalloonTextChar"/>
    <w:uiPriority w:val="99"/>
    <w:semiHidden/>
    <w:unhideWhenUsed/>
    <w:qFormat/>
    <w:rsid w:val="008e3f3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16</Pages>
  <Words>5401</Words>
  <Characters>30797</Characters>
  <CharactersWithSpaces>36086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2019-12-12T20:42:00Z</dcterms:created>
  <dc:creator>Susanna Dodd</dc:creator>
  <dc:description/>
  <dc:language>en-GB</dc:language>
  <cp:lastModifiedBy/>
  <dcterms:modified xsi:type="dcterms:W3CDTF">2020-02-14T13:14:02Z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