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Beyin-MR Kendinden-Denetimli Ön-Eğitim</w:t>
      </w:r>
    </w:p>
    <w:p>
      <w:pPr>
        <w:jc w:val="center"/>
      </w:pPr>
      <w:r>
        <w:rPr>
          <w:color w:val="000000"/>
          <w:sz w:val="26"/>
        </w:rPr>
        <w:t>Proje Genel Bakışı, Model Seçim Metodolojisi ve Yol Planı</w:t>
      </w:r>
    </w:p>
    <w:p>
      <w:pPr>
        <w:jc w:val="center"/>
      </w:pPr>
      <w:r>
        <w:rPr>
          <w:color w:val="000000"/>
          <w:sz w:val="20"/>
        </w:rPr>
        <w:t>Stage-1: Etiketsiz temsil öğrenimi  ·  Sürüm 2026-07-24</w:t>
      </w:r>
    </w:p>
    <w:p>
      <w:r>
        <w:rPr>
          <w:b w:val="0"/>
          <w:i w:val="0"/>
          <w:color w:val="000000"/>
        </w:rPr>
        <w:t>Bu belge iki okur için yazılmıştır: (1) projeye yeni katılan biri için baştan sona anlaşılır bir giriş, ve (2) danışman hocalar için bildirinin kapsamını ve yol planını gösteren bir özet. Terimler ilk geçtikleri yerde açıklanır; en sonda kısa bir sözlük vardır.</w:t>
      </w:r>
    </w:p>
    <w:p>
      <w:pPr>
        <w:pStyle w:val="Heading1"/>
      </w:pPr>
      <w:r>
        <w:t>1. Proje Nedir? (Bir Bakışta)</w:t>
      </w:r>
    </w:p>
    <w:p>
      <w:r>
        <w:rPr>
          <w:b w:val="0"/>
          <w:i w:val="0"/>
          <w:color w:val="000000"/>
        </w:rPr>
        <w:t>Amacımız, beyin MR görüntülerinden — hiçbir hastalık etiketi kullanmadan — her hasta için sayısal bir “özet vektör” (256 boyutlu öznitelik) öğrenen bir yapay sinir ağı eğitmektir. Bu vektör, ileride ayrı bir çalışmada IDH mutasyon durumunu sınıflandıracak modele girdi olacaktır.</w:t>
      </w:r>
    </w:p>
    <w:p>
      <w:r>
        <w:rPr>
          <w:b/>
          <w:i w:val="0"/>
          <w:color w:val="000000"/>
        </w:rPr>
        <w:t>İşlem hattı:</w:t>
      </w:r>
    </w:p>
    <w:p>
      <w:r>
        <w:rPr>
          <w:b w:val="0"/>
          <w:i w:val="0"/>
          <w:color w:val="000000"/>
        </w:rPr>
        <w:t>BraTS 2021 + harici kohortlar (4 MR modalitesi: T1, T1ce, T2, FLAIR)  →  SimSiam kendinden-denetimli ön-eğitim  →  dondurulmuş kodlayıcı (encoder)  →  256 boyutlu öznitelik  →  [IDH sınıflandırıcı — bu çalışmanın KAPSAMI DIŞINDA].</w:t>
      </w:r>
    </w:p>
    <w:p>
      <w:r>
        <w:rPr>
          <w:b w:val="0"/>
          <w:i w:val="0"/>
          <w:color w:val="000000"/>
        </w:rPr>
        <w:t>Bu depo yalnızca yukarıdaki hattın SSL ön-eğitim kısmını (Stage-1) içerir. IDH sınıflandırma, PyRadiomics ve klinik birleştirme sonraki bir makalenin konusudur.</w:t>
      </w:r>
    </w:p>
    <w:p>
      <w:pPr>
        <w:pStyle w:val="Heading1"/>
      </w:pPr>
      <w:r>
        <w:t>2. Bu Bildiride Ne İddia Ediyoruz?</w:t>
      </w:r>
    </w:p>
    <w:p>
      <w:r>
        <w:rPr>
          <w:b w:val="0"/>
          <w:i w:val="0"/>
          <w:color w:val="000000"/>
        </w:rPr>
        <w:t>Bildirinin manşet katkısı bir YÖNTEMDİR: etiket olmadan, hangi modelin daha iyi olduğuna güvenilir biçimde karar veren bir seçim algoritması.</w:t>
      </w:r>
    </w:p>
    <w:p>
      <w:pPr>
        <w:pStyle w:val="ListBullet"/>
      </w:pPr>
      <w:r>
        <w:rPr>
          <w:b/>
          <w:color w:val="000000"/>
        </w:rPr>
        <w:t xml:space="preserve">Ana katkı (yöntem): </w:t>
      </w:r>
      <w:r>
        <w:rPr>
          <w:color w:val="000000"/>
        </w:rPr>
        <w:t>çöküş-farkında (temsilin bilgi taşıyan boyut sayısını izler), yakınsama-kapılı (model gerçekten öğrenene kadar seçim yapmaz) ve eğitimin “kararlı noktasında” okuyan etiketsiz bir model-seçim algoritması.</w:t>
      </w:r>
    </w:p>
    <w:p>
      <w:pPr>
        <w:pStyle w:val="ListBullet"/>
      </w:pPr>
      <w:r>
        <w:rPr>
          <w:b/>
          <w:color w:val="000000"/>
        </w:rPr>
        <w:t xml:space="preserve">Ana bulgu: </w:t>
      </w:r>
      <w:r>
        <w:rPr>
          <w:color w:val="000000"/>
        </w:rPr>
        <w:t>naif seçim (metriğin geçici zirvesinden okumak) kararsızdır — aynı model, rastgele tohuma göre çok farklı sonuç verebilir. Bu, yöntemimizin neden gerekli olduğunu gösterir.</w:t>
      </w:r>
    </w:p>
    <w:p>
      <w:pPr>
        <w:pStyle w:val="ListBullet"/>
      </w:pPr>
      <w:r>
        <w:rPr>
          <w:b/>
          <w:color w:val="000000"/>
        </w:rPr>
        <w:t xml:space="preserve">Gösterim (deney): </w:t>
      </w:r>
      <w:r>
        <w:rPr>
          <w:color w:val="000000"/>
        </w:rPr>
        <w:t>üç omurga mimarisini (ResNet-18, ResNet-34, DenseNet-121) bu yöntemle karşılaştırıp tekrarlanabilir bir sıralama elde ediyoruz.</w:t>
      </w:r>
    </w:p>
    <w:p>
      <w:r>
        <w:rPr>
          <w:b w:val="0"/>
          <w:i/>
          <w:color w:val="000000"/>
        </w:rPr>
        <w:t>Kapsam: Yalnızca etiketsiz SSL ön-eğitim. IDH sınıflandırma (etiketli değerlendirme) gelecek iştir.</w:t>
      </w:r>
    </w:p>
    <w:p>
      <w:pPr>
        <w:pStyle w:val="Heading1"/>
      </w:pPr>
      <w:r>
        <w:t>3. Neden Etiketsiz? Ne Ölçüyoruz? (Temel Kavramlar)</w:t>
      </w:r>
    </w:p>
    <w:p>
      <w:r>
        <w:rPr>
          <w:b w:val="0"/>
          <w:i w:val="0"/>
          <w:color w:val="000000"/>
        </w:rPr>
        <w:t>Kendinden-denetimli öğrenme (SSL), etiket olmadan öğrenir: aynı hastanın MR’ının iki farklı rastgele-dönüştürülmüş kopyasını (iki “görünüm”) modele verir ve modelin ikisini de aynı vektöre eşlemesini ister. Kullandığımız yöntem SimSiam’dır.</w:t>
      </w:r>
    </w:p>
    <w:p>
      <w:r>
        <w:rPr>
          <w:b w:val="0"/>
          <w:i w:val="0"/>
          <w:color w:val="000000"/>
        </w:rPr>
        <w:t>Bu ailenin bilinen riski “boyutsal çöküş”tür: model, işi kolaya kaçırıp tüm hastaları neredeyse aynı vektöre eşleyebilir. O zaman 256 boyut vardır ama bilgi tek/birkaç boyutta sıkışır — temsil işe yaramaz. Bu yüzden temsilin “kaç boyuta yayıldığını” ölçen etiketsiz metrikler kullanırız.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/>
            <w:r>
              <w:rPr>
                <w:b/>
                <w:color w:val="000000"/>
                <w:sz w:val="20"/>
              </w:rPr>
              <w:t>Metrik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0000"/>
                <w:sz w:val="20"/>
              </w:rPr>
              <w:t>Ne ölçer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00000"/>
                <w:sz w:val="20"/>
              </w:rPr>
              <w:t>İyi yön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000000"/>
                <w:sz w:val="20"/>
              </w:rPr>
              <w:t>Rolü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RankMe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20"/>
              </w:rPr>
              <w:t>Efektif rank — kaç boyut gerçekten kullanılıyor</w:t>
            </w:r>
          </w:p>
        </w:tc>
        <w:tc>
          <w:tcPr>
            <w:tcW w:type="dxa" w:w="1296"/>
          </w:tcPr>
          <w:p>
            <w:r/>
            <w:r>
              <w:rPr>
                <w:color w:val="000000"/>
                <w:sz w:val="20"/>
              </w:rPr>
              <w:t>yüksek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20"/>
              </w:rPr>
              <w:t>Birincil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LiDAR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20"/>
              </w:rPr>
              <w:t>RankMe’nin ardılı; ikinci bir efektif-rank ölçüsü</w:t>
            </w:r>
          </w:p>
        </w:tc>
        <w:tc>
          <w:tcPr>
            <w:tcW w:type="dxa" w:w="1296"/>
          </w:tcPr>
          <w:p>
            <w:r/>
            <w:r>
              <w:rPr>
                <w:color w:val="000000"/>
                <w:sz w:val="20"/>
              </w:rPr>
              <w:t>yüksek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20"/>
              </w:rPr>
              <w:t>Doğrulayıcı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20"/>
              </w:rPr>
              <w:t>Aynı hastanın iki görünümü ne kadar yakın</w:t>
            </w:r>
          </w:p>
        </w:tc>
        <w:tc>
          <w:tcPr>
            <w:tcW w:type="dxa" w:w="1296"/>
          </w:tcPr>
          <w:p>
            <w:r/>
            <w:r>
              <w:rPr>
                <w:color w:val="000000"/>
                <w:sz w:val="20"/>
              </w:rPr>
              <w:t>düşük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20"/>
              </w:rPr>
              <w:t>Yakınsama kapısı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Uniformity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20"/>
              </w:rPr>
              <w:t>Vektörler küre üstüne ne kadar düzgün yayılmış</w:t>
            </w:r>
          </w:p>
        </w:tc>
        <w:tc>
          <w:tcPr>
            <w:tcW w:type="dxa" w:w="1296"/>
          </w:tcPr>
          <w:p>
            <w:r/>
            <w:r>
              <w:rPr>
                <w:color w:val="000000"/>
                <w:sz w:val="20"/>
              </w:rPr>
              <w:t>düşük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20"/>
              </w:rPr>
              <w:t>Çöküş sinyali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z-std / PR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20"/>
              </w:rPr>
              <w:t>Boyut-başı standart sapma / participation ratio</w:t>
            </w:r>
          </w:p>
        </w:tc>
        <w:tc>
          <w:tcPr>
            <w:tcW w:type="dxa" w:w="1296"/>
          </w:tcPr>
          <w:p>
            <w:r/>
            <w:r>
              <w:rPr>
                <w:color w:val="000000"/>
                <w:sz w:val="20"/>
              </w:rPr>
              <w:t>yüksek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20"/>
              </w:rPr>
              <w:t>Çöküş kapısı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val_loss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  <w:sz w:val="20"/>
              </w:rPr>
              <w:t>Doğrulama kaybı (negatif kosinüs benzerliği)</w:t>
            </w:r>
          </w:p>
        </w:tc>
        <w:tc>
          <w:tcPr>
            <w:tcW w:type="dxa" w:w="1296"/>
          </w:tcPr>
          <w:p>
            <w:r/>
            <w:r>
              <w:rPr>
                <w:color w:val="000000"/>
                <w:sz w:val="20"/>
              </w:rPr>
              <w:t>düşük</w:t>
            </w:r>
          </w:p>
        </w:tc>
        <w:tc>
          <w:tcPr>
            <w:tcW w:type="dxa" w:w="1872"/>
          </w:tcPr>
          <w:p>
            <w:r/>
            <w:r>
              <w:rPr>
                <w:color w:val="000000"/>
                <w:sz w:val="20"/>
              </w:rPr>
              <w:t>Yakınsama kapısı</w:t>
            </w:r>
          </w:p>
        </w:tc>
      </w:tr>
    </w:tbl>
    <w:p/>
    <w:p>
      <w:r>
        <w:rPr>
          <w:b w:val="0"/>
          <w:i w:val="0"/>
          <w:color w:val="000000"/>
        </w:rPr>
        <w:t>Neden RankMe birincil? Garrido ve ark. (ICML 2023), RankMe’nin etiketsiz hesaplanmasına rağmen sonraki (etiketli) görevdeki başarıyla güçlü korelasyon verdiğini göstermiştir. Yani “yayılım” bir estetik tercih değil; ileride IDH sınıflayıcısının kullanabileceği bilgi miktarının bir göstergesidir.</w:t>
      </w:r>
    </w:p>
    <w:p>
      <w:pPr>
        <w:pStyle w:val="Heading1"/>
      </w:pPr>
      <w:r>
        <w:t>4. Veri Seti</w:t>
      </w:r>
    </w:p>
    <w:p>
      <w:r>
        <w:rPr>
          <w:b w:val="0"/>
          <w:i w:val="0"/>
          <w:color w:val="000000"/>
        </w:rPr>
        <w:t>Üç kaynağı tek bir düzende birleştirdik. Her kaynak dosyaları farklı isimlendirdiği için, verileri kopyalamadan — sembolik bağlantılarla (symlink) — tek bir kanonik isim şemasına eşleyen bir betik yazdık (scripts/build_unified_dataset.py). Böylece disk maliyeti sıfırdır ve orijinal veri yerinde kalır.</w:t>
      </w:r>
    </w:p>
    <w:p>
      <w:r>
        <w:rPr>
          <w:b w:val="0"/>
          <w:i w:val="0"/>
          <w:color w:val="000000"/>
        </w:rPr>
        <w:t>Önemli karar: BraTS içindeki UCSF/UPENN alt kümeleri yerine, TCIA’dan indirilen daha çok hastalı harici sürümleri kullandık. Yalnızca dört modalitesi de tam olan hastalar alındı.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b/>
                <w:color w:val="000000"/>
                <w:sz w:val="20"/>
              </w:rPr>
              <w:t>Koleksiyon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000000"/>
                <w:sz w:val="20"/>
              </w:rPr>
              <w:t>Hasta sayısı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000000"/>
                <w:sz w:val="20"/>
              </w:rPr>
              <w:t>UPENN-GBM (harici)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20"/>
              </w:rPr>
              <w:t>610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000000"/>
                <w:sz w:val="20"/>
              </w:rPr>
              <w:t>UCSF-PDGM (harici)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20"/>
              </w:rPr>
              <w:t>501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000000"/>
                <w:sz w:val="20"/>
              </w:rPr>
              <w:t>new-not-previously-in-TCIA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20"/>
              </w:rPr>
              <w:t>351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000000"/>
                <w:sz w:val="20"/>
              </w:rPr>
              <w:t>TCGA-GBM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20"/>
              </w:rPr>
              <w:t>102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000000"/>
                <w:sz w:val="20"/>
              </w:rPr>
              <w:t>TCGA-LGG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20"/>
              </w:rPr>
              <w:t>65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000000"/>
                <w:sz w:val="20"/>
              </w:rPr>
              <w:t>CPTAC-GBM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20"/>
              </w:rPr>
              <w:t>33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000000"/>
                <w:sz w:val="20"/>
              </w:rPr>
              <w:t>IvyGAP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20"/>
              </w:rPr>
              <w:t>30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000000"/>
                <w:sz w:val="20"/>
              </w:rPr>
              <w:t>ACRIN-FMISO-Brain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20"/>
              </w:rPr>
              <w:t>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color w:val="000000"/>
                <w:sz w:val="20"/>
              </w:rPr>
              <w:t>TOPLAM</w:t>
            </w:r>
          </w:p>
        </w:tc>
        <w:tc>
          <w:tcPr>
            <w:tcW w:type="dxa" w:w="2016"/>
          </w:tcPr>
          <w:p>
            <w:r/>
            <w:r>
              <w:rPr>
                <w:color w:val="000000"/>
                <w:sz w:val="20"/>
              </w:rPr>
              <w:t>1696</w:t>
            </w:r>
          </w:p>
        </w:tc>
      </w:tr>
    </w:tbl>
    <w:p/>
    <w:p>
      <w:r>
        <w:rPr>
          <w:b w:val="0"/>
          <w:i w:val="0"/>
          <w:color w:val="000000"/>
        </w:rPr>
        <w:t>Üç kaynak da aynı BraTS uzayındadır (240×240×155, 1 mm, kafatası çıkarılmış). Tek fark: harici setler 8-bit, BraTS 16-bit. Bu farkı, zaten kullandığımız kanal-başı z-score normalizasyonu ve augmentasyon eşitler. Veri, hasta düzeyinde train=1526 / doğrulama=170 olarak bölünür (doğrulama yalnızca kayıp/çöküş izler; doğruluk hesaplamaz).</w:t>
      </w:r>
    </w:p>
    <w:p>
      <w:pPr>
        <w:pStyle w:val="Heading1"/>
      </w:pPr>
      <w:r>
        <w:t>5. Model Seçim Algoritması (Çekirdek Katkı)</w:t>
      </w:r>
    </w:p>
    <w:p>
      <w:r>
        <w:rPr>
          <w:b w:val="0"/>
          <w:i w:val="0"/>
          <w:color w:val="000000"/>
        </w:rPr>
        <w:t>Etiket olmadığından, iki kararı da etiketsiz metriklerle veririz:</w:t>
      </w:r>
    </w:p>
    <w:p>
      <w:pPr>
        <w:pStyle w:val="ListBullet"/>
      </w:pPr>
      <w:r>
        <w:rPr>
          <w:b/>
          <w:color w:val="000000"/>
        </w:rPr>
        <w:t xml:space="preserve">D1 — Koşu-içi: </w:t>
      </w:r>
      <w:r>
        <w:rPr>
          <w:color w:val="000000"/>
        </w:rPr>
        <w:t>Bir eğitim koşusu içinde hangi epoch’un ağırlıkları saklanmalı? (best.pth)</w:t>
      </w:r>
    </w:p>
    <w:p>
      <w:pPr>
        <w:pStyle w:val="ListBullet"/>
      </w:pPr>
      <w:r>
        <w:rPr>
          <w:b/>
          <w:color w:val="000000"/>
        </w:rPr>
        <w:t xml:space="preserve">D2 — Koşu-arası: </w:t>
      </w:r>
      <w:r>
        <w:rPr>
          <w:color w:val="000000"/>
        </w:rPr>
        <w:t>Birçok koşu (3 mimari × 3 tohum) arasında hangi mimari kazandı?</w:t>
      </w:r>
    </w:p>
    <w:p>
      <w:pPr>
        <w:pStyle w:val="ListBullet"/>
      </w:pPr>
      <w:r>
        <w:rPr>
          <w:b/>
          <w:color w:val="000000"/>
        </w:rPr>
        <w:t xml:space="preserve">D3 — Gelecek: </w:t>
      </w:r>
      <w:r>
        <w:rPr>
          <w:color w:val="000000"/>
        </w:rPr>
        <w:t>Gelecekte, etiketler gelince linear-probe AUC ile doğrulama.</w:t>
      </w:r>
    </w:p>
    <w:p>
      <w:pPr>
        <w:pStyle w:val="Heading3"/>
      </w:pPr>
      <w:r>
        <w:t>5.1. Koşu-içi seçim (D1): iki kapı</w:t>
      </w:r>
    </w:p>
    <w:p>
      <w:r>
        <w:rPr>
          <w:b w:val="0"/>
          <w:i w:val="0"/>
          <w:color w:val="000000"/>
        </w:rPr>
        <w:t>Her doğrulama epoch’unda önce iki kapıdan geçilir, sonra geçenler arasından RankMe’si en yüksek olan best.pth yapılır. Bu kapılar bir “ödünleşim” değil, sert eleme kurallarıdır:</w:t>
      </w:r>
    </w:p>
    <w:p>
      <w:pPr>
        <w:pStyle w:val="ListNumber"/>
      </w:pPr>
      <w:r>
        <w:rPr>
          <w:b/>
          <w:color w:val="000000"/>
        </w:rPr>
        <w:t xml:space="preserve">Kapı 1 — Yakınsama: </w:t>
      </w:r>
      <w:r>
        <w:rPr>
          <w:color w:val="000000"/>
        </w:rPr>
        <w:t>val_loss yeterince düşük VE alignment yeterince küçük mü? (Model gerçekten öğrendi mi? Bu, rastgele başlangıçtaki sahte-yüksek RankMe’yi eler.)</w:t>
      </w:r>
    </w:p>
    <w:p>
      <w:pPr>
        <w:pStyle w:val="ListNumber"/>
      </w:pPr>
      <w:r>
        <w:rPr>
          <w:b/>
          <w:color w:val="000000"/>
        </w:rPr>
        <w:t xml:space="preserve">Kapı 2 — Çöküş yok: </w:t>
      </w:r>
      <w:r>
        <w:rPr>
          <w:color w:val="000000"/>
        </w:rPr>
        <w:t>z-std / participation ratio eşiğin altına düşmedi mi? Çökmüş bir checkpoint, RankMe’si ne olursa olsun diskalifiye edilir.</w:t>
      </w:r>
    </w:p>
    <w:p>
      <w:pPr>
        <w:pStyle w:val="Heading3"/>
      </w:pPr>
      <w:r>
        <w:t>5.2. Kritik içgörü: karşılaştırmayı NEREDE okuyoruz?</w:t>
      </w:r>
    </w:p>
    <w:p>
      <w:r>
        <w:rPr>
          <w:b w:val="0"/>
          <w:i w:val="0"/>
          <w:color w:val="000000"/>
        </w:rPr>
        <w:t>Çok-tohumlu analizimiz şunu ortaya çıkardı: RankMe, yakınsamada bir zirve yapıp sonra düşer. best.pth kuralı mekanik olarak bu zirveyi (ilk-yakınsayan epoch’u) seçer; fakat zirvenin DEĞERİ oynaktır — dik bir geçiş üzerindedir, epoch ızgarasına ve rastgele tohuma bağlıdır. Örneğin aynı mimaride yakınsama epoch’u tohuma göre kayınca RankMe 8 ile 13 arasında değişebiliyor (tohumlar-arası değişkenlik ~%24). Bu noktada mimariler istatistiksel olarak ayrışmıyor.</w:t>
      </w:r>
    </w:p>
    <w:p>
      <w:r>
        <w:rPr>
          <w:b w:val="0"/>
          <w:i w:val="0"/>
          <w:color w:val="000000"/>
        </w:rPr>
        <w:t>Kararımız: Mimari KARŞILAŞTIRMASININ temeli, eğitimin sonundaki kararlı platodur (last.pth). Erken durdurma zaten RankMe platosuyla tetiklendiği için “final” keyfi değil, ilkeli bir duraktır. Bu noktada tohumlar-arası değişkenlik ~%7–8’e düşer ve DenseNet-121 &gt; ResNet-18 &gt; ResNet-34 sıralaması anlamlı biçimde ayrışır.</w:t>
      </w:r>
    </w:p>
    <w:p>
      <w:r>
        <w:rPr>
          <w:b w:val="0"/>
          <w:i/>
          <w:color w:val="000000"/>
        </w:rPr>
        <w:t>naif (kapısız, zirveden-okuyan) seçimin kararsız olduğu bulgusunu bir ablasyon olarak sunuyoruz. Bu bir zayıflık değil, kapılı + kararlı-nokta yönteminin neden gerekli olduğunun kanıtıdır.</w:t>
      </w:r>
    </w:p>
    <w:p>
      <w:pPr>
        <w:pStyle w:val="Heading3"/>
      </w:pPr>
      <w:r>
        <w:t>5.3. Karar akışı (özet)</w:t>
      </w:r>
    </w:p>
    <w:p>
      <w:r>
        <w:rPr>
          <w:b w:val="0"/>
          <w:i w:val="0"/>
          <w:color w:val="000000"/>
        </w:rPr>
        <w:t>Her epoch  →  Kapı 1 (yakınsama) ve Kapı 2 (çöküş-yok)  →  geçenler havuzu  →  D1: best.pth = havuzda en yüksek korunmuş RankMe.</w:t>
      </w:r>
    </w:p>
    <w:p>
      <w:r>
        <w:rPr>
          <w:b w:val="0"/>
          <w:i w:val="0"/>
          <w:color w:val="000000"/>
        </w:rPr>
        <w:t>Eğitim platoya ulaşır  →  last.pth (kararlı nokta)  →  D2: mimari karşılaştırması burada, tohumlar-arası %95 güven aralığıyla  →  kazanan mimari  →  D3: (gelecek) etiketli doğrulama.</w:t>
      </w:r>
    </w:p>
    <w:p>
      <w:pPr>
        <w:pStyle w:val="Heading1"/>
      </w:pPr>
      <w:r>
        <w:t>6. İstatistiksel Protokol</w:t>
      </w:r>
    </w:p>
    <w:p>
      <w:r>
        <w:rPr>
          <w:b w:val="0"/>
          <w:i w:val="0"/>
          <w:color w:val="000000"/>
        </w:rPr>
        <w:t>Etiket olmadığından bildirinin gücü, metriklerin istatistiksel sağlamlığına dayanır. Bu yüzden her iddiayı güven aralığıyla (GA) veririz.</w:t>
      </w:r>
    </w:p>
    <w:p>
      <w:pPr>
        <w:pStyle w:val="ListBullet"/>
      </w:pPr>
      <w:r>
        <w:rPr>
          <w:b/>
          <w:color w:val="000000"/>
        </w:rPr>
        <w:t xml:space="preserve">Checkpoint-içi GA: </w:t>
      </w:r>
      <w:r>
        <w:rPr>
          <w:color w:val="000000"/>
        </w:rPr>
        <w:t>Tek bir checkpoint’in RankMe’sinin, 170 doğrulama hastasına göre belirsizliği. Yöntem: denek-düzeyinde jackknife (birer birer çıkarma).</w:t>
      </w:r>
    </w:p>
    <w:p>
      <w:pPr>
        <w:pStyle w:val="ListBullet"/>
      </w:pPr>
      <w:r>
        <w:rPr>
          <w:b/>
          <w:color w:val="000000"/>
        </w:rPr>
        <w:t xml:space="preserve">Karşılaştırma GA: </w:t>
      </w:r>
      <w:r>
        <w:rPr>
          <w:color w:val="000000"/>
        </w:rPr>
        <w:t>Mimari sıralamasının belirsizliği. Yöntem: tohumlar-arası GA (3 tohumun ortalaması ± yayılım). Asıl iddiayı taşıyan GA budur.</w:t>
      </w:r>
    </w:p>
    <w:p>
      <w:pPr>
        <w:pStyle w:val="ListBullet"/>
      </w:pPr>
      <w:r>
        <w:rPr>
          <w:b/>
          <w:color w:val="000000"/>
        </w:rPr>
        <w:t xml:space="preserve">Site-düzeyi GA: </w:t>
      </w:r>
      <w:r>
        <w:rPr>
          <w:color w:val="000000"/>
        </w:rPr>
        <w:t>“Yeni bir merkeze genellenir mi?” sorusu için: bir kohortu tümüyle çıkaran blok jackknife (robustness ablasyonu; yalnızca 3 kohort olduğundan geniş GA verir, uyarıyla raporlanır).</w:t>
      </w:r>
    </w:p>
    <w:p>
      <w:r>
        <w:rPr>
          <w:b w:val="0"/>
          <w:i w:val="0"/>
          <w:color w:val="000000"/>
        </w:rPr>
        <w:t>Neden bootstrap değil? Bootstrap yerine-koyarak örnekler; tekrarlı satırlar kovaryans matrisini yapay olarak rank-eksik yapar ve RankMe’yi sistematik olarak aşağı saptırır. Bunu bizzat gördük: bootstrap GA’sı nokta-tahmini bile içermiyordu. jackknife satır tekrarı yapmaz, bu yüzden rank istatistikleri için doğru araçtır.</w:t>
      </w:r>
    </w:p>
    <w:p>
      <w:pPr>
        <w:pStyle w:val="Heading1"/>
      </w:pPr>
      <w:r>
        <w:t>7. Yol Planı (Roadmap)</w:t>
      </w:r>
    </w:p>
    <w:p>
      <w:r>
        <w:rPr>
          <w:b w:val="0"/>
          <w:i w:val="0"/>
          <w:color w:val="000000"/>
        </w:rPr>
        <w:t>Format: tam konferans makalesi. Aşağıdaki tablo, işlerin önceliğini ve güncel durumunu gösterir. “Kritik yol”, bildiri için olmazsa-olmaz omurgadır; sırayla ilerler.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/>
            <w:r>
              <w:rPr>
                <w:b/>
                <w:color w:val="000000"/>
                <w:sz w:val="20"/>
              </w:rPr>
              <w:t>Aşama</w:t>
            </w:r>
          </w:p>
        </w:tc>
        <w:tc>
          <w:tcPr>
            <w:tcW w:type="dxa" w:w="4896"/>
          </w:tcPr>
          <w:p>
            <w:r/>
            <w:r>
              <w:rPr>
                <w:b/>
                <w:color w:val="000000"/>
                <w:sz w:val="20"/>
              </w:rPr>
              <w:t>İş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000000"/>
                <w:sz w:val="20"/>
              </w:rPr>
              <w:t>Öncelik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0000"/>
                <w:sz w:val="20"/>
              </w:rPr>
              <w:t>Durum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color w:val="000000"/>
                <w:sz w:val="20"/>
              </w:rPr>
              <w:t>A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20"/>
              </w:rPr>
              <w:t>9 birleşik koşu (3 mimari × 3 tohum) tamamlanması</w:t>
            </w:r>
          </w:p>
        </w:tc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Kritik yol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Sürüyor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color w:val="000000"/>
                <w:sz w:val="20"/>
              </w:rPr>
              <w:t>B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20"/>
              </w:rPr>
              <w:t>Final-plato leaderboard + tohum-arası GA (GPU)</w:t>
            </w:r>
          </w:p>
        </w:tc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Kritik yol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Bekliyor (A’ya bağlı)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20"/>
              </w:rPr>
              <w:t>Fig 1 — RankMe yörünge grafiği (İngilizce, 600 dpi)</w:t>
            </w:r>
          </w:p>
        </w:tc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Kritik yol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Taslak var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color w:val="000000"/>
                <w:sz w:val="20"/>
              </w:rPr>
              <w:t>D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20"/>
              </w:rPr>
              <w:t>Fig 2 — mimari karşılaştırma çubuğu + GA</w:t>
            </w:r>
          </w:p>
        </w:tc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Kritik yol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Kod hazır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color w:val="000000"/>
                <w:sz w:val="20"/>
              </w:rPr>
              <w:t>E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20"/>
              </w:rPr>
              <w:t>Fig 3 — instabilite ablasyonu (zirve ↔ plato)</w:t>
            </w:r>
          </w:p>
        </w:tc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Zorunlu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Bekliyor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color w:val="000000"/>
                <w:sz w:val="20"/>
              </w:rPr>
              <w:t>F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20"/>
              </w:rPr>
              <w:t>LiDAR doğrulayıcı metrik (final checkpoint)</w:t>
            </w:r>
          </w:p>
        </w:tc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Zorunlu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Yazılacak</w:t>
            </w:r>
          </w:p>
        </w:tc>
      </w:tr>
      <w:tr>
        <w:tc>
          <w:tcPr>
            <w:tcW w:type="dxa" w:w="1008"/>
          </w:tcPr>
          <w:p>
            <w:r/>
            <w:r>
              <w:rPr>
                <w:color w:val="000000"/>
                <w:sz w:val="20"/>
              </w:rPr>
              <w:t>G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20"/>
              </w:rPr>
              <w:t>Site-düzeyi blok jackknife robustness</w:t>
            </w:r>
          </w:p>
        </w:tc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Zorunlu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Yazılacak</w:t>
            </w:r>
          </w:p>
        </w:tc>
      </w:tr>
      <w:tr>
        <w:tc>
          <w:tcPr>
            <w:tcW w:type="dxa" w:w="1008"/>
          </w:tcPr>
          <w:p>
            <w:r/>
            <w:r>
              <w:rPr>
                <w:color w:val="000000"/>
                <w:sz w:val="20"/>
              </w:rPr>
              <w:t>H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20"/>
              </w:rPr>
              <w:t>Yazım: Yöntem/İlgili Çalışmalar + prose senkron</w:t>
            </w:r>
          </w:p>
        </w:tc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Yüksek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Taslaklar var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color w:val="000000"/>
                <w:sz w:val="20"/>
              </w:rPr>
              <w:t>I</w:t>
            </w:r>
          </w:p>
        </w:tc>
        <w:tc>
          <w:tcPr>
            <w:tcW w:type="dxa" w:w="4896"/>
          </w:tcPr>
          <w:p>
            <w:r/>
            <w:r>
              <w:rPr>
                <w:color w:val="000000"/>
                <w:sz w:val="20"/>
              </w:rPr>
              <w:t>Kalite ablasyonları (VICReg / W-MSE / büyük başlık)</w:t>
            </w:r>
          </w:p>
        </w:tc>
        <w:tc>
          <w:tcPr>
            <w:tcW w:type="dxa" w:w="1584"/>
          </w:tcPr>
          <w:p>
            <w:r/>
            <w:r>
              <w:rPr>
                <w:color w:val="000000"/>
                <w:sz w:val="20"/>
              </w:rPr>
              <w:t>İkincil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Altyapı hazır</w:t>
            </w:r>
          </w:p>
        </w:tc>
      </w:tr>
    </w:tbl>
    <w:p/>
    <w:p>
      <w:r>
        <w:rPr>
          <w:b w:val="0"/>
          <w:i/>
          <w:color w:val="000000"/>
        </w:rPr>
        <w:t>Ön sonuç (önceki çok-tohumlu analizden, yeni 1696-hastalık kohortta teyit edilecek): DenseNet-121 &gt; ResNet-18 &gt; ResNet-34. En çok parametreye sahip ResNet-34 en kötü; tek-tohumlu ilk sonucun neden yanıltıcı olduğunu bu çok-tohumlu düzeltme gösterdi.</w:t>
      </w:r>
    </w:p>
    <w:p>
      <w:pPr>
        <w:pStyle w:val="Heading1"/>
      </w:pPr>
      <w:r>
        <w:t>8. Kapsam Dışı ve Gelecek İş (D3)</w:t>
      </w:r>
    </w:p>
    <w:p>
      <w:r>
        <w:rPr>
          <w:b w:val="0"/>
          <w:i w:val="0"/>
          <w:color w:val="000000"/>
        </w:rPr>
        <w:t>Bu bildiride etiketli değerlendirme yoktur. IDH sınıflandırma (D3) için not:</w:t>
      </w:r>
    </w:p>
    <w:p>
      <w:pPr>
        <w:pStyle w:val="ListBullet"/>
      </w:pPr>
      <w:r>
        <w:rPr>
          <w:color w:val="000000"/>
        </w:rPr>
        <w:t>Bu Stage-1 bildirisinde sızıntı yoktur; SSL etiketsizdir ve etiketsiz görüntüleri ön-eğitimde kullanmak (transdüktif SSL) standarttır.</w:t>
      </w:r>
    </w:p>
    <w:p>
      <w:pPr>
        <w:pStyle w:val="ListBullet"/>
      </w:pPr>
      <w:r>
        <w:rPr>
          <w:color w:val="000000"/>
        </w:rPr>
        <w:t>D3’te katı dış-doğrulama için, dış test kohortunu (örn. UCSF) ön-eğitimden tümüyle çıkaran ayrı bir “katı” kodlayıcı koşusu planlanacaktır; havuzlanmış sonuç da ayrıca raporlanır.</w:t>
      </w:r>
    </w:p>
    <w:p>
      <w:pPr>
        <w:pStyle w:val="ListBullet"/>
      </w:pPr>
      <w:r>
        <w:rPr>
          <w:color w:val="000000"/>
        </w:rPr>
        <w:t>Her downstream bölme hasta düzeyinde yapılır (aynı hasta hem train hem test’te olamaz).</w:t>
      </w:r>
    </w:p>
    <w:p>
      <w:pPr>
        <w:pStyle w:val="Heading1"/>
      </w:pPr>
      <w:r>
        <w:t>9. Kısa Sözlük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color w:val="000000"/>
                <w:sz w:val="20"/>
              </w:rPr>
              <w:t>Terim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000000"/>
                <w:sz w:val="20"/>
              </w:rPr>
              <w:t>Anlamı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SSL (kendinden-denetimli öğrenme)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Etiket olmadan, verinin kendi yapısından öğrenme.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SimSiam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Kullandığımız SSL yöntemi; iki görünümü aynı vektöre eşler.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Encoder (kodlayıcı)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Görüntüyü 256-boyutlu vektöre çeviren ağ gövdesi.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Backbone (omurga)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Encoder’ın mimarisi (ResNet-18/34, DenseNet-121).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Boyutsal çöküş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Temsilin birkaç boyuta sıkışıp bilgi kaybetmesi.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RankMe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Kaç boyutun gerçekten bilgi taşıdığını ölçen etiketsiz metrik.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Epoch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Tüm eğitim verisinin bir kez geçirildiği tur.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Seed (tohum)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Rastgeleliği belirleyen sayı; tekrarlanabilirlik için 3 tohum kullanırız.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Güven aralığı (GA)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Bir ölçümün belirsizlik bandı.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000000"/>
                <w:sz w:val="20"/>
              </w:rPr>
              <w:t>best.pth / last.pth</w:t>
            </w:r>
          </w:p>
        </w:tc>
        <w:tc>
          <w:tcPr>
            <w:tcW w:type="dxa" w:w="6048"/>
          </w:tcPr>
          <w:p>
            <w:r/>
            <w:r>
              <w:rPr>
                <w:color w:val="000000"/>
                <w:sz w:val="20"/>
              </w:rPr>
              <w:t>Sırasıyla koşu-içi seçilen ve eğitim sonundaki (plato) checkpoint.</w:t>
            </w:r>
          </w:p>
        </w:tc>
      </w:tr>
    </w:tbl>
    <w:p/>
    <w:p>
      <w:pPr>
        <w:pStyle w:val="Heading2"/>
      </w:pPr>
      <w:r>
        <w:t>Ek: Hızlı Başlangıç (yeni başlayan için komutlar)</w:t>
      </w:r>
    </w:p>
    <w:p>
      <w:r>
        <w:rPr>
          <w:b w:val="0"/>
          <w:i w:val="0"/>
          <w:color w:val="000000"/>
        </w:rPr>
        <w:t>Depoyu kök dizinden çalıştırın. En yakın “test” bütünleşme betiğidir:</w:t>
      </w:r>
    </w:p>
    <w:p>
      <w:r>
        <w:rPr>
          <w:b w:val="0"/>
          <w:i w:val="0"/>
          <w:color w:val="000000"/>
          <w:sz w:val="20"/>
        </w:rPr>
        <w:t>bash scripts/smoke_test.sh   (CPU’da uçtan uca duman testi, ~2-3 dk)</w:t>
      </w:r>
    </w:p>
    <w:p>
      <w:r>
        <w:rPr>
          <w:b w:val="0"/>
          <w:i w:val="0"/>
          <w:color w:val="000000"/>
          <w:sz w:val="20"/>
        </w:rPr>
        <w:t>python -m braintumor_ssl.train_simsiam --config configs/simsiam_densenet121_unified.yaml   (GPU’da ön-eğitim)</w:t>
      </w:r>
    </w:p>
    <w:p>
      <w:r>
        <w:rPr>
          <w:b w:val="0"/>
          <w:i w:val="0"/>
          <w:color w:val="000000"/>
          <w:sz w:val="20"/>
        </w:rPr>
        <w:t>python -m braintumor_ssl.extract_features --checkpoint .../last.pth ...   (256-boyutlu öznitelik çıkarımı)</w:t>
      </w:r>
    </w:p>
    <w:p>
      <w:r>
        <w:rPr>
          <w:b w:val="0"/>
          <w:i w:val="0"/>
          <w:color w:val="000000"/>
          <w:sz w:val="20"/>
        </w:rPr>
        <w:t>python -m braintumor_ssl.evaluate --checkpoints ...   (etiketsiz metrik leaderboard + t-SNE + spektrum)</w:t>
      </w:r>
    </w:p>
    <w:p>
      <w:r>
        <w:rPr>
          <w:b w:val="0"/>
          <w:i w:val="0"/>
          <w:color w:val="000000"/>
        </w:rPr>
        <w:t>Ayrıntı: depo kökündeki CLAUDE.md (mimari, komutlar) ve braintumor_ssl/MODEL_SELECTION.md (seçim algoritması) dosyaları.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