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t>修订：2026-08-21（V2.3.6）— ① 首页结构调整：删除「今日推荐」区块（index.html 的 today-pick 区块及 style.css 对应样式一并移除）；② 首页新增「友情链接」区块——纯文字链接，位于首页内容区最底部（页脚之前），zhichangxuan.com 与 zeru.live 共用同一实现（同一 Flask 应用），备案信息按域名自适应（不变）；③ 友情链接具体站点清单由负责人确认后补充，先写入本文档再改代码；④ 首批友情链接（2026-08-21 负责人确认）：中國哲學書電子化計劃 https://ctext.org/、国家中小学智慧教育平台 https://basic.smartedu.cn/，两域名共用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互动模块条（资源中心/家长学堂入口，白底卡片，与主模块卡片主体色一致） → 友情链接（纯文字链接，V2.3.6 新增，替代原「今日推荐」）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资源中心页按模块分类渲染：资源须标注所属模块（resource_link.module_id）与栏目（resource_link.column_name，按模块栏目模板分类存储），页面按模块分组展示，模块内按栏目与 ABC 分级浏览；严禁全部资源平铺堆叠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