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jc w:val="center"/>
      </w:pPr>
      <w:r>
        <w:rPr>
          <w:b/>
          <w:color w:val="1F4E79"/>
          <w:sz w:val="52"/>
        </w:rPr>
        <w:t>Functional Requirements Document</w:t>
      </w:r>
    </w:p>
    <w:p>
      <w:pPr>
        <w:jc w:val="center"/>
      </w:pPr>
      <w:r>
        <w:rPr>
          <w:b/>
          <w:color w:val="1F4E79"/>
          <w:sz w:val="40"/>
        </w:rPr>
        <w:t>LNJ Audit Bot</w:t>
      </w:r>
    </w:p>
    <w:p>
      <w:pPr>
        <w:jc w:val="center"/>
      </w:pPr>
      <w:r>
        <w:rPr>
          <w:color w:val="444444"/>
          <w:sz w:val="26"/>
        </w:rPr>
        <w:t>LiveNjoy Residential  ·  ResMan Audit Automation</w:t>
      </w:r>
    </w:p>
    <w:p>
      <w:pPr>
        <w:spacing w:after="0"/>
      </w:pPr>
    </w:p>
    <w:p>
      <w:pPr>
        <w:spacing w:after="0"/>
      </w:pPr>
    </w:p>
    <w:p>
      <w:pPr>
        <w:spacing w:after="0"/>
      </w:pPr>
    </w:p>
    <w:tbl>
      <w:tblPr>
        <w:tblStyle w:val="TableGrid"/>
        <w:tblW w:type="auto" w:w="0"/>
        <w:tblLook w:firstColumn="1" w:firstRow="1" w:lastColumn="0" w:lastRow="0" w:noHBand="0" w:noVBand="1" w:val="04A0"/>
      </w:tblPr>
      <w:tblGrid>
        <w:gridCol w:w="4500"/>
        <w:gridCol w:w="4500"/>
      </w:tblGrid>
      <w:tr>
        <w:tc>
          <w:tcPr>
            <w:tcW w:type="dxa" w:w="1872"/>
            <w:shd w:val="clear" w:color="auto" w:fill="2E74B5"/>
          </w:tcPr>
          <w:p>
            <w:pPr>
              <w:jc w:val="center"/>
            </w:pPr>
            <w:r/>
            <w:r>
              <w:rPr>
                <w:b/>
                <w:color w:val="FFFFFF"/>
                <w:sz w:val="20"/>
              </w:rPr>
              <w:t>Version</w:t>
            </w:r>
          </w:p>
        </w:tc>
        <w:tc>
          <w:tcPr>
            <w:tcW w:type="dxa" w:w="6768"/>
          </w:tcPr>
          <w:p>
            <w:r/>
            <w:r>
              <w:rPr>
                <w:sz w:val="20"/>
              </w:rPr>
              <w:t>2.0</w:t>
            </w:r>
          </w:p>
        </w:tc>
      </w:tr>
      <w:tr>
        <w:tc>
          <w:tcPr>
            <w:tcW w:type="dxa" w:w="1872"/>
            <w:shd w:val="clear" w:color="auto" w:fill="2E74B5"/>
          </w:tcPr>
          <w:p>
            <w:pPr>
              <w:jc w:val="center"/>
            </w:pPr>
            <w:r/>
            <w:r>
              <w:rPr>
                <w:b/>
                <w:color w:val="FFFFFF"/>
                <w:sz w:val="20"/>
              </w:rPr>
              <w:t>Status</w:t>
            </w:r>
          </w:p>
        </w:tc>
        <w:tc>
          <w:tcPr>
            <w:tcW w:type="dxa" w:w="6768"/>
          </w:tcPr>
          <w:p>
            <w:r/>
            <w:r>
              <w:rPr>
                <w:sz w:val="20"/>
              </w:rPr>
              <w:t>Final</w:t>
            </w:r>
          </w:p>
        </w:tc>
      </w:tr>
      <w:tr>
        <w:tc>
          <w:tcPr>
            <w:tcW w:type="dxa" w:w="1872"/>
            <w:shd w:val="clear" w:color="auto" w:fill="2E74B5"/>
          </w:tcPr>
          <w:p>
            <w:pPr>
              <w:jc w:val="center"/>
            </w:pPr>
            <w:r/>
            <w:r>
              <w:rPr>
                <w:b/>
                <w:color w:val="FFFFFF"/>
                <w:sz w:val="20"/>
              </w:rPr>
              <w:t>Authors</w:t>
            </w:r>
          </w:p>
        </w:tc>
        <w:tc>
          <w:tcPr>
            <w:tcW w:type="dxa" w:w="6768"/>
          </w:tcPr>
          <w:p>
            <w:r/>
            <w:r>
              <w:rPr>
                <w:sz w:val="20"/>
              </w:rPr>
              <w:t>John B. (Concession Rules)   |   Daniel Twito (Revenue Integrity Rules)</w:t>
            </w:r>
          </w:p>
        </w:tc>
      </w:tr>
      <w:tr>
        <w:tc>
          <w:tcPr>
            <w:tcW w:type="dxa" w:w="1872"/>
            <w:shd w:val="clear" w:color="auto" w:fill="2E74B5"/>
          </w:tcPr>
          <w:p>
            <w:pPr>
              <w:jc w:val="center"/>
            </w:pPr>
            <w:r/>
            <w:r>
              <w:rPr>
                <w:b/>
                <w:color w:val="FFFFFF"/>
                <w:sz w:val="20"/>
              </w:rPr>
              <w:t>Company</w:t>
            </w:r>
          </w:p>
        </w:tc>
        <w:tc>
          <w:tcPr>
            <w:tcW w:type="dxa" w:w="6768"/>
          </w:tcPr>
          <w:p>
            <w:r/>
            <w:r>
              <w:rPr>
                <w:sz w:val="20"/>
              </w:rPr>
              <w:t>LiveNjoy Residential</w:t>
            </w:r>
          </w:p>
        </w:tc>
      </w:tr>
      <w:tr>
        <w:tc>
          <w:tcPr>
            <w:tcW w:type="dxa" w:w="1872"/>
            <w:shd w:val="clear" w:color="auto" w:fill="2E74B5"/>
          </w:tcPr>
          <w:p>
            <w:pPr>
              <w:jc w:val="center"/>
            </w:pPr>
            <w:r/>
            <w:r>
              <w:rPr>
                <w:b/>
                <w:color w:val="FFFFFF"/>
                <w:sz w:val="20"/>
              </w:rPr>
              <w:t>Platform</w:t>
            </w:r>
          </w:p>
        </w:tc>
        <w:tc>
          <w:tcPr>
            <w:tcW w:type="dxa" w:w="6768"/>
          </w:tcPr>
          <w:p>
            <w:r/>
            <w:r>
              <w:rPr>
                <w:sz w:val="20"/>
              </w:rPr>
              <w:t>ResMan Property Management</w:t>
            </w:r>
          </w:p>
        </w:tc>
      </w:tr>
    </w:tbl>
    <w:p>
      <w:r>
        <w:br w:type="page"/>
      </w:r>
    </w:p>
    <w:p>
      <w:pPr>
        <w:pStyle w:val="Heading1"/>
      </w:pPr>
      <w:r>
        <w:rPr>
          <w:color w:val="1F4E79"/>
        </w:rPr>
        <w:t>1. Purpose</w:t>
      </w:r>
    </w:p>
    <w:p>
      <w:pPr>
        <w:spacing w:after="80" w:before="40"/>
      </w:pPr>
      <w:r>
        <w:rPr>
          <w:sz w:val="20"/>
        </w:rPr>
        <w:t>The LNJ Audit Bot is a Python/Streamlit system that automates the monthly financial audit of all seven LiveNjoy Residential properties managed through ResMan. Prior to this system, property accountants and regional managers had to manually cross-reference six to seven different CSV exports per property to detect concession fraud, improper postings, and fee schedule violations — a process involving upward of 49 files and thousands of rows each month.</w:t>
      </w:r>
    </w:p>
    <w:p>
      <w:pPr>
        <w:spacing w:after="80" w:before="40"/>
      </w:pPr>
      <w:r>
        <w:rPr>
          <w:sz w:val="20"/>
        </w:rPr>
        <w:t>The bot solves that problem by ingesting all ResMan CSV exports at once, running three audit engines in sequence, and producing a consolidated exception report with severity-rated flags and a calculated financial exposure figure. It also generates a timestamped Excel workbook and an interactive Streamlit dashboard, giving both field staff and leadership a single source of truth for every audit finding in the portfolio.</w:t>
      </w:r>
    </w:p>
    <w:p>
      <w:pPr>
        <w:spacing w:after="80" w:before="40"/>
      </w:pPr>
      <w:r>
        <w:rPr>
          <w:sz w:val="20"/>
        </w:rPr>
        <w:t>Specifically, the system:</w:t>
      </w:r>
    </w:p>
    <w:p>
      <w:pPr>
        <w:pStyle w:val="ListBullet"/>
      </w:pPr>
      <w:r>
        <w:rPr>
          <w:sz w:val="20"/>
        </w:rPr>
        <w:t>Identifies concession postings that are unauthorized, past lease term, or mismatched with the signed lease document.</w:t>
      </w:r>
    </w:p>
    <w:p>
      <w:pPr>
        <w:pStyle w:val="ListBullet"/>
      </w:pPr>
      <w:r>
        <w:rPr>
          <w:sz w:val="20"/>
        </w:rPr>
        <w:t>Validates that recurring charges in the Transaction Projection match the property's published fee schedule and appear consistently across all occupied units.</w:t>
      </w:r>
    </w:p>
    <w:p>
      <w:pPr>
        <w:pStyle w:val="ListBullet"/>
      </w:pPr>
      <w:r>
        <w:rPr>
          <w:sz w:val="20"/>
        </w:rPr>
        <w:t>Detects net effective rents that fall below property-specific NER floors (either hardcoded or dynamically derived from the Market Rent Schedule minus an approved discount).</w:t>
      </w:r>
    </w:p>
    <w:p>
      <w:pPr>
        <w:pStyle w:val="ListBullet"/>
      </w:pPr>
      <w:r>
        <w:rPr>
          <w:sz w:val="20"/>
        </w:rPr>
        <w:t>Flags manager-level transaction reversals and amount edits so that override abuse can be ranked and reviewed.</w:t>
      </w:r>
    </w:p>
    <w:p>
      <w:pPr>
        <w:pStyle w:val="ListBullet"/>
      </w:pPr>
      <w:r>
        <w:rPr>
          <w:sz w:val="20"/>
        </w:rPr>
        <w:t>Quantifies total financial exposure — deduped across engines — so leadership can prioritize remediation by dollar impact.</w:t>
      </w:r>
    </w:p>
    <w:p>
      <w:pPr>
        <w:pStyle w:val="Heading1"/>
        <w:pageBreakBefore w:val="1"/>
      </w:pPr>
      <w:r>
        <w:rPr>
          <w:color w:val="1F4E79"/>
        </w:rPr>
        <w:t>2. Scope</w:t>
      </w:r>
    </w:p>
    <w:p>
      <w:pPr>
        <w:pStyle w:val="Heading2"/>
      </w:pPr>
      <w:r>
        <w:rPr>
          <w:color w:val="2E74B5"/>
        </w:rPr>
        <w:t>2.1 In Scope</w:t>
      </w:r>
    </w:p>
    <w:p>
      <w:pPr>
        <w:spacing w:after="80" w:before="40"/>
      </w:pPr>
      <w:r>
        <w:rPr>
          <w:sz w:val="20"/>
        </w:rPr>
        <w:t xml:space="preserve">The following capabilities are fully implemented in </w:t>
      </w:r>
      <w:r>
        <w:rPr>
          <w:rFonts w:ascii="Courier New" w:hAnsi="Courier New"/>
          <w:sz w:val="18"/>
        </w:rPr>
        <w:t>audit_bot.py</w:t>
      </w:r>
      <w:r>
        <w:rPr>
          <w:sz w:val="20"/>
        </w:rPr>
        <w:t xml:space="preserve"> and surfaced through the </w:t>
      </w:r>
      <w:r>
        <w:rPr>
          <w:rFonts w:ascii="Courier New" w:hAnsi="Courier New"/>
          <w:sz w:val="18"/>
        </w:rPr>
        <w:t>app.py</w:t>
      </w:r>
      <w:r>
        <w:rPr>
          <w:sz w:val="20"/>
        </w:rPr>
        <w:t xml:space="preserve"> Streamlit dashboard.</w:t>
      </w:r>
    </w:p>
    <w:p>
      <w:pPr>
        <w:spacing w:after="80" w:before="40"/>
      </w:pPr>
      <w:r>
        <w:rPr>
          <w:b/>
          <w:sz w:val="20"/>
        </w:rPr>
        <w:t>Data Ingestion</w:t>
      </w:r>
    </w:p>
    <w:tbl>
      <w:tblPr>
        <w:tblStyle w:val="TableGrid"/>
        <w:tblW w:type="auto" w:w="0"/>
        <w:tblLook w:firstColumn="1" w:firstRow="1" w:lastColumn="0" w:lastRow="0" w:noHBand="0" w:noVBand="1" w:val="04A0"/>
      </w:tblPr>
      <w:tblGrid>
        <w:gridCol w:w="3000"/>
        <w:gridCol w:w="3000"/>
        <w:gridCol w:w="3000"/>
      </w:tblGrid>
      <w:tr>
        <w:tc>
          <w:tcPr>
            <w:tcW w:type="dxa" w:w="2736"/>
            <w:shd w:val="clear" w:color="auto" w:fill="1F4E79"/>
          </w:tcPr>
          <w:p>
            <w:pPr>
              <w:spacing w:before="60" w:after="60"/>
              <w:jc w:val="center"/>
            </w:pPr>
            <w:r/>
            <w:r>
              <w:rPr>
                <w:b/>
                <w:color w:val="FFFFFF"/>
                <w:sz w:val="18"/>
              </w:rPr>
              <w:t>Data Source</w:t>
            </w:r>
          </w:p>
        </w:tc>
        <w:tc>
          <w:tcPr>
            <w:tcW w:type="dxa" w:w="3312"/>
            <w:shd w:val="clear" w:color="auto" w:fill="1F4E79"/>
          </w:tcPr>
          <w:p>
            <w:pPr>
              <w:spacing w:before="60" w:after="60"/>
              <w:jc w:val="center"/>
            </w:pPr>
            <w:r/>
            <w:r>
              <w:rPr>
                <w:b/>
                <w:color w:val="FFFFFF"/>
                <w:sz w:val="18"/>
              </w:rPr>
              <w:t>ResMan Report Name</w:t>
            </w:r>
          </w:p>
        </w:tc>
        <w:tc>
          <w:tcPr>
            <w:tcW w:type="dxa" w:w="2952"/>
            <w:shd w:val="clear" w:color="auto" w:fill="1F4E79"/>
          </w:tcPr>
          <w:p>
            <w:pPr>
              <w:spacing w:before="60" w:after="60"/>
              <w:jc w:val="center"/>
            </w:pPr>
            <w:r/>
            <w:r>
              <w:rPr>
                <w:b/>
                <w:color w:val="FFFFFF"/>
                <w:sz w:val="18"/>
              </w:rPr>
              <w:t>data/ Folder</w:t>
            </w:r>
          </w:p>
        </w:tc>
      </w:tr>
      <w:tr>
        <w:tc>
          <w:tcPr>
            <w:tcW w:type="dxa" w:w="2736"/>
          </w:tcPr>
          <w:p>
            <w:pPr>
              <w:spacing w:before="40" w:after="40"/>
            </w:pPr>
            <w:r/>
            <w:r>
              <w:rPr>
                <w:sz w:val="17"/>
              </w:rPr>
              <w:t>Transaction List (Credits)</w:t>
            </w:r>
          </w:p>
        </w:tc>
        <w:tc>
          <w:tcPr>
            <w:tcW w:type="dxa" w:w="3312"/>
          </w:tcPr>
          <w:p>
            <w:pPr>
              <w:spacing w:before="40" w:after="40"/>
            </w:pPr>
            <w:r/>
            <w:r>
              <w:rPr>
                <w:sz w:val="17"/>
              </w:rPr>
              <w:t>Transaction List Reports</w:t>
            </w:r>
          </w:p>
        </w:tc>
        <w:tc>
          <w:tcPr>
            <w:tcW w:type="dxa" w:w="2952"/>
          </w:tcPr>
          <w:p>
            <w:pPr>
              <w:spacing w:before="40" w:after="40"/>
            </w:pPr>
            <w:r/>
            <w:r>
              <w:rPr>
                <w:rFonts w:ascii="Courier New" w:hAnsi="Courier New"/>
                <w:sz w:val="16"/>
              </w:rPr>
              <w:t>data/transactions/</w:t>
            </w:r>
          </w:p>
        </w:tc>
      </w:tr>
      <w:tr>
        <w:tc>
          <w:tcPr>
            <w:tcW w:type="dxa" w:w="2736"/>
            <w:shd w:val="clear" w:color="auto" w:fill="D6E4F0"/>
          </w:tcPr>
          <w:p>
            <w:pPr>
              <w:spacing w:before="40" w:after="40"/>
            </w:pPr>
            <w:r/>
            <w:r>
              <w:rPr>
                <w:sz w:val="17"/>
              </w:rPr>
              <w:t>New &amp; Renewed Leases</w:t>
            </w:r>
          </w:p>
        </w:tc>
        <w:tc>
          <w:tcPr>
            <w:tcW w:type="dxa" w:w="3312"/>
            <w:shd w:val="clear" w:color="auto" w:fill="D6E4F0"/>
          </w:tcPr>
          <w:p>
            <w:pPr>
              <w:spacing w:before="40" w:after="40"/>
            </w:pPr>
            <w:r/>
            <w:r>
              <w:rPr>
                <w:sz w:val="17"/>
              </w:rPr>
              <w:t>New and Renewed Leases</w:t>
            </w:r>
          </w:p>
        </w:tc>
        <w:tc>
          <w:tcPr>
            <w:tcW w:type="dxa" w:w="2952"/>
            <w:shd w:val="clear" w:color="auto" w:fill="D6E4F0"/>
          </w:tcPr>
          <w:p>
            <w:pPr>
              <w:spacing w:before="40" w:after="40"/>
            </w:pPr>
            <w:r/>
            <w:r>
              <w:rPr>
                <w:rFonts w:ascii="Courier New" w:hAnsi="Courier New"/>
                <w:sz w:val="16"/>
              </w:rPr>
              <w:t>data/leases/</w:t>
            </w:r>
          </w:p>
        </w:tc>
      </w:tr>
      <w:tr>
        <w:tc>
          <w:tcPr>
            <w:tcW w:type="dxa" w:w="2736"/>
          </w:tcPr>
          <w:p>
            <w:pPr>
              <w:spacing w:before="40" w:after="40"/>
            </w:pPr>
            <w:r/>
            <w:r>
              <w:rPr>
                <w:sz w:val="17"/>
              </w:rPr>
              <w:t>Edited Transactions by User</w:t>
            </w:r>
          </w:p>
        </w:tc>
        <w:tc>
          <w:tcPr>
            <w:tcW w:type="dxa" w:w="3312"/>
          </w:tcPr>
          <w:p>
            <w:pPr>
              <w:spacing w:before="40" w:after="40"/>
            </w:pPr>
            <w:r/>
            <w:r>
              <w:rPr>
                <w:sz w:val="17"/>
              </w:rPr>
              <w:t>Edited Transactions by User</w:t>
            </w:r>
          </w:p>
        </w:tc>
        <w:tc>
          <w:tcPr>
            <w:tcW w:type="dxa" w:w="2952"/>
          </w:tcPr>
          <w:p>
            <w:pPr>
              <w:spacing w:before="40" w:after="40"/>
            </w:pPr>
            <w:r/>
            <w:r>
              <w:rPr>
                <w:rFonts w:ascii="Courier New" w:hAnsi="Courier New"/>
                <w:sz w:val="16"/>
              </w:rPr>
              <w:t>data/edits/</w:t>
            </w:r>
          </w:p>
        </w:tc>
      </w:tr>
      <w:tr>
        <w:tc>
          <w:tcPr>
            <w:tcW w:type="dxa" w:w="2736"/>
            <w:shd w:val="clear" w:color="auto" w:fill="D6E4F0"/>
          </w:tcPr>
          <w:p>
            <w:pPr>
              <w:spacing w:before="40" w:after="40"/>
            </w:pPr>
            <w:r/>
            <w:r>
              <w:rPr>
                <w:sz w:val="17"/>
              </w:rPr>
              <w:t>Recurring Projection</w:t>
            </w:r>
          </w:p>
        </w:tc>
        <w:tc>
          <w:tcPr>
            <w:tcW w:type="dxa" w:w="3312"/>
            <w:shd w:val="clear" w:color="auto" w:fill="D6E4F0"/>
          </w:tcPr>
          <w:p>
            <w:pPr>
              <w:spacing w:before="40" w:after="40"/>
            </w:pPr>
            <w:r/>
            <w:r>
              <w:rPr>
                <w:sz w:val="17"/>
              </w:rPr>
              <w:t>Transaction Projections</w:t>
            </w:r>
          </w:p>
        </w:tc>
        <w:tc>
          <w:tcPr>
            <w:tcW w:type="dxa" w:w="2952"/>
            <w:shd w:val="clear" w:color="auto" w:fill="D6E4F0"/>
          </w:tcPr>
          <w:p>
            <w:pPr>
              <w:spacing w:before="40" w:after="40"/>
            </w:pPr>
            <w:r/>
            <w:r>
              <w:rPr>
                <w:rFonts w:ascii="Courier New" w:hAnsi="Courier New"/>
                <w:sz w:val="16"/>
              </w:rPr>
              <w:t>data/recurring/</w:t>
            </w:r>
          </w:p>
        </w:tc>
      </w:tr>
      <w:tr>
        <w:tc>
          <w:tcPr>
            <w:tcW w:type="dxa" w:w="2736"/>
          </w:tcPr>
          <w:p>
            <w:pPr>
              <w:spacing w:before="40" w:after="40"/>
            </w:pPr>
            <w:r/>
            <w:r>
              <w:rPr>
                <w:sz w:val="17"/>
              </w:rPr>
              <w:t>Rent Roll</w:t>
            </w:r>
          </w:p>
        </w:tc>
        <w:tc>
          <w:tcPr>
            <w:tcW w:type="dxa" w:w="3312"/>
          </w:tcPr>
          <w:p>
            <w:pPr>
              <w:spacing w:before="40" w:after="40"/>
            </w:pPr>
            <w:r/>
            <w:r>
              <w:rPr>
                <w:sz w:val="17"/>
              </w:rPr>
              <w:t>Rent Rolls</w:t>
            </w:r>
          </w:p>
        </w:tc>
        <w:tc>
          <w:tcPr>
            <w:tcW w:type="dxa" w:w="2952"/>
          </w:tcPr>
          <w:p>
            <w:pPr>
              <w:spacing w:before="40" w:after="40"/>
            </w:pPr>
            <w:r/>
            <w:r>
              <w:rPr>
                <w:rFonts w:ascii="Courier New" w:hAnsi="Courier New"/>
                <w:sz w:val="16"/>
              </w:rPr>
              <w:t>data/rent_rolls/</w:t>
            </w:r>
          </w:p>
        </w:tc>
      </w:tr>
      <w:tr>
        <w:tc>
          <w:tcPr>
            <w:tcW w:type="dxa" w:w="2736"/>
            <w:shd w:val="clear" w:color="auto" w:fill="D6E4F0"/>
          </w:tcPr>
          <w:p>
            <w:pPr>
              <w:spacing w:before="40" w:after="40"/>
            </w:pPr>
            <w:r/>
            <w:r>
              <w:rPr>
                <w:sz w:val="17"/>
              </w:rPr>
              <w:t>Resident Activity</w:t>
            </w:r>
          </w:p>
        </w:tc>
        <w:tc>
          <w:tcPr>
            <w:tcW w:type="dxa" w:w="3312"/>
            <w:shd w:val="clear" w:color="auto" w:fill="D6E4F0"/>
          </w:tcPr>
          <w:p>
            <w:pPr>
              <w:spacing w:before="40" w:after="40"/>
            </w:pPr>
            <w:r/>
            <w:r>
              <w:rPr>
                <w:sz w:val="17"/>
              </w:rPr>
              <w:t>Resident Activity</w:t>
            </w:r>
          </w:p>
        </w:tc>
        <w:tc>
          <w:tcPr>
            <w:tcW w:type="dxa" w:w="2952"/>
            <w:shd w:val="clear" w:color="auto" w:fill="D6E4F0"/>
          </w:tcPr>
          <w:p>
            <w:pPr>
              <w:spacing w:before="40" w:after="40"/>
            </w:pPr>
            <w:r/>
            <w:r>
              <w:rPr>
                <w:rFonts w:ascii="Courier New" w:hAnsi="Courier New"/>
                <w:sz w:val="16"/>
              </w:rPr>
              <w:t>data/activity/</w:t>
            </w:r>
          </w:p>
        </w:tc>
      </w:tr>
      <w:tr>
        <w:tc>
          <w:tcPr>
            <w:tcW w:type="dxa" w:w="2736"/>
          </w:tcPr>
          <w:p>
            <w:pPr>
              <w:spacing w:before="40" w:after="40"/>
            </w:pPr>
            <w:r/>
            <w:r>
              <w:rPr>
                <w:sz w:val="17"/>
              </w:rPr>
              <w:t>Market Rent Schedule</w:t>
            </w:r>
          </w:p>
        </w:tc>
        <w:tc>
          <w:tcPr>
            <w:tcW w:type="dxa" w:w="3312"/>
          </w:tcPr>
          <w:p>
            <w:pPr>
              <w:spacing w:before="40" w:after="40"/>
            </w:pPr>
            <w:r/>
            <w:r>
              <w:rPr>
                <w:sz w:val="17"/>
              </w:rPr>
              <w:t>Market Rent Schedule Detail</w:t>
            </w:r>
          </w:p>
        </w:tc>
        <w:tc>
          <w:tcPr>
            <w:tcW w:type="dxa" w:w="2952"/>
          </w:tcPr>
          <w:p>
            <w:pPr>
              <w:spacing w:before="40" w:after="40"/>
            </w:pPr>
            <w:r/>
            <w:r>
              <w:rPr>
                <w:rFonts w:ascii="Courier New" w:hAnsi="Courier New"/>
                <w:sz w:val="16"/>
              </w:rPr>
              <w:t>data/market rent schedule/</w:t>
            </w:r>
          </w:p>
        </w:tc>
      </w:tr>
    </w:tbl>
    <w:p/>
    <w:p>
      <w:pPr>
        <w:spacing w:after="80" w:before="40"/>
      </w:pPr>
      <w:r>
        <w:rPr>
          <w:sz w:val="20"/>
        </w:rPr>
        <w:t>All seven properties are supported: Crossings at Irving, Highland Park, La Prada, Parks on Taylor, Valencia Plaza, Village Green, and Western Station.</w:t>
      </w:r>
    </w:p>
    <w:p>
      <w:pPr>
        <w:spacing w:after="80" w:before="40"/>
      </w:pPr>
      <w:r>
        <w:rPr>
          <w:b/>
          <w:sz w:val="20"/>
        </w:rPr>
        <w:t>John's Concession Audit Engine (Rules R1–R7)</w:t>
      </w:r>
    </w:p>
    <w:p>
      <w:pPr>
        <w:pStyle w:val="ListBullet"/>
      </w:pPr>
      <w:r>
        <w:rPr>
          <w:b/>
          <w:sz w:val="20"/>
        </w:rPr>
        <w:t>R1 Post-Term Credit</w:t>
      </w:r>
      <w:r>
        <w:rPr>
          <w:sz w:val="20"/>
        </w:rPr>
        <w:t xml:space="preserve"> — credit posted after the resident's lease end date.</w:t>
      </w:r>
    </w:p>
    <w:p>
      <w:pPr>
        <w:pStyle w:val="ListBullet"/>
      </w:pPr>
      <w:r>
        <w:rPr>
          <w:b/>
          <w:sz w:val="20"/>
        </w:rPr>
        <w:t>R2 Missing Lease</w:t>
      </w:r>
      <w:r>
        <w:rPr>
          <w:sz w:val="20"/>
        </w:rPr>
        <w:t xml:space="preserve"> — credit posted but the Rent Roll shows no active lease for that unit.</w:t>
      </w:r>
    </w:p>
    <w:p>
      <w:pPr>
        <w:pStyle w:val="ListBullet"/>
      </w:pPr>
      <w:r>
        <w:rPr>
          <w:b/>
          <w:sz w:val="20"/>
        </w:rPr>
        <w:t>R3 Large Credit (≥ $700)</w:t>
      </w:r>
      <w:r>
        <w:rPr>
          <w:sz w:val="20"/>
        </w:rPr>
        <w:t xml:space="preserve"> — any single credit meeting or exceeding the CRITICAL threshold.</w:t>
      </w:r>
    </w:p>
    <w:p>
      <w:pPr>
        <w:pStyle w:val="ListBullet"/>
      </w:pPr>
      <w:r>
        <w:rPr>
          <w:b/>
          <w:sz w:val="20"/>
        </w:rPr>
        <w:t>R4 Non-Standard Description</w:t>
      </w:r>
      <w:r>
        <w:rPr>
          <w:sz w:val="20"/>
        </w:rPr>
        <w:t xml:space="preserve"> — credit description does not match any approved concession keyword.</w:t>
      </w:r>
    </w:p>
    <w:p>
      <w:pPr>
        <w:pStyle w:val="ListBullet"/>
      </w:pPr>
      <w:r>
        <w:rPr>
          <w:b/>
          <w:sz w:val="20"/>
        </w:rPr>
        <w:t>R5 Missing Addendum / No RR Setup</w:t>
      </w:r>
      <w:r>
        <w:rPr>
          <w:sz w:val="20"/>
        </w:rPr>
        <w:t xml:space="preserve"> — credit posted in Transaction List but no corresponding concession row on the Rent Roll.</w:t>
      </w:r>
    </w:p>
    <w:p>
      <w:pPr>
        <w:pStyle w:val="ListBullet"/>
      </w:pPr>
      <w:r>
        <w:rPr>
          <w:b/>
          <w:sz w:val="20"/>
        </w:rPr>
        <w:t>R6 Amount Mismatch</w:t>
      </w:r>
      <w:r>
        <w:rPr>
          <w:sz w:val="20"/>
        </w:rPr>
        <w:t xml:space="preserve"> — Rent Roll concession amount differs from the Transaction List posted amount by more than $10 or 10%.</w:t>
      </w:r>
    </w:p>
    <w:p>
      <w:pPr>
        <w:pStyle w:val="ListBullet"/>
      </w:pPr>
      <w:r>
        <w:rPr>
          <w:b/>
          <w:sz w:val="20"/>
        </w:rPr>
        <w:t>R7 Not Properly Posted</w:t>
      </w:r>
      <w:r>
        <w:rPr>
          <w:sz w:val="20"/>
        </w:rPr>
        <w:t xml:space="preserve"> — Rent Roll shows a concession setup, but no matching credit appears in the Transaction List.</w:t>
      </w:r>
    </w:p>
    <w:p>
      <w:pPr>
        <w:spacing w:after="80" w:before="40"/>
      </w:pPr>
      <w:r>
        <w:rPr>
          <w:b/>
          <w:sz w:val="20"/>
        </w:rPr>
        <w:t>Daniel's Revenue Integrity Engine (2-Stage + NER)</w:t>
      </w:r>
    </w:p>
    <w:p>
      <w:pPr>
        <w:pStyle w:val="ListBullet"/>
      </w:pPr>
      <w:r>
        <w:rPr>
          <w:b/>
          <w:sz w:val="20"/>
        </w:rPr>
        <w:t>Stage 1 — Recurring Projection Audit:</w:t>
      </w:r>
    </w:p>
    <w:p>
      <w:pPr>
        <w:pStyle w:val="ListBullet"/>
      </w:pPr>
      <w:r>
        <w:rPr>
          <w:sz w:val="20"/>
        </w:rPr>
        <w:t>90% Rule (Missing Standard Charge) — any charge category present on ≥ 90% of units must appear on all units.</w:t>
      </w:r>
    </w:p>
    <w:p>
      <w:pPr>
        <w:pStyle w:val="ListBullet"/>
      </w:pPr>
      <w:r>
        <w:rPr>
          <w:sz w:val="20"/>
        </w:rPr>
        <w:t>Major and Minor Charge Amount Variance — projection amount deviates from the property's published fee schedule.</w:t>
      </w:r>
    </w:p>
    <w:p>
      <w:pPr>
        <w:pStyle w:val="ListBullet"/>
      </w:pPr>
      <w:r>
        <w:rPr>
          <w:sz w:val="20"/>
        </w:rPr>
        <w:t>Recurring Concession Red Flags — concession &gt; $500 for 2+ months; concession with no expiration date.</w:t>
      </w:r>
    </w:p>
    <w:p>
      <w:pPr>
        <w:pStyle w:val="ListBullet"/>
      </w:pPr>
      <w:r>
        <w:rPr>
          <w:b/>
          <w:sz w:val="20"/>
        </w:rPr>
        <w:t>Stage 1B — NER Engine (Net Effective Rent):</w:t>
      </w:r>
    </w:p>
    <w:p>
      <w:pPr>
        <w:pStyle w:val="ListBullet"/>
      </w:pPr>
      <w:r>
        <w:rPr>
          <w:sz w:val="20"/>
        </w:rPr>
        <w:t>Full Rent Recurring Offset (CRITICAL) — concession equals rent across two or more months.</w:t>
      </w:r>
    </w:p>
    <w:p>
      <w:pPr>
        <w:pStyle w:val="ListBullet"/>
      </w:pPr>
      <w:r>
        <w:rPr>
          <w:sz w:val="20"/>
        </w:rPr>
        <w:t>Future Month Full Offset (HIGH) — single upcoming month is fully offset; addendum required.</w:t>
      </w:r>
    </w:p>
    <w:p>
      <w:pPr>
        <w:pStyle w:val="ListBullet"/>
      </w:pPr>
      <w:r>
        <w:rPr>
          <w:sz w:val="20"/>
        </w:rPr>
        <w:t>Double-Discount Setup (CRITICAL) — rent is already below market and a concession is layered on top.</w:t>
      </w:r>
    </w:p>
    <w:p>
      <w:pPr>
        <w:pStyle w:val="ListBullet"/>
      </w:pPr>
      <w:r>
        <w:rPr>
          <w:sz w:val="20"/>
        </w:rPr>
        <w:t>Net Effective Rent Below Floor (CRITICAL) — NER (rent + concession) falls below the property-specific floor. Floors are either hardcoded (</w:t>
      </w:r>
      <w:r>
        <w:rPr>
          <w:rFonts w:ascii="Courier New" w:hAnsi="Courier New"/>
          <w:sz w:val="18"/>
        </w:rPr>
        <w:t>PROPERTY_NER_FLOORS</w:t>
      </w:r>
      <w:r>
        <w:rPr>
          <w:sz w:val="20"/>
        </w:rPr>
        <w:t xml:space="preserve">) or computed dynamically as Market Rent Schedule total rent minus </w:t>
      </w:r>
      <w:r>
        <w:rPr>
          <w:rFonts w:ascii="Courier New" w:hAnsi="Courier New"/>
          <w:sz w:val="18"/>
        </w:rPr>
        <w:t>PROPERTY_NER_DISCOUNT</w:t>
      </w:r>
      <w:r>
        <w:rPr>
          <w:sz w:val="20"/>
        </w:rPr>
        <w:t>.</w:t>
      </w:r>
    </w:p>
    <w:p>
      <w:pPr>
        <w:pStyle w:val="ListBullet"/>
      </w:pPr>
      <w:r>
        <w:rPr>
          <w:b/>
          <w:sz w:val="20"/>
        </w:rPr>
        <w:t>Stage 2 — Posted Rent Roll Audit:</w:t>
      </w:r>
    </w:p>
    <w:p>
      <w:pPr>
        <w:pStyle w:val="ListBullet"/>
      </w:pPr>
      <w:r>
        <w:rPr>
          <w:sz w:val="20"/>
        </w:rPr>
        <w:t>Negative Net Rent (CRITICAL) — unit's net rent position is negative after charges.</w:t>
      </w:r>
    </w:p>
    <w:p>
      <w:pPr>
        <w:pStyle w:val="ListBullet"/>
      </w:pPr>
      <w:r>
        <w:rPr>
          <w:sz w:val="20"/>
        </w:rPr>
        <w:t>$0 Net Rent — flagged CRITICAL for established residents, MEDIUM for recent move-ins (within 60 days).</w:t>
      </w:r>
    </w:p>
    <w:p>
      <w:pPr>
        <w:pStyle w:val="ListBullet"/>
      </w:pPr>
      <w:r>
        <w:rPr>
          <w:sz w:val="20"/>
        </w:rPr>
        <w:t>Manual Posting Without Setup — concession posted on Rent Roll with no recurring projection row.</w:t>
      </w:r>
    </w:p>
    <w:p>
      <w:pPr>
        <w:pStyle w:val="ListBullet"/>
      </w:pPr>
      <w:r>
        <w:rPr>
          <w:sz w:val="20"/>
        </w:rPr>
        <w:t>Posted vs Recurring Mismatch — gross rent on Rent Roll differs from projection by more than the proration threshold.</w:t>
      </w:r>
    </w:p>
    <w:p>
      <w:pPr>
        <w:pStyle w:val="ListBullet"/>
      </w:pPr>
      <w:r>
        <w:rPr>
          <w:sz w:val="20"/>
        </w:rPr>
        <w:t>Misc Tenant Credit — miscellaneous tenant credit exists without a corresponding recurring setup.</w:t>
      </w:r>
    </w:p>
    <w:p>
      <w:pPr>
        <w:spacing w:after="80" w:before="40"/>
      </w:pPr>
      <w:r>
        <w:rPr>
          <w:b/>
          <w:sz w:val="20"/>
        </w:rPr>
        <w:t>Fee Schedule Check Engine</w:t>
      </w:r>
    </w:p>
    <w:p>
      <w:pPr>
        <w:pStyle w:val="ListBullet"/>
      </w:pPr>
      <w:r>
        <w:rPr>
          <w:sz w:val="20"/>
        </w:rPr>
        <w:t xml:space="preserve">Validates every recurring charge amount for all 7 properties against the hardcoded </w:t>
      </w:r>
      <w:r>
        <w:rPr>
          <w:rFonts w:ascii="Courier New" w:hAnsi="Courier New"/>
          <w:sz w:val="18"/>
        </w:rPr>
        <w:t>PROPERTY_FEE_SCHEDULE</w:t>
      </w:r>
      <w:r>
        <w:rPr>
          <w:sz w:val="20"/>
        </w:rPr>
        <w:t xml:space="preserve"> constants (sourced from Daniel Twito's official fee schedule documents).</w:t>
      </w:r>
    </w:p>
    <w:p>
      <w:pPr>
        <w:pStyle w:val="ListBullet"/>
      </w:pPr>
      <w:r>
        <w:rPr>
          <w:sz w:val="20"/>
        </w:rPr>
        <w:t>Flags any charge whose posted amount deviates by more than $1 from the published schedule amount.</w:t>
      </w:r>
    </w:p>
    <w:p>
      <w:pPr>
        <w:pStyle w:val="ListBullet"/>
      </w:pPr>
      <w:r>
        <w:rPr>
          <w:sz w:val="20"/>
        </w:rPr>
        <w:t>Optional charges (parking, pet rent, washer/dryer) are validated in amount only when present — they are not flagged as missing under the 90% Rule.</w:t>
      </w:r>
    </w:p>
    <w:p>
      <w:pPr>
        <w:spacing w:after="80" w:before="40"/>
      </w:pPr>
      <w:r>
        <w:rPr>
          <w:b/>
          <w:sz w:val="20"/>
        </w:rPr>
        <w:t>Manager Override Audit</w:t>
      </w:r>
    </w:p>
    <w:p>
      <w:pPr>
        <w:pStyle w:val="ListBullet"/>
      </w:pPr>
      <w:r>
        <w:rPr>
          <w:sz w:val="20"/>
        </w:rPr>
        <w:t>Parses Edited Transactions by User reports to identify reversals and amount changes.</w:t>
      </w:r>
    </w:p>
    <w:p>
      <w:pPr>
        <w:pStyle w:val="ListBullet"/>
      </w:pPr>
      <w:r>
        <w:rPr>
          <w:sz w:val="20"/>
        </w:rPr>
        <w:t>Calculates per-manager revenue impact (negative = revenue reduction).</w:t>
      </w:r>
    </w:p>
    <w:p>
      <w:pPr>
        <w:pStyle w:val="ListBullet"/>
      </w:pPr>
      <w:r>
        <w:rPr>
          <w:sz w:val="20"/>
        </w:rPr>
        <w:t>Ranks managers by total override impact and returns a raw override event log.</w:t>
      </w:r>
    </w:p>
    <w:p>
      <w:pPr>
        <w:spacing w:after="80" w:before="40"/>
      </w:pPr>
      <w:r>
        <w:rPr>
          <w:b/>
          <w:sz w:val="20"/>
        </w:rPr>
        <w:t>Streamlit Dashboard (7 Tabs)</w:t>
      </w:r>
    </w:p>
    <w:tbl>
      <w:tblPr>
        <w:tblStyle w:val="TableGrid"/>
        <w:tblW w:type="auto" w:w="0"/>
        <w:tblLook w:firstColumn="1" w:firstRow="1" w:lastColumn="0" w:lastRow="0" w:noHBand="0" w:noVBand="1" w:val="04A0"/>
      </w:tblPr>
      <w:tblGrid>
        <w:gridCol w:w="4500"/>
        <w:gridCol w:w="4500"/>
      </w:tblGrid>
      <w:tr>
        <w:tc>
          <w:tcPr>
            <w:tcW w:type="dxa" w:w="2880"/>
            <w:shd w:val="clear" w:color="auto" w:fill="1F4E79"/>
          </w:tcPr>
          <w:p>
            <w:pPr>
              <w:spacing w:before="60" w:after="60"/>
              <w:jc w:val="center"/>
            </w:pPr>
            <w:r/>
            <w:r>
              <w:rPr>
                <w:b/>
                <w:color w:val="FFFFFF"/>
                <w:sz w:val="18"/>
              </w:rPr>
              <w:t>Tab</w:t>
            </w:r>
          </w:p>
        </w:tc>
        <w:tc>
          <w:tcPr>
            <w:tcW w:type="dxa" w:w="6120"/>
            <w:shd w:val="clear" w:color="auto" w:fill="1F4E79"/>
          </w:tcPr>
          <w:p>
            <w:pPr>
              <w:spacing w:before="60" w:after="60"/>
              <w:jc w:val="center"/>
            </w:pPr>
            <w:r/>
            <w:r>
              <w:rPr>
                <w:b/>
                <w:color w:val="FFFFFF"/>
                <w:sz w:val="18"/>
              </w:rPr>
              <w:t>Content</w:t>
            </w:r>
          </w:p>
        </w:tc>
      </w:tr>
      <w:tr>
        <w:tc>
          <w:tcPr>
            <w:tcW w:type="dxa" w:w="2880"/>
          </w:tcPr>
          <w:p>
            <w:pPr>
              <w:spacing w:before="40" w:after="40"/>
            </w:pPr>
            <w:r/>
            <w:r>
              <w:rPr>
                <w:sz w:val="17"/>
              </w:rPr>
              <w:t>Executive Summary</w:t>
            </w:r>
          </w:p>
        </w:tc>
        <w:tc>
          <w:tcPr>
            <w:tcW w:type="dxa" w:w="6120"/>
          </w:tcPr>
          <w:p>
            <w:pPr>
              <w:spacing w:before="40" w:after="40"/>
            </w:pPr>
            <w:r/>
            <w:r>
              <w:rPr>
                <w:sz w:val="17"/>
              </w:rPr>
              <w:t>Portfolio KPI metrics, risk-level totals, filterable all-flags grid</w:t>
            </w:r>
          </w:p>
        </w:tc>
      </w:tr>
      <w:tr>
        <w:tc>
          <w:tcPr>
            <w:tcW w:type="dxa" w:w="2880"/>
            <w:shd w:val="clear" w:color="auto" w:fill="D6E4F0"/>
          </w:tcPr>
          <w:p>
            <w:pPr>
              <w:spacing w:before="40" w:after="40"/>
            </w:pPr>
            <w:r/>
            <w:r>
              <w:rPr>
                <w:sz w:val="17"/>
              </w:rPr>
              <w:t>Concession Audit (John)</w:t>
            </w:r>
          </w:p>
        </w:tc>
        <w:tc>
          <w:tcPr>
            <w:tcW w:type="dxa" w:w="6120"/>
            <w:shd w:val="clear" w:color="auto" w:fill="D6E4F0"/>
          </w:tcPr>
          <w:p>
            <w:pPr>
              <w:spacing w:before="40" w:after="40"/>
            </w:pPr>
            <w:r/>
            <w:r>
              <w:rPr>
                <w:sz w:val="17"/>
              </w:rPr>
              <w:t>Rule summary table, unit-level flag detail</w:t>
            </w:r>
          </w:p>
        </w:tc>
      </w:tr>
      <w:tr>
        <w:tc>
          <w:tcPr>
            <w:tcW w:type="dxa" w:w="2880"/>
          </w:tcPr>
          <w:p>
            <w:pPr>
              <w:spacing w:before="40" w:after="40"/>
            </w:pPr>
            <w:r/>
            <w:r>
              <w:rPr>
                <w:sz w:val="17"/>
              </w:rPr>
              <w:t>Revenue Integrity (Daniel)</w:t>
            </w:r>
          </w:p>
        </w:tc>
        <w:tc>
          <w:tcPr>
            <w:tcW w:type="dxa" w:w="6120"/>
          </w:tcPr>
          <w:p>
            <w:pPr>
              <w:spacing w:before="40" w:after="40"/>
            </w:pPr>
            <w:r/>
            <w:r>
              <w:rPr>
                <w:sz w:val="17"/>
              </w:rPr>
              <w:t>Stage 1 and Stage 2 flag drilldowns</w:t>
            </w:r>
          </w:p>
        </w:tc>
      </w:tr>
      <w:tr>
        <w:tc>
          <w:tcPr>
            <w:tcW w:type="dxa" w:w="2880"/>
            <w:shd w:val="clear" w:color="auto" w:fill="D6E4F0"/>
          </w:tcPr>
          <w:p>
            <w:pPr>
              <w:spacing w:before="40" w:after="40"/>
            </w:pPr>
            <w:r/>
            <w:r>
              <w:rPr>
                <w:sz w:val="17"/>
              </w:rPr>
              <w:t>Manager Overrides</w:t>
            </w:r>
          </w:p>
        </w:tc>
        <w:tc>
          <w:tcPr>
            <w:tcW w:type="dxa" w:w="6120"/>
            <w:shd w:val="clear" w:color="auto" w:fill="D6E4F0"/>
          </w:tcPr>
          <w:p>
            <w:pPr>
              <w:spacing w:before="40" w:after="40"/>
            </w:pPr>
            <w:r/>
            <w:r>
              <w:rPr>
                <w:sz w:val="17"/>
              </w:rPr>
              <w:t>Manager ranking by impact, raw edit log</w:t>
            </w:r>
          </w:p>
        </w:tc>
      </w:tr>
      <w:tr>
        <w:tc>
          <w:tcPr>
            <w:tcW w:type="dxa" w:w="2880"/>
          </w:tcPr>
          <w:p>
            <w:pPr>
              <w:spacing w:before="40" w:after="40"/>
            </w:pPr>
            <w:r/>
            <w:r>
              <w:rPr>
                <w:sz w:val="17"/>
              </w:rPr>
              <w:t>Exposure Drilldowns</w:t>
            </w:r>
          </w:p>
        </w:tc>
        <w:tc>
          <w:tcPr>
            <w:tcW w:type="dxa" w:w="6120"/>
          </w:tcPr>
          <w:p>
            <w:pPr>
              <w:spacing w:before="40" w:after="40"/>
            </w:pPr>
            <w:r/>
            <w:r>
              <w:rPr>
                <w:sz w:val="17"/>
              </w:rPr>
              <w:t>Flags segmented by property, rule, and risk level</w:t>
            </w:r>
          </w:p>
        </w:tc>
      </w:tr>
      <w:tr>
        <w:tc>
          <w:tcPr>
            <w:tcW w:type="dxa" w:w="2880"/>
            <w:shd w:val="clear" w:color="auto" w:fill="D6E4F0"/>
          </w:tcPr>
          <w:p>
            <w:pPr>
              <w:spacing w:before="40" w:after="40"/>
            </w:pPr>
            <w:r/>
            <w:r>
              <w:rPr>
                <w:sz w:val="17"/>
              </w:rPr>
              <w:t>Risk Matrix</w:t>
            </w:r>
          </w:p>
        </w:tc>
        <w:tc>
          <w:tcPr>
            <w:tcW w:type="dxa" w:w="6120"/>
            <w:shd w:val="clear" w:color="auto" w:fill="D6E4F0"/>
          </w:tcPr>
          <w:p>
            <w:pPr>
              <w:spacing w:before="40" w:after="40"/>
            </w:pPr>
            <w:r/>
            <w:r>
              <w:rPr>
                <w:sz w:val="17"/>
              </w:rPr>
              <w:t>Heatmap of severity counts by property</w:t>
            </w:r>
          </w:p>
        </w:tc>
      </w:tr>
      <w:tr>
        <w:tc>
          <w:tcPr>
            <w:tcW w:type="dxa" w:w="2880"/>
          </w:tcPr>
          <w:p>
            <w:pPr>
              <w:spacing w:before="40" w:after="40"/>
            </w:pPr>
            <w:r/>
            <w:r>
              <w:rPr>
                <w:sz w:val="17"/>
              </w:rPr>
              <w:t>Fee Schedule Check</w:t>
            </w:r>
          </w:p>
        </w:tc>
        <w:tc>
          <w:tcPr>
            <w:tcW w:type="dxa" w:w="6120"/>
          </w:tcPr>
          <w:p>
            <w:pPr>
              <w:spacing w:before="40" w:after="40"/>
            </w:pPr>
            <w:r/>
            <w:r>
              <w:rPr>
                <w:sz w:val="17"/>
              </w:rPr>
              <w:t>Per-charge fee schedule violations</w:t>
            </w:r>
          </w:p>
        </w:tc>
      </w:tr>
    </w:tbl>
    <w:p/>
    <w:p>
      <w:pPr>
        <w:spacing w:after="80" w:before="40"/>
      </w:pPr>
      <w:r>
        <w:rPr>
          <w:b/>
          <w:sz w:val="20"/>
        </w:rPr>
        <w:t>Excel Export</w:t>
      </w:r>
    </w:p>
    <w:p>
      <w:pPr>
        <w:pStyle w:val="ListBullet"/>
      </w:pPr>
      <w:r>
        <w:rPr>
          <w:sz w:val="20"/>
        </w:rPr>
        <w:t xml:space="preserve">Timestamped workbook exported to </w:t>
      </w:r>
      <w:r>
        <w:rPr>
          <w:rFonts w:ascii="Courier New" w:hAnsi="Courier New"/>
          <w:sz w:val="18"/>
        </w:rPr>
        <w:t>output/</w:t>
      </w:r>
      <w:r>
        <w:rPr>
          <w:sz w:val="20"/>
        </w:rPr>
        <w:t xml:space="preserve"> on each audit run (e.g. </w:t>
      </w:r>
      <w:r>
        <w:rPr>
          <w:rFonts w:ascii="Courier New" w:hAnsi="Courier New"/>
          <w:sz w:val="18"/>
        </w:rPr>
        <w:t>LNJ_Audit_20260630_1535.xlsx</w:t>
      </w:r>
      <w:r>
        <w:rPr>
          <w:sz w:val="20"/>
        </w:rPr>
        <w:t>).</w:t>
      </w:r>
    </w:p>
    <w:p>
      <w:pPr>
        <w:pStyle w:val="ListBullet"/>
      </w:pPr>
      <w:r>
        <w:rPr>
          <w:sz w:val="20"/>
        </w:rPr>
        <w:t>Includes formatted worksheets for each engine's flags, manager ranking, and exposure summary.</w:t>
      </w:r>
    </w:p>
    <w:p>
      <w:pPr>
        <w:pStyle w:val="ListBullet"/>
      </w:pPr>
      <w:r>
        <w:rPr>
          <w:sz w:val="20"/>
        </w:rPr>
        <w:t>Conditional formatting applied via openpyxl for risk-level color coding.</w:t>
      </w:r>
    </w:p>
    <w:p>
      <w:pPr>
        <w:pStyle w:val="Heading2"/>
      </w:pPr>
      <w:r>
        <w:rPr>
          <w:color w:val="2E74B5"/>
        </w:rPr>
        <w:t>2.2 Out of Scope</w:t>
      </w:r>
    </w:p>
    <w:p>
      <w:pPr>
        <w:spacing w:after="80" w:before="40"/>
      </w:pPr>
      <w:r>
        <w:rPr>
          <w:sz w:val="20"/>
        </w:rPr>
        <w:t>The following are explicitly not performed by the current system:</w:t>
      </w:r>
    </w:p>
    <w:p>
      <w:pPr>
        <w:pStyle w:val="ListBullet"/>
      </w:pPr>
      <w:r>
        <w:rPr>
          <w:b/>
          <w:sz w:val="20"/>
        </w:rPr>
        <w:t>No write-back to ResMan</w:t>
      </w:r>
      <w:r>
        <w:rPr>
          <w:sz w:val="20"/>
        </w:rPr>
        <w:t xml:space="preserve"> — the bot is read-only. It does not create, modify, or delete any data in ResMan or any connected database.</w:t>
      </w:r>
    </w:p>
    <w:p>
      <w:pPr>
        <w:pStyle w:val="ListBullet"/>
      </w:pPr>
      <w:r>
        <w:rPr>
          <w:b/>
          <w:sz w:val="20"/>
        </w:rPr>
        <w:t>No live/real-time data connection</w:t>
      </w:r>
      <w:r>
        <w:rPr>
          <w:sz w:val="20"/>
        </w:rPr>
        <w:t xml:space="preserve"> — all data comes from manually exported CSV files copied into the </w:t>
      </w:r>
      <w:r>
        <w:rPr>
          <w:rFonts w:ascii="Courier New" w:hAnsi="Courier New"/>
          <w:sz w:val="18"/>
        </w:rPr>
        <w:t>data/</w:t>
      </w:r>
      <w:r>
        <w:rPr>
          <w:sz w:val="20"/>
        </w:rPr>
        <w:t xml:space="preserve"> subfolders. There is no API connection or scheduled pull from ResMan.</w:t>
      </w:r>
    </w:p>
    <w:p>
      <w:pPr>
        <w:pStyle w:val="ListBullet"/>
      </w:pPr>
      <w:r>
        <w:rPr>
          <w:b/>
          <w:sz w:val="20"/>
        </w:rPr>
        <w:t>No PDF processing</w:t>
      </w:r>
      <w:r>
        <w:rPr>
          <w:sz w:val="20"/>
        </w:rPr>
        <w:t xml:space="preserve"> — Resident Ledger PDFs (located in </w:t>
      </w:r>
      <w:r>
        <w:rPr>
          <w:rFonts w:ascii="Courier New" w:hAnsi="Courier New"/>
          <w:sz w:val="18"/>
        </w:rPr>
        <w:t>exports/Resident Ledgers/</w:t>
      </w:r>
      <w:r>
        <w:rPr>
          <w:sz w:val="20"/>
        </w:rPr>
        <w:t>) are not parsed. They are documented as manual-review-only.</w:t>
      </w:r>
    </w:p>
    <w:p>
      <w:pPr>
        <w:pStyle w:val="ListBullet"/>
      </w:pPr>
      <w:r>
        <w:rPr>
          <w:b/>
          <w:sz w:val="20"/>
        </w:rPr>
        <w:t>No user authentication or role-based access control</w:t>
      </w:r>
      <w:r>
        <w:rPr>
          <w:sz w:val="20"/>
        </w:rPr>
        <w:t xml:space="preserve"> — the Streamlit app has no login system. Access is controlled by where the app is deployed.</w:t>
      </w:r>
    </w:p>
    <w:p>
      <w:pPr>
        <w:pStyle w:val="ListBullet"/>
      </w:pPr>
      <w:r>
        <w:rPr>
          <w:b/>
          <w:sz w:val="20"/>
        </w:rPr>
        <w:t>No manual override or correction workflow within the UI</w:t>
      </w:r>
      <w:r>
        <w:rPr>
          <w:sz w:val="20"/>
        </w:rPr>
        <w:t xml:space="preserve"> — users cannot mark flags as resolved, add notes, or approve exceptions from inside the dashboard.</w:t>
      </w:r>
    </w:p>
    <w:p>
      <w:pPr>
        <w:pStyle w:val="ListBullet"/>
      </w:pPr>
      <w:r>
        <w:rPr>
          <w:b/>
          <w:sz w:val="20"/>
        </w:rPr>
        <w:t>No automated alert or email distribution</w:t>
      </w:r>
      <w:r>
        <w:rPr>
          <w:sz w:val="20"/>
        </w:rPr>
        <w:t xml:space="preserve"> — the bot does not send notifications. Distribution of results (Excel file, dashboard link) is a manual step.</w:t>
      </w:r>
    </w:p>
    <w:p>
      <w:pPr>
        <w:pStyle w:val="ListBullet"/>
      </w:pPr>
      <w:r>
        <w:rPr>
          <w:b/>
          <w:sz w:val="20"/>
        </w:rPr>
        <w:t>No approval workflow integration</w:t>
      </w:r>
      <w:r>
        <w:rPr>
          <w:sz w:val="20"/>
        </w:rPr>
        <w:t xml:space="preserve"> — the bot does not interact with any ticketing, workflow, or ERP system.</w:t>
      </w:r>
    </w:p>
    <w:p>
      <w:pPr>
        <w:pStyle w:val="ListBullet"/>
      </w:pPr>
      <w:r>
        <w:rPr>
          <w:b/>
          <w:sz w:val="20"/>
        </w:rPr>
        <w:t>No multi-month trend analysis</w:t>
      </w:r>
      <w:r>
        <w:rPr>
          <w:sz w:val="20"/>
        </w:rPr>
        <w:t xml:space="preserve"> — the audit is scoped to a single </w:t>
      </w:r>
      <w:r>
        <w:rPr>
          <w:rFonts w:ascii="Courier New" w:hAnsi="Courier New"/>
          <w:sz w:val="18"/>
        </w:rPr>
        <w:t>AUDIT_MONTH</w:t>
      </w:r>
      <w:r>
        <w:rPr>
          <w:sz w:val="20"/>
        </w:rPr>
        <w:t xml:space="preserve"> per run. The multi-month projection data (</w:t>
      </w:r>
      <w:r>
        <w:rPr>
          <w:rFonts w:ascii="Courier New" w:hAnsi="Courier New"/>
          <w:sz w:val="18"/>
        </w:rPr>
        <w:t>df_proj_full</w:t>
      </w:r>
      <w:r>
        <w:rPr>
          <w:sz w:val="20"/>
        </w:rPr>
        <w:t>) is used only for NER calculation, not for cross-period trend reporting.</w:t>
      </w:r>
    </w:p>
    <w:p>
      <w:pPr>
        <w:pStyle w:val="ListBullet"/>
      </w:pPr>
      <w:r>
        <w:rPr>
          <w:b/>
          <w:sz w:val="20"/>
        </w:rPr>
        <w:t>No La Prada fee schedule hardcoding</w:t>
      </w:r>
      <w:r>
        <w:rPr>
          <w:sz w:val="20"/>
        </w:rPr>
        <w:t xml:space="preserve"> — La Prada fee schedule amounts are not included in </w:t>
      </w:r>
      <w:r>
        <w:rPr>
          <w:rFonts w:ascii="Courier New" w:hAnsi="Courier New"/>
          <w:sz w:val="18"/>
        </w:rPr>
        <w:t>PROPERTY_FEE_SCHEDULE</w:t>
      </w:r>
      <w:r>
        <w:rPr>
          <w:sz w:val="20"/>
        </w:rPr>
        <w:t xml:space="preserve"> because no official fee sheet was provided; that property's charges are not validated against a fixed schedule.</w:t>
      </w:r>
    </w:p>
    <w:p>
      <w:pPr>
        <w:pStyle w:val="Heading1"/>
        <w:pageBreakBefore w:val="1"/>
      </w:pPr>
      <w:r>
        <w:rPr>
          <w:color w:val="1F4E79"/>
        </w:rPr>
        <w:t>3. Definitions</w:t>
      </w:r>
    </w:p>
    <w:tbl>
      <w:tblPr>
        <w:tblStyle w:val="TableGrid"/>
        <w:tblW w:type="auto" w:w="0"/>
        <w:tblLook w:firstColumn="1" w:firstRow="1" w:lastColumn="0" w:lastRow="0" w:noHBand="0" w:noVBand="1" w:val="04A0"/>
      </w:tblPr>
      <w:tblGrid>
        <w:gridCol w:w="4500"/>
        <w:gridCol w:w="4500"/>
      </w:tblGrid>
      <w:tr>
        <w:tc>
          <w:tcPr>
            <w:tcW w:type="dxa" w:w="2304"/>
            <w:shd w:val="clear" w:color="auto" w:fill="1F4E79"/>
          </w:tcPr>
          <w:p>
            <w:pPr>
              <w:spacing w:before="60" w:after="60"/>
              <w:jc w:val="center"/>
            </w:pPr>
            <w:r/>
            <w:r>
              <w:rPr>
                <w:b/>
                <w:color w:val="FFFFFF"/>
                <w:sz w:val="18"/>
              </w:rPr>
              <w:t>Term</w:t>
            </w:r>
          </w:p>
        </w:tc>
        <w:tc>
          <w:tcPr>
            <w:tcW w:type="dxa" w:w="6696"/>
            <w:shd w:val="clear" w:color="auto" w:fill="1F4E79"/>
          </w:tcPr>
          <w:p>
            <w:pPr>
              <w:spacing w:before="60" w:after="60"/>
              <w:jc w:val="center"/>
            </w:pPr>
            <w:r/>
            <w:r>
              <w:rPr>
                <w:b/>
                <w:color w:val="FFFFFF"/>
                <w:sz w:val="18"/>
              </w:rPr>
              <w:t>Definition</w:t>
            </w:r>
          </w:p>
        </w:tc>
      </w:tr>
      <w:tr>
        <w:tc>
          <w:tcPr>
            <w:tcW w:type="dxa" w:w="2304"/>
          </w:tcPr>
          <w:p>
            <w:pPr>
              <w:spacing w:before="40" w:after="40"/>
            </w:pPr>
            <w:r/>
            <w:r>
              <w:rPr>
                <w:b/>
                <w:sz w:val="17"/>
              </w:rPr>
              <w:t>ResMan</w:t>
            </w:r>
          </w:p>
        </w:tc>
        <w:tc>
          <w:tcPr>
            <w:tcW w:type="dxa" w:w="6696"/>
          </w:tcPr>
          <w:p>
            <w:pPr>
              <w:spacing w:before="40" w:after="40"/>
            </w:pPr>
            <w:r/>
            <w:r>
              <w:rPr>
                <w:sz w:val="17"/>
              </w:rPr>
              <w:t>The property management software used by LiveNjoy Residential to record lease terms, post charges and credits, and generate financial reports. All source data is exported from ResMan as CSV files.</w:t>
            </w:r>
          </w:p>
        </w:tc>
      </w:tr>
      <w:tr>
        <w:tc>
          <w:tcPr>
            <w:tcW w:type="dxa" w:w="2304"/>
            <w:shd w:val="clear" w:color="auto" w:fill="D6E4F0"/>
          </w:tcPr>
          <w:p>
            <w:pPr>
              <w:spacing w:before="40" w:after="40"/>
            </w:pPr>
            <w:r/>
            <w:r>
              <w:rPr>
                <w:b/>
                <w:sz w:val="17"/>
              </w:rPr>
              <w:t>Audit Month</w:t>
            </w:r>
          </w:p>
        </w:tc>
        <w:tc>
          <w:tcPr>
            <w:tcW w:type="dxa" w:w="6696"/>
            <w:shd w:val="clear" w:color="auto" w:fill="D6E4F0"/>
          </w:tcPr>
          <w:p>
            <w:pPr>
              <w:spacing w:before="40" w:after="40"/>
            </w:pPr>
            <w:r/>
            <w:r>
              <w:rPr>
                <w:sz w:val="17"/>
              </w:rPr>
              <w:t xml:space="preserve">The calendar month being audited, set via the </w:t>
            </w:r>
            <w:r>
              <w:rPr>
                <w:rFonts w:ascii="Courier New" w:hAnsi="Courier New"/>
                <w:sz w:val="16"/>
              </w:rPr>
              <w:t>AUDIT_MONTH</w:t>
            </w:r>
            <w:r>
              <w:rPr>
                <w:sz w:val="17"/>
              </w:rPr>
              <w:t xml:space="preserve"> constant (e.g. </w:t>
            </w:r>
            <w:r>
              <w:rPr>
                <w:rFonts w:ascii="Courier New" w:hAnsi="Courier New"/>
                <w:sz w:val="16"/>
              </w:rPr>
              <w:t>"Jun 2026"</w:t>
            </w:r>
            <w:r>
              <w:rPr>
                <w:sz w:val="17"/>
              </w:rPr>
              <w:t>). One run covers one month.</w:t>
            </w:r>
          </w:p>
        </w:tc>
      </w:tr>
      <w:tr>
        <w:tc>
          <w:tcPr>
            <w:tcW w:type="dxa" w:w="2304"/>
          </w:tcPr>
          <w:p>
            <w:pPr>
              <w:spacing w:before="40" w:after="40"/>
            </w:pPr>
            <w:r/>
            <w:r>
              <w:rPr>
                <w:b/>
                <w:sz w:val="17"/>
              </w:rPr>
              <w:t>Transaction List (Credits)</w:t>
            </w:r>
          </w:p>
        </w:tc>
        <w:tc>
          <w:tcPr>
            <w:tcW w:type="dxa" w:w="6696"/>
          </w:tcPr>
          <w:p>
            <w:pPr>
              <w:spacing w:before="40" w:after="40"/>
            </w:pPr>
            <w:r/>
            <w:r>
              <w:rPr>
                <w:sz w:val="17"/>
              </w:rPr>
              <w:t xml:space="preserve">A ResMan export listing all credit-type postings for a property in a given period. Includes original credits and their reversals. The bot reads only rows in </w:t>
            </w:r>
            <w:r>
              <w:rPr>
                <w:rFonts w:ascii="Courier New" w:hAnsi="Courier New"/>
                <w:sz w:val="16"/>
              </w:rPr>
              <w:t xml:space="preserve">Credit - </w:t>
            </w:r>
            <w:r>
              <w:rPr>
                <w:sz w:val="17"/>
              </w:rPr>
              <w:t xml:space="preserve"> sections, excluding Renters Insurance.</w:t>
            </w:r>
          </w:p>
        </w:tc>
      </w:tr>
      <w:tr>
        <w:tc>
          <w:tcPr>
            <w:tcW w:type="dxa" w:w="2304"/>
            <w:shd w:val="clear" w:color="auto" w:fill="D6E4F0"/>
          </w:tcPr>
          <w:p>
            <w:pPr>
              <w:spacing w:before="40" w:after="40"/>
            </w:pPr>
            <w:r/>
            <w:r>
              <w:rPr>
                <w:b/>
                <w:sz w:val="17"/>
              </w:rPr>
              <w:t>Transaction Projection</w:t>
            </w:r>
          </w:p>
        </w:tc>
        <w:tc>
          <w:tcPr>
            <w:tcW w:type="dxa" w:w="6696"/>
            <w:shd w:val="clear" w:color="auto" w:fill="D6E4F0"/>
          </w:tcPr>
          <w:p>
            <w:pPr>
              <w:spacing w:before="40" w:after="40"/>
            </w:pPr>
            <w:r/>
            <w:r>
              <w:rPr>
                <w:sz w:val="17"/>
              </w:rPr>
              <w:t>A ResMan export showing recurring charges scheduled per unit across multiple future months. Section 3 ("Recurring Transactions by Unit") is parsed to extract per-unit, per-category amounts.</w:t>
            </w:r>
          </w:p>
        </w:tc>
      </w:tr>
      <w:tr>
        <w:tc>
          <w:tcPr>
            <w:tcW w:type="dxa" w:w="2304"/>
          </w:tcPr>
          <w:p>
            <w:pPr>
              <w:spacing w:before="40" w:after="40"/>
            </w:pPr>
            <w:r/>
            <w:r>
              <w:rPr>
                <w:b/>
                <w:sz w:val="17"/>
              </w:rPr>
              <w:t>Rent Roll</w:t>
            </w:r>
          </w:p>
        </w:tc>
        <w:tc>
          <w:tcPr>
            <w:tcW w:type="dxa" w:w="6696"/>
          </w:tcPr>
          <w:p>
            <w:pPr>
              <w:spacing w:before="40" w:after="40"/>
            </w:pPr>
            <w:r/>
            <w:r>
              <w:rPr>
                <w:sz w:val="17"/>
              </w:rPr>
              <w:t>A ResMan export showing the current charge configuration per unit — market rent, actual rent, all recurring charge and concession rows, lease dates, and resident balances.</w:t>
            </w:r>
          </w:p>
        </w:tc>
      </w:tr>
      <w:tr>
        <w:tc>
          <w:tcPr>
            <w:tcW w:type="dxa" w:w="2304"/>
            <w:shd w:val="clear" w:color="auto" w:fill="D6E4F0"/>
          </w:tcPr>
          <w:p>
            <w:pPr>
              <w:spacing w:before="40" w:after="40"/>
            </w:pPr>
            <w:r/>
            <w:r>
              <w:rPr>
                <w:b/>
                <w:sz w:val="17"/>
              </w:rPr>
              <w:t>New &amp; Renewed Leases</w:t>
            </w:r>
          </w:p>
        </w:tc>
        <w:tc>
          <w:tcPr>
            <w:tcW w:type="dxa" w:w="6696"/>
            <w:shd w:val="clear" w:color="auto" w:fill="D6E4F0"/>
          </w:tcPr>
          <w:p>
            <w:pPr>
              <w:spacing w:before="40" w:after="40"/>
            </w:pPr>
            <w:r/>
            <w:r>
              <w:rPr>
                <w:sz w:val="17"/>
              </w:rPr>
              <w:t>A ResMan export listing all leases executed in the current period, including approved recurring and one-time concession amounts from the signed lease document.</w:t>
            </w:r>
          </w:p>
        </w:tc>
      </w:tr>
      <w:tr>
        <w:tc>
          <w:tcPr>
            <w:tcW w:type="dxa" w:w="2304"/>
          </w:tcPr>
          <w:p>
            <w:pPr>
              <w:spacing w:before="40" w:after="40"/>
            </w:pPr>
            <w:r/>
            <w:r>
              <w:rPr>
                <w:b/>
                <w:sz w:val="17"/>
              </w:rPr>
              <w:t>Resident Activity</w:t>
            </w:r>
          </w:p>
        </w:tc>
        <w:tc>
          <w:tcPr>
            <w:tcW w:type="dxa" w:w="6696"/>
          </w:tcPr>
          <w:p>
            <w:pPr>
              <w:spacing w:before="40" w:after="40"/>
            </w:pPr>
            <w:r/>
            <w:r>
              <w:rPr>
                <w:sz w:val="17"/>
              </w:rPr>
              <w:t>A ResMan export with one row per resident showing move-in date, lease start/end, actual rent, and the leasing agent/manager name.</w:t>
            </w:r>
          </w:p>
        </w:tc>
      </w:tr>
      <w:tr>
        <w:tc>
          <w:tcPr>
            <w:tcW w:type="dxa" w:w="2304"/>
            <w:shd w:val="clear" w:color="auto" w:fill="D6E4F0"/>
          </w:tcPr>
          <w:p>
            <w:pPr>
              <w:spacing w:before="40" w:after="40"/>
            </w:pPr>
            <w:r/>
            <w:r>
              <w:rPr>
                <w:b/>
                <w:sz w:val="17"/>
              </w:rPr>
              <w:t>Market Rent Schedule Detail</w:t>
            </w:r>
          </w:p>
        </w:tc>
        <w:tc>
          <w:tcPr>
            <w:tcW w:type="dxa" w:w="6696"/>
            <w:shd w:val="clear" w:color="auto" w:fill="D6E4F0"/>
          </w:tcPr>
          <w:p>
            <w:pPr>
              <w:spacing w:before="40" w:after="40"/>
            </w:pPr>
            <w:r/>
            <w:r>
              <w:rPr>
                <w:sz w:val="17"/>
              </w:rPr>
              <w:t>A ResMan export listing base market rent, per-unit amenity premiums, and total market rent for each unit in the property. Used to compute dynamic NER floors.</w:t>
            </w:r>
          </w:p>
        </w:tc>
      </w:tr>
      <w:tr>
        <w:tc>
          <w:tcPr>
            <w:tcW w:type="dxa" w:w="2304"/>
          </w:tcPr>
          <w:p>
            <w:pPr>
              <w:spacing w:before="40" w:after="40"/>
            </w:pPr>
            <w:r/>
            <w:r>
              <w:rPr>
                <w:b/>
                <w:sz w:val="17"/>
              </w:rPr>
              <w:t>Edited Transactions by User</w:t>
            </w:r>
          </w:p>
        </w:tc>
        <w:tc>
          <w:tcPr>
            <w:tcW w:type="dxa" w:w="6696"/>
          </w:tcPr>
          <w:p>
            <w:pPr>
              <w:spacing w:before="40" w:after="40"/>
            </w:pPr>
            <w:r/>
            <w:r>
              <w:rPr>
                <w:sz w:val="17"/>
              </w:rPr>
              <w:t>A ResMan export logging all transaction reversals and amount edits, grouped by manager login.</w:t>
            </w:r>
          </w:p>
        </w:tc>
      </w:tr>
      <w:tr>
        <w:tc>
          <w:tcPr>
            <w:tcW w:type="dxa" w:w="2304"/>
            <w:shd w:val="clear" w:color="auto" w:fill="D6E4F0"/>
          </w:tcPr>
          <w:p>
            <w:pPr>
              <w:spacing w:before="40" w:after="40"/>
            </w:pPr>
            <w:r/>
            <w:r>
              <w:rPr>
                <w:b/>
                <w:sz w:val="17"/>
              </w:rPr>
              <w:t>John's Engine</w:t>
            </w:r>
          </w:p>
        </w:tc>
        <w:tc>
          <w:tcPr>
            <w:tcW w:type="dxa" w:w="6696"/>
            <w:shd w:val="clear" w:color="auto" w:fill="D6E4F0"/>
          </w:tcPr>
          <w:p>
            <w:pPr>
              <w:spacing w:before="40" w:after="40"/>
            </w:pPr>
            <w:r/>
            <w:r>
              <w:rPr>
                <w:sz w:val="17"/>
              </w:rPr>
              <w:t>The concession audit pipeline (</w:t>
            </w:r>
            <w:r>
              <w:rPr>
                <w:rFonts w:ascii="Courier New" w:hAnsi="Courier New"/>
                <w:sz w:val="16"/>
              </w:rPr>
              <w:t>run_johns_engine</w:t>
            </w:r>
            <w:r>
              <w:rPr>
                <w:sz w:val="17"/>
              </w:rPr>
              <w:t>) that validates every credit posting against R1–R7 rules using the Transaction List, Leases, and Rent Roll.</w:t>
            </w:r>
          </w:p>
        </w:tc>
      </w:tr>
      <w:tr>
        <w:tc>
          <w:tcPr>
            <w:tcW w:type="dxa" w:w="2304"/>
          </w:tcPr>
          <w:p>
            <w:pPr>
              <w:spacing w:before="40" w:after="40"/>
            </w:pPr>
            <w:r/>
            <w:r>
              <w:rPr>
                <w:b/>
                <w:sz w:val="17"/>
              </w:rPr>
              <w:t>Daniel's Engine</w:t>
            </w:r>
          </w:p>
        </w:tc>
        <w:tc>
          <w:tcPr>
            <w:tcW w:type="dxa" w:w="6696"/>
          </w:tcPr>
          <w:p>
            <w:pPr>
              <w:spacing w:before="40" w:after="40"/>
            </w:pPr>
            <w:r/>
            <w:r>
              <w:rPr>
                <w:sz w:val="17"/>
              </w:rPr>
              <w:t>The revenue integrity audit pipeline (</w:t>
            </w:r>
            <w:r>
              <w:rPr>
                <w:rFonts w:ascii="Courier New" w:hAnsi="Courier New"/>
                <w:sz w:val="16"/>
              </w:rPr>
              <w:t>run_daniels_engine</w:t>
            </w:r>
            <w:r>
              <w:rPr>
                <w:sz w:val="17"/>
              </w:rPr>
              <w:t>) that runs Stage 1 (Recurring Projection), Stage 1B (NER), and Stage 2 (Rent Roll) checks.</w:t>
            </w:r>
          </w:p>
        </w:tc>
      </w:tr>
      <w:tr>
        <w:tc>
          <w:tcPr>
            <w:tcW w:type="dxa" w:w="2304"/>
            <w:shd w:val="clear" w:color="auto" w:fill="D6E4F0"/>
          </w:tcPr>
          <w:p>
            <w:pPr>
              <w:spacing w:before="40" w:after="40"/>
            </w:pPr>
            <w:r/>
            <w:r>
              <w:rPr>
                <w:b/>
                <w:sz w:val="17"/>
              </w:rPr>
              <w:t>NER (Net Effective Rent)</w:t>
            </w:r>
          </w:p>
        </w:tc>
        <w:tc>
          <w:tcPr>
            <w:tcW w:type="dxa" w:w="6696"/>
            <w:shd w:val="clear" w:color="auto" w:fill="D6E4F0"/>
          </w:tcPr>
          <w:p>
            <w:pPr>
              <w:spacing w:before="40" w:after="40"/>
            </w:pPr>
            <w:r/>
            <w:r>
              <w:rPr>
                <w:sz w:val="17"/>
              </w:rPr>
              <w:t xml:space="preserve">The true economic rent paid by a resident: </w:t>
            </w:r>
            <w:r>
              <w:rPr>
                <w:rFonts w:ascii="Courier New" w:hAnsi="Courier New"/>
                <w:sz w:val="16"/>
              </w:rPr>
              <w:t>recurring_rent + recurring_concession</w:t>
            </w:r>
            <w:r>
              <w:rPr>
                <w:sz w:val="17"/>
              </w:rPr>
              <w:t xml:space="preserve"> (concession amounts are stored as negative in ResMan). NER below the property floor triggers a CRITICAL flag.</w:t>
            </w:r>
          </w:p>
        </w:tc>
      </w:tr>
      <w:tr>
        <w:tc>
          <w:tcPr>
            <w:tcW w:type="dxa" w:w="2304"/>
          </w:tcPr>
          <w:p>
            <w:pPr>
              <w:spacing w:before="40" w:after="40"/>
            </w:pPr>
            <w:r/>
            <w:r>
              <w:rPr>
                <w:b/>
                <w:sz w:val="17"/>
              </w:rPr>
              <w:t>NER Floor</w:t>
            </w:r>
          </w:p>
        </w:tc>
        <w:tc>
          <w:tcPr>
            <w:tcW w:type="dxa" w:w="6696"/>
          </w:tcPr>
          <w:p>
            <w:pPr>
              <w:spacing w:before="40" w:after="40"/>
            </w:pPr>
            <w:r/>
            <w:r>
              <w:rPr>
                <w:sz w:val="17"/>
              </w:rPr>
              <w:t xml:space="preserve">The minimum acceptable Net Effective Rent per property and bedroom type. Defined as a hardcoded dollar amount in </w:t>
            </w:r>
            <w:r>
              <w:rPr>
                <w:rFonts w:ascii="Courier New" w:hAnsi="Courier New"/>
                <w:sz w:val="16"/>
              </w:rPr>
              <w:t>PROPERTY_NER_FLOORS</w:t>
            </w:r>
            <w:r>
              <w:rPr>
                <w:sz w:val="17"/>
              </w:rPr>
              <w:t xml:space="preserve"> or computed dynamically as </w:t>
            </w:r>
            <w:r>
              <w:rPr>
                <w:rFonts w:ascii="Courier New" w:hAnsi="Courier New"/>
                <w:sz w:val="16"/>
              </w:rPr>
              <w:t>market_rent - PROPERTY_NER_DISCOUNT</w:t>
            </w:r>
            <w:r>
              <w:rPr>
                <w:sz w:val="17"/>
              </w:rPr>
              <w:t>.</w:t>
            </w:r>
          </w:p>
        </w:tc>
      </w:tr>
      <w:tr>
        <w:tc>
          <w:tcPr>
            <w:tcW w:type="dxa" w:w="2304"/>
            <w:shd w:val="clear" w:color="auto" w:fill="D6E4F0"/>
          </w:tcPr>
          <w:p>
            <w:pPr>
              <w:spacing w:before="40" w:after="40"/>
            </w:pPr>
            <w:r/>
            <w:r>
              <w:rPr>
                <w:b/>
                <w:sz w:val="17"/>
              </w:rPr>
              <w:t>90% Rule</w:t>
            </w:r>
          </w:p>
        </w:tc>
        <w:tc>
          <w:tcPr>
            <w:tcW w:type="dxa" w:w="6696"/>
            <w:shd w:val="clear" w:color="auto" w:fill="D6E4F0"/>
          </w:tcPr>
          <w:p>
            <w:pPr>
              <w:spacing w:before="40" w:after="40"/>
            </w:pPr>
            <w:r/>
            <w:r>
              <w:rPr>
                <w:sz w:val="17"/>
              </w:rPr>
              <w:t xml:space="preserve">A charge category that appears on 90% or more of a property's units is considered a "standard charge" and must appear on all units. Units missing that charge receive a </w:t>
            </w:r>
            <w:r>
              <w:rPr>
                <w:rFonts w:ascii="Courier New" w:hAnsi="Courier New"/>
                <w:sz w:val="16"/>
              </w:rPr>
              <w:t>Missing Standard Charge</w:t>
            </w:r>
            <w:r>
              <w:rPr>
                <w:sz w:val="17"/>
              </w:rPr>
              <w:t xml:space="preserve"> flag.</w:t>
            </w:r>
          </w:p>
        </w:tc>
      </w:tr>
      <w:tr>
        <w:tc>
          <w:tcPr>
            <w:tcW w:type="dxa" w:w="2304"/>
          </w:tcPr>
          <w:p>
            <w:pPr>
              <w:spacing w:before="40" w:after="40"/>
            </w:pPr>
            <w:r/>
            <w:r>
              <w:rPr>
                <w:b/>
                <w:sz w:val="17"/>
              </w:rPr>
              <w:t>APPROVED_CODES</w:t>
            </w:r>
          </w:p>
        </w:tc>
        <w:tc>
          <w:tcPr>
            <w:tcW w:type="dxa" w:w="6696"/>
          </w:tcPr>
          <w:p>
            <w:pPr>
              <w:spacing w:before="40" w:after="40"/>
            </w:pPr>
            <w:r/>
            <w:r>
              <w:rPr>
                <w:sz w:val="17"/>
              </w:rPr>
              <w:t xml:space="preserve">The set of ResMan transaction codes accepted as valid concession types: </w:t>
            </w:r>
            <w:r>
              <w:rPr>
                <w:rFonts w:ascii="Courier New" w:hAnsi="Courier New"/>
                <w:sz w:val="16"/>
              </w:rPr>
              <w:t>CONR</w:t>
            </w:r>
            <w:r>
              <w:rPr>
                <w:sz w:val="17"/>
              </w:rPr>
              <w:t xml:space="preserve">, </w:t>
            </w:r>
            <w:r>
              <w:rPr>
                <w:rFonts w:ascii="Courier New" w:hAnsi="Courier New"/>
                <w:sz w:val="16"/>
              </w:rPr>
              <w:t>CRTCO</w:t>
            </w:r>
            <w:r>
              <w:rPr>
                <w:sz w:val="17"/>
              </w:rPr>
              <w:t xml:space="preserve">, </w:t>
            </w:r>
            <w:r>
              <w:rPr>
                <w:rFonts w:ascii="Courier New" w:hAnsi="Courier New"/>
                <w:sz w:val="16"/>
              </w:rPr>
              <w:t>EMPL</w:t>
            </w:r>
            <w:r>
              <w:rPr>
                <w:sz w:val="17"/>
              </w:rPr>
              <w:t xml:space="preserve">, </w:t>
            </w:r>
            <w:r>
              <w:rPr>
                <w:rFonts w:ascii="Courier New" w:hAnsi="Courier New"/>
                <w:sz w:val="16"/>
              </w:rPr>
              <w:t>MCCR</w:t>
            </w:r>
            <w:r>
              <w:rPr>
                <w:sz w:val="17"/>
              </w:rPr>
              <w:t xml:space="preserve">, </w:t>
            </w:r>
            <w:r>
              <w:rPr>
                <w:rFonts w:ascii="Courier New" w:hAnsi="Courier New"/>
                <w:sz w:val="16"/>
              </w:rPr>
              <w:t>RRFee</w:t>
            </w:r>
            <w:r>
              <w:rPr>
                <w:sz w:val="17"/>
              </w:rPr>
              <w:t>.</w:t>
            </w:r>
          </w:p>
        </w:tc>
      </w:tr>
      <w:tr>
        <w:tc>
          <w:tcPr>
            <w:tcW w:type="dxa" w:w="2304"/>
            <w:shd w:val="clear" w:color="auto" w:fill="D6E4F0"/>
          </w:tcPr>
          <w:p>
            <w:pPr>
              <w:spacing w:before="40" w:after="40"/>
            </w:pPr>
            <w:r/>
            <w:r>
              <w:rPr>
                <w:b/>
                <w:sz w:val="17"/>
              </w:rPr>
              <w:t>Amount Impact</w:t>
            </w:r>
          </w:p>
        </w:tc>
        <w:tc>
          <w:tcPr>
            <w:tcW w:type="dxa" w:w="6696"/>
            <w:shd w:val="clear" w:color="auto" w:fill="D6E4F0"/>
          </w:tcPr>
          <w:p>
            <w:pPr>
              <w:spacing w:before="40" w:after="40"/>
            </w:pPr>
            <w:r/>
            <w:r>
              <w:rPr>
                <w:sz w:val="17"/>
              </w:rPr>
              <w:t>The dollar value of the exception — the financial exposure attributable to a single flag row. Used to calculate total and deduped portfolio exposure.</w:t>
            </w:r>
          </w:p>
        </w:tc>
      </w:tr>
      <w:tr>
        <w:tc>
          <w:tcPr>
            <w:tcW w:type="dxa" w:w="2304"/>
          </w:tcPr>
          <w:p>
            <w:pPr>
              <w:spacing w:before="40" w:after="40"/>
            </w:pPr>
            <w:r/>
            <w:r>
              <w:rPr>
                <w:b/>
                <w:sz w:val="17"/>
              </w:rPr>
              <w:t>Deduped Exposure</w:t>
            </w:r>
          </w:p>
        </w:tc>
        <w:tc>
          <w:tcPr>
            <w:tcW w:type="dxa" w:w="6696"/>
          </w:tcPr>
          <w:p>
            <w:pPr>
              <w:spacing w:before="40" w:after="40"/>
            </w:pPr>
            <w:r/>
            <w:r>
              <w:rPr>
                <w:sz w:val="17"/>
              </w:rPr>
              <w:t xml:space="preserve">The conservative exposure figure calculated by taking the maximum </w:t>
            </w:r>
            <w:r>
              <w:rPr>
                <w:rFonts w:ascii="Courier New" w:hAnsi="Courier New"/>
                <w:sz w:val="16"/>
              </w:rPr>
              <w:t>Amount_Impact</w:t>
            </w:r>
            <w:r>
              <w:rPr>
                <w:sz w:val="17"/>
              </w:rPr>
              <w:t xml:space="preserve"> per unit across all engines, preventing double-counting when a unit appears in both John's and Daniel's flags.</w:t>
            </w:r>
          </w:p>
        </w:tc>
      </w:tr>
      <w:tr>
        <w:tc>
          <w:tcPr>
            <w:tcW w:type="dxa" w:w="2304"/>
            <w:shd w:val="clear" w:color="auto" w:fill="D6E4F0"/>
          </w:tcPr>
          <w:p>
            <w:pPr>
              <w:spacing w:before="40" w:after="40"/>
            </w:pPr>
            <w:r/>
            <w:r>
              <w:rPr>
                <w:b/>
                <w:sz w:val="17"/>
              </w:rPr>
              <w:t>RISK_CRITICAL / HIGH / MEDIUM</w:t>
            </w:r>
          </w:p>
        </w:tc>
        <w:tc>
          <w:tcPr>
            <w:tcW w:type="dxa" w:w="6696"/>
            <w:shd w:val="clear" w:color="auto" w:fill="D6E4F0"/>
          </w:tcPr>
          <w:p>
            <w:pPr>
              <w:spacing w:before="40" w:after="40"/>
            </w:pPr>
            <w:r/>
            <w:r>
              <w:rPr>
                <w:sz w:val="17"/>
              </w:rPr>
              <w:t xml:space="preserve">The three risk tiers used to prioritize flags. Assigned per rule via the </w:t>
            </w:r>
            <w:r>
              <w:rPr>
                <w:rFonts w:ascii="Courier New" w:hAnsi="Courier New"/>
                <w:sz w:val="16"/>
              </w:rPr>
              <w:t>RISK_MAP</w:t>
            </w:r>
            <w:r>
              <w:rPr>
                <w:sz w:val="17"/>
              </w:rPr>
              <w:t xml:space="preserve"> constant. CRITICAL = immediate action required; HIGH = investigate within the period; MEDIUM = monitor.</w:t>
            </w:r>
          </w:p>
        </w:tc>
      </w:tr>
      <w:tr>
        <w:tc>
          <w:tcPr>
            <w:tcW w:type="dxa" w:w="2304"/>
          </w:tcPr>
          <w:p>
            <w:pPr>
              <w:spacing w:before="40" w:after="40"/>
            </w:pPr>
            <w:r/>
            <w:r>
              <w:rPr>
                <w:b/>
                <w:sz w:val="17"/>
              </w:rPr>
              <w:t>Proration Guard</w:t>
            </w:r>
          </w:p>
        </w:tc>
        <w:tc>
          <w:tcPr>
            <w:tcW w:type="dxa" w:w="6696"/>
          </w:tcPr>
          <w:p>
            <w:pPr>
              <w:spacing w:before="40" w:after="40"/>
            </w:pPr>
            <w:r/>
            <w:r>
              <w:rPr>
                <w:sz w:val="17"/>
              </w:rPr>
              <w:t>A logical safeguard in Stage 2 that skips the Posted vs Recurring Mismatch check when either the recurring or posted rent is less than 60% of the other, to avoid false positives on move-in or move-out proration periods.</w:t>
            </w:r>
          </w:p>
        </w:tc>
      </w:tr>
      <w:tr>
        <w:tc>
          <w:tcPr>
            <w:tcW w:type="dxa" w:w="2304"/>
            <w:shd w:val="clear" w:color="auto" w:fill="D6E4F0"/>
          </w:tcPr>
          <w:p>
            <w:pPr>
              <w:spacing w:before="40" w:after="40"/>
            </w:pPr>
            <w:r/>
            <w:r>
              <w:rPr>
                <w:b/>
                <w:sz w:val="17"/>
              </w:rPr>
              <w:t>Streamlit</w:t>
            </w:r>
          </w:p>
        </w:tc>
        <w:tc>
          <w:tcPr>
            <w:tcW w:type="dxa" w:w="6696"/>
            <w:shd w:val="clear" w:color="auto" w:fill="D6E4F0"/>
          </w:tcPr>
          <w:p>
            <w:pPr>
              <w:spacing w:before="40" w:after="40"/>
            </w:pPr>
            <w:r/>
            <w:r>
              <w:rPr>
                <w:sz w:val="17"/>
              </w:rPr>
              <w:t>The open-source Python framework (</w:t>
            </w:r>
            <w:r>
              <w:rPr>
                <w:rFonts w:ascii="Courier New" w:hAnsi="Courier New"/>
                <w:sz w:val="16"/>
              </w:rPr>
              <w:t>streamlit</w:t>
            </w:r>
            <w:r>
              <w:rPr>
                <w:sz w:val="17"/>
              </w:rPr>
              <w:t xml:space="preserve">) used to build the interactive audit dashboard. The UI runs locally via </w:t>
            </w:r>
            <w:r>
              <w:rPr>
                <w:rFonts w:ascii="Courier New" w:hAnsi="Courier New"/>
                <w:sz w:val="16"/>
              </w:rPr>
              <w:t>streamlit run app.py</w:t>
            </w:r>
            <w:r>
              <w:rPr>
                <w:sz w:val="17"/>
              </w:rPr>
              <w:t xml:space="preserve"> and communicates with the engine through </w:t>
            </w:r>
            <w:r>
              <w:rPr>
                <w:rFonts w:ascii="Courier New" w:hAnsi="Courier New"/>
                <w:sz w:val="16"/>
              </w:rPr>
              <w:t>st.session_state</w:t>
            </w:r>
            <w:r>
              <w:rPr>
                <w:sz w:val="17"/>
              </w:rPr>
              <w:t>.</w:t>
            </w:r>
          </w:p>
        </w:tc>
      </w:tr>
      <w:tr>
        <w:tc>
          <w:tcPr>
            <w:tcW w:type="dxa" w:w="2304"/>
          </w:tcPr>
          <w:p>
            <w:pPr>
              <w:spacing w:before="40" w:after="40"/>
            </w:pPr>
            <w:r/>
            <w:r>
              <w:rPr>
                <w:b/>
                <w:sz w:val="17"/>
              </w:rPr>
              <w:t>openpyxl</w:t>
            </w:r>
          </w:p>
        </w:tc>
        <w:tc>
          <w:tcPr>
            <w:tcW w:type="dxa" w:w="6696"/>
          </w:tcPr>
          <w:p>
            <w:pPr>
              <w:spacing w:before="40" w:after="40"/>
            </w:pPr>
            <w:r/>
            <w:r>
              <w:rPr>
                <w:sz w:val="17"/>
              </w:rPr>
              <w:t>The Python library used to write and format the Excel output workbook, including conditional fill colors for risk levels.</w:t>
            </w:r>
          </w:p>
        </w:tc>
      </w:tr>
      <w:tr>
        <w:tc>
          <w:tcPr>
            <w:tcW w:type="dxa" w:w="2304"/>
            <w:shd w:val="clear" w:color="auto" w:fill="D6E4F0"/>
          </w:tcPr>
          <w:p>
            <w:pPr>
              <w:spacing w:before="40" w:after="40"/>
            </w:pPr>
            <w:r/>
            <w:r>
              <w:rPr>
                <w:b/>
                <w:sz w:val="17"/>
              </w:rPr>
              <w:t>derive_property()</w:t>
            </w:r>
          </w:p>
        </w:tc>
        <w:tc>
          <w:tcPr>
            <w:tcW w:type="dxa" w:w="6696"/>
            <w:shd w:val="clear" w:color="auto" w:fill="D6E4F0"/>
          </w:tcPr>
          <w:p>
            <w:pPr>
              <w:spacing w:before="40" w:after="40"/>
            </w:pPr>
            <w:r/>
            <w:r>
              <w:rPr>
                <w:sz w:val="17"/>
              </w:rPr>
              <w:t>A helper function that maps any ResMan export filename (by short code: CAI, HP, POT, etc., or by keyword) to the full canonical property name used throughout the system.</w:t>
            </w:r>
          </w:p>
        </w:tc>
      </w:tr>
      <w:tr>
        <w:tc>
          <w:tcPr>
            <w:tcW w:type="dxa" w:w="2304"/>
          </w:tcPr>
          <w:p>
            <w:pPr>
              <w:spacing w:before="40" w:after="40"/>
            </w:pPr>
            <w:r/>
            <w:r>
              <w:rPr>
                <w:b/>
                <w:sz w:val="17"/>
              </w:rPr>
              <w:t>make_flag()</w:t>
            </w:r>
          </w:p>
        </w:tc>
        <w:tc>
          <w:tcPr>
            <w:tcW w:type="dxa" w:w="6696"/>
          </w:tcPr>
          <w:p>
            <w:pPr>
              <w:spacing w:before="40" w:after="40"/>
            </w:pPr>
            <w:r/>
            <w:r>
              <w:rPr>
                <w:sz w:val="17"/>
              </w:rPr>
              <w:t>The standardized factory function that builds every exception record with a fixed schema: Property, Unit, Resident, Rule, Risk_Level, Detail, Amount_Impact, Source_File.</w:t>
            </w:r>
          </w:p>
        </w:tc>
      </w:tr>
    </w:tbl>
    <w:p/>
    <w:p>
      <w:pPr>
        <w:pStyle w:val="Heading1"/>
        <w:pageBreakBefore w:val="1"/>
      </w:pPr>
      <w:r>
        <w:rPr>
          <w:color w:val="1F4E79"/>
        </w:rPr>
        <w:t>4. Actors</w:t>
      </w:r>
    </w:p>
    <w:p>
      <w:pPr>
        <w:pStyle w:val="Heading2"/>
      </w:pPr>
      <w:r>
        <w:rPr>
          <w:color w:val="2E74B5"/>
        </w:rPr>
        <w:t>4.1 Human Actors</w:t>
      </w:r>
    </w:p>
    <w:tbl>
      <w:tblPr>
        <w:tblStyle w:val="TableGrid"/>
        <w:tblW w:type="auto" w:w="0"/>
        <w:tblLook w:firstColumn="1" w:firstRow="1" w:lastColumn="0" w:lastRow="0" w:noHBand="0" w:noVBand="1" w:val="04A0"/>
      </w:tblPr>
      <w:tblGrid>
        <w:gridCol w:w="3000"/>
        <w:gridCol w:w="3000"/>
        <w:gridCol w:w="3000"/>
      </w:tblGrid>
      <w:tr>
        <w:tc>
          <w:tcPr>
            <w:tcW w:type="dxa" w:w="2160"/>
            <w:shd w:val="clear" w:color="auto" w:fill="1F4E79"/>
          </w:tcPr>
          <w:p>
            <w:pPr>
              <w:spacing w:before="60" w:after="60"/>
              <w:jc w:val="center"/>
            </w:pPr>
            <w:r/>
            <w:r>
              <w:rPr>
                <w:b/>
                <w:color w:val="FFFFFF"/>
                <w:sz w:val="18"/>
              </w:rPr>
              <w:t>Actor</w:t>
            </w:r>
          </w:p>
        </w:tc>
        <w:tc>
          <w:tcPr>
            <w:tcW w:type="dxa" w:w="3024"/>
            <w:shd w:val="clear" w:color="auto" w:fill="1F4E79"/>
          </w:tcPr>
          <w:p>
            <w:pPr>
              <w:spacing w:before="60" w:after="60"/>
              <w:jc w:val="center"/>
            </w:pPr>
            <w:r/>
            <w:r>
              <w:rPr>
                <w:b/>
                <w:color w:val="FFFFFF"/>
                <w:sz w:val="18"/>
              </w:rPr>
              <w:t>Role</w:t>
            </w:r>
          </w:p>
        </w:tc>
        <w:tc>
          <w:tcPr>
            <w:tcW w:type="dxa" w:w="3816"/>
            <w:shd w:val="clear" w:color="auto" w:fill="1F4E79"/>
          </w:tcPr>
          <w:p>
            <w:pPr>
              <w:spacing w:before="60" w:after="60"/>
              <w:jc w:val="center"/>
            </w:pPr>
            <w:r/>
            <w:r>
              <w:rPr>
                <w:b/>
                <w:color w:val="FFFFFF"/>
                <w:sz w:val="18"/>
              </w:rPr>
              <w:t>Interaction with the System</w:t>
            </w:r>
          </w:p>
        </w:tc>
      </w:tr>
      <w:tr>
        <w:tc>
          <w:tcPr>
            <w:tcW w:type="dxa" w:w="2160"/>
          </w:tcPr>
          <w:p>
            <w:pPr>
              <w:spacing w:before="40" w:after="40"/>
            </w:pPr>
            <w:r/>
            <w:r>
              <w:rPr>
                <w:b/>
                <w:sz w:val="17"/>
              </w:rPr>
              <w:t>Property Accountant</w:t>
            </w:r>
          </w:p>
        </w:tc>
        <w:tc>
          <w:tcPr>
            <w:tcW w:type="dxa" w:w="3024"/>
          </w:tcPr>
          <w:p>
            <w:pPr>
              <w:spacing w:before="40" w:after="40"/>
            </w:pPr>
            <w:r/>
            <w:r>
              <w:rPr>
                <w:sz w:val="17"/>
              </w:rPr>
              <w:t>Primary operator of the audit tool. Responsible for exporting CSV files from ResMan each month and running the bot.</w:t>
            </w:r>
          </w:p>
        </w:tc>
        <w:tc>
          <w:tcPr>
            <w:tcW w:type="dxa" w:w="3816"/>
          </w:tcPr>
          <w:p>
            <w:pPr>
              <w:spacing w:before="40" w:after="40"/>
            </w:pPr>
            <w:r/>
            <w:r>
              <w:rPr>
                <w:sz w:val="17"/>
              </w:rPr>
              <w:t xml:space="preserve">Exports 7 report types × 7 properties = up to 49 CSV files from ResMan; copies them into the correct </w:t>
            </w:r>
            <w:r>
              <w:rPr>
                <w:rFonts w:ascii="Courier New" w:hAnsi="Courier New"/>
                <w:sz w:val="16"/>
              </w:rPr>
              <w:t>data/</w:t>
            </w:r>
            <w:r>
              <w:rPr>
                <w:sz w:val="17"/>
              </w:rPr>
              <w:t xml:space="preserve"> subfolders; clicks </w:t>
            </w:r>
            <w:r>
              <w:rPr>
                <w:b/>
                <w:sz w:val="17"/>
              </w:rPr>
              <w:t>Run Full Forensic Audit</w:t>
            </w:r>
            <w:r>
              <w:rPr>
                <w:sz w:val="17"/>
              </w:rPr>
              <w:t xml:space="preserve"> in the Streamlit sidebar; reviews the flag tables and Excel output to identify units requiring follow-up.</w:t>
            </w:r>
          </w:p>
        </w:tc>
      </w:tr>
      <w:tr>
        <w:tc>
          <w:tcPr>
            <w:tcW w:type="dxa" w:w="2160"/>
            <w:shd w:val="clear" w:color="auto" w:fill="D6E4F0"/>
          </w:tcPr>
          <w:p>
            <w:pPr>
              <w:spacing w:before="40" w:after="40"/>
            </w:pPr>
            <w:r/>
            <w:r>
              <w:rPr>
                <w:b/>
                <w:sz w:val="17"/>
              </w:rPr>
              <w:t>Regional Manager / Daniel Twito</w:t>
            </w:r>
          </w:p>
        </w:tc>
        <w:tc>
          <w:tcPr>
            <w:tcW w:type="dxa" w:w="3024"/>
            <w:shd w:val="clear" w:color="auto" w:fill="D6E4F0"/>
          </w:tcPr>
          <w:p>
            <w:pPr>
              <w:spacing w:before="40" w:after="40"/>
            </w:pPr>
            <w:r/>
            <w:r>
              <w:rPr>
                <w:sz w:val="17"/>
              </w:rPr>
              <w:t>Audit rules owner and financial decision-maker. Defines acceptable NER floors, fee schedule amounts, and approved concession codes.</w:t>
            </w:r>
          </w:p>
        </w:tc>
        <w:tc>
          <w:tcPr>
            <w:tcW w:type="dxa" w:w="3816"/>
            <w:shd w:val="clear" w:color="auto" w:fill="D6E4F0"/>
          </w:tcPr>
          <w:p>
            <w:pPr>
              <w:spacing w:before="40" w:after="40"/>
            </w:pPr>
            <w:r/>
            <w:r>
              <w:rPr>
                <w:sz w:val="17"/>
              </w:rPr>
              <w:t>Reviews the Executive Summary KPIs and the Revenue Integrity (Daniel's Engine) tab; receives the Excel workbook; validates CRITICAL and HIGH flags; approves or disputes findings; provides updated fee schedules and NER floor parameters to the developer when policy changes.</w:t>
            </w:r>
          </w:p>
        </w:tc>
      </w:tr>
      <w:tr>
        <w:tc>
          <w:tcPr>
            <w:tcW w:type="dxa" w:w="2160"/>
          </w:tcPr>
          <w:p>
            <w:pPr>
              <w:spacing w:before="40" w:after="40"/>
            </w:pPr>
            <w:r/>
            <w:r>
              <w:rPr>
                <w:b/>
                <w:sz w:val="17"/>
              </w:rPr>
              <w:t>Property Manager / Leasing Agent</w:t>
            </w:r>
          </w:p>
        </w:tc>
        <w:tc>
          <w:tcPr>
            <w:tcW w:type="dxa" w:w="3024"/>
          </w:tcPr>
          <w:p>
            <w:pPr>
              <w:spacing w:before="40" w:after="40"/>
            </w:pPr>
            <w:r/>
            <w:r>
              <w:rPr>
                <w:sz w:val="17"/>
              </w:rPr>
              <w:t>On-site staff whose postings are audited. Named in the Manager Override tab by their ResMan login.</w:t>
            </w:r>
          </w:p>
        </w:tc>
        <w:tc>
          <w:tcPr>
            <w:tcW w:type="dxa" w:w="3816"/>
          </w:tcPr>
          <w:p>
            <w:pPr>
              <w:spacing w:before="40" w:after="40"/>
            </w:pPr>
            <w:r/>
            <w:r>
              <w:rPr>
                <w:sz w:val="17"/>
              </w:rPr>
              <w:t>Does not directly use the bot. Their ResMan activity (transaction edits, lease setups, concession postings) is the data source. Findings are communicated back to them by the Regional Manager or Accountant.</w:t>
            </w:r>
          </w:p>
        </w:tc>
      </w:tr>
      <w:tr>
        <w:tc>
          <w:tcPr>
            <w:tcW w:type="dxa" w:w="2160"/>
            <w:shd w:val="clear" w:color="auto" w:fill="D6E4F0"/>
          </w:tcPr>
          <w:p>
            <w:pPr>
              <w:spacing w:before="40" w:after="40"/>
            </w:pPr>
            <w:r/>
            <w:r>
              <w:rPr>
                <w:b/>
                <w:sz w:val="17"/>
              </w:rPr>
              <w:t>Portfolio Leadership</w:t>
            </w:r>
          </w:p>
        </w:tc>
        <w:tc>
          <w:tcPr>
            <w:tcW w:type="dxa" w:w="3024"/>
            <w:shd w:val="clear" w:color="auto" w:fill="D6E4F0"/>
          </w:tcPr>
          <w:p>
            <w:pPr>
              <w:spacing w:before="40" w:after="40"/>
            </w:pPr>
            <w:r/>
            <w:r>
              <w:rPr>
                <w:sz w:val="17"/>
              </w:rPr>
              <w:t>Executive audience for the Risk Matrix and Executive Summary.</w:t>
            </w:r>
          </w:p>
        </w:tc>
        <w:tc>
          <w:tcPr>
            <w:tcW w:type="dxa" w:w="3816"/>
            <w:shd w:val="clear" w:color="auto" w:fill="D6E4F0"/>
          </w:tcPr>
          <w:p>
            <w:pPr>
              <w:spacing w:before="40" w:after="40"/>
            </w:pPr>
            <w:r/>
            <w:r>
              <w:rPr>
                <w:sz w:val="17"/>
              </w:rPr>
              <w:t>Receives the Streamlit dashboard link or shared Excel file for a high-level view of portfolio exposure, CRITICAL flag counts, and manager override rankings. Does not interact with the bot directly.</w:t>
            </w:r>
          </w:p>
        </w:tc>
      </w:tr>
      <w:tr>
        <w:tc>
          <w:tcPr>
            <w:tcW w:type="dxa" w:w="2160"/>
          </w:tcPr>
          <w:p>
            <w:pPr>
              <w:spacing w:before="40" w:after="40"/>
            </w:pPr>
            <w:r/>
            <w:r>
              <w:rPr>
                <w:b/>
                <w:sz w:val="17"/>
              </w:rPr>
              <w:t>Developer / System Owner</w:t>
            </w:r>
          </w:p>
        </w:tc>
        <w:tc>
          <w:tcPr>
            <w:tcW w:type="dxa" w:w="3024"/>
          </w:tcPr>
          <w:p>
            <w:pPr>
              <w:spacing w:before="40" w:after="40"/>
            </w:pPr>
            <w:r/>
            <w:r>
              <w:rPr>
                <w:sz w:val="17"/>
              </w:rPr>
              <w:t xml:space="preserve">Maintains </w:t>
            </w:r>
            <w:r>
              <w:rPr>
                <w:rFonts w:ascii="Courier New" w:hAnsi="Courier New"/>
                <w:sz w:val="16"/>
              </w:rPr>
              <w:t>audit_bot.py</w:t>
            </w:r>
            <w:r>
              <w:rPr>
                <w:sz w:val="17"/>
              </w:rPr>
              <w:t xml:space="preserve"> and </w:t>
            </w:r>
            <w:r>
              <w:rPr>
                <w:rFonts w:ascii="Courier New" w:hAnsi="Courier New"/>
                <w:sz w:val="16"/>
              </w:rPr>
              <w:t>app.py</w:t>
            </w:r>
            <w:r>
              <w:rPr>
                <w:sz w:val="17"/>
              </w:rPr>
              <w:t>.</w:t>
            </w:r>
          </w:p>
        </w:tc>
        <w:tc>
          <w:tcPr>
            <w:tcW w:type="dxa" w:w="3816"/>
          </w:tcPr>
          <w:p>
            <w:pPr>
              <w:spacing w:before="40" w:after="40"/>
            </w:pPr>
            <w:r/>
            <w:r>
              <w:rPr>
                <w:sz w:val="17"/>
              </w:rPr>
              <w:t xml:space="preserve">Updates </w:t>
            </w:r>
            <w:r>
              <w:rPr>
                <w:rFonts w:ascii="Courier New" w:hAnsi="Courier New"/>
                <w:sz w:val="16"/>
              </w:rPr>
              <w:t>AUDIT_MONTH</w:t>
            </w:r>
            <w:r>
              <w:rPr>
                <w:sz w:val="17"/>
              </w:rPr>
              <w:t xml:space="preserve">, </w:t>
            </w:r>
            <w:r>
              <w:rPr>
                <w:rFonts w:ascii="Courier New" w:hAnsi="Courier New"/>
                <w:sz w:val="16"/>
              </w:rPr>
              <w:t>PROPERTY_FEE_SCHEDULE</w:t>
            </w:r>
            <w:r>
              <w:rPr>
                <w:sz w:val="17"/>
              </w:rPr>
              <w:t xml:space="preserve">, </w:t>
            </w:r>
            <w:r>
              <w:rPr>
                <w:rFonts w:ascii="Courier New" w:hAnsi="Courier New"/>
                <w:sz w:val="16"/>
              </w:rPr>
              <w:t>PROPERTY_NER_FLOORS</w:t>
            </w:r>
            <w:r>
              <w:rPr>
                <w:sz w:val="17"/>
              </w:rPr>
              <w:t xml:space="preserve">, and </w:t>
            </w:r>
            <w:r>
              <w:rPr>
                <w:rFonts w:ascii="Courier New" w:hAnsi="Courier New"/>
                <w:sz w:val="16"/>
              </w:rPr>
              <w:t>PROPERTY_NER_DISCOUNT</w:t>
            </w:r>
            <w:r>
              <w:rPr>
                <w:sz w:val="17"/>
              </w:rPr>
              <w:t xml:space="preserve"> constants each audit cycle. Applies bug fixes to parsing logic when ResMan export formats change.</w:t>
            </w:r>
          </w:p>
        </w:tc>
      </w:tr>
    </w:tbl>
    <w:p/>
    <w:p>
      <w:pPr>
        <w:pStyle w:val="Heading2"/>
      </w:pPr>
      <w:r>
        <w:rPr>
          <w:color w:val="2E74B5"/>
        </w:rPr>
        <w:t>4.2 System Actors</w:t>
      </w:r>
    </w:p>
    <w:tbl>
      <w:tblPr>
        <w:tblStyle w:val="TableGrid"/>
        <w:tblW w:type="auto" w:w="0"/>
        <w:tblLook w:firstColumn="1" w:firstRow="1" w:lastColumn="0" w:lastRow="0" w:noHBand="0" w:noVBand="1" w:val="04A0"/>
      </w:tblPr>
      <w:tblGrid>
        <w:gridCol w:w="3000"/>
        <w:gridCol w:w="3000"/>
        <w:gridCol w:w="3000"/>
      </w:tblGrid>
      <w:tr>
        <w:tc>
          <w:tcPr>
            <w:tcW w:type="dxa" w:w="2160"/>
            <w:shd w:val="clear" w:color="auto" w:fill="1F4E79"/>
          </w:tcPr>
          <w:p>
            <w:pPr>
              <w:spacing w:before="60" w:after="60"/>
              <w:jc w:val="center"/>
            </w:pPr>
            <w:r/>
            <w:r>
              <w:rPr>
                <w:b/>
                <w:color w:val="FFFFFF"/>
                <w:sz w:val="18"/>
              </w:rPr>
              <w:t>System Actor</w:t>
            </w:r>
          </w:p>
        </w:tc>
        <w:tc>
          <w:tcPr>
            <w:tcW w:type="dxa" w:w="3024"/>
            <w:shd w:val="clear" w:color="auto" w:fill="1F4E79"/>
          </w:tcPr>
          <w:p>
            <w:pPr>
              <w:spacing w:before="60" w:after="60"/>
              <w:jc w:val="center"/>
            </w:pPr>
            <w:r/>
            <w:r>
              <w:rPr>
                <w:b/>
                <w:color w:val="FFFFFF"/>
                <w:sz w:val="18"/>
              </w:rPr>
              <w:t>Component</w:t>
            </w:r>
          </w:p>
        </w:tc>
        <w:tc>
          <w:tcPr>
            <w:tcW w:type="dxa" w:w="3816"/>
            <w:shd w:val="clear" w:color="auto" w:fill="1F4E79"/>
          </w:tcPr>
          <w:p>
            <w:pPr>
              <w:spacing w:before="60" w:after="60"/>
              <w:jc w:val="center"/>
            </w:pPr>
            <w:r/>
            <w:r>
              <w:rPr>
                <w:b/>
                <w:color w:val="FFFFFF"/>
                <w:sz w:val="18"/>
              </w:rPr>
              <w:t>Responsibility</w:t>
            </w:r>
          </w:p>
        </w:tc>
      </w:tr>
      <w:tr>
        <w:tc>
          <w:tcPr>
            <w:tcW w:type="dxa" w:w="2160"/>
          </w:tcPr>
          <w:p>
            <w:pPr>
              <w:spacing w:before="40" w:after="40"/>
            </w:pPr>
            <w:r/>
            <w:r>
              <w:rPr>
                <w:b/>
                <w:sz w:val="17"/>
              </w:rPr>
              <w:t>CSV Ingestion Layer</w:t>
            </w:r>
          </w:p>
        </w:tc>
        <w:tc>
          <w:tcPr>
            <w:tcW w:type="dxa" w:w="3024"/>
          </w:tcPr>
          <w:p>
            <w:pPr>
              <w:spacing w:before="40" w:after="40"/>
            </w:pPr>
            <w:r/>
            <w:r>
              <w:rPr>
                <w:rFonts w:ascii="Courier New" w:hAnsi="Courier New"/>
                <w:sz w:val="16"/>
              </w:rPr>
              <w:t>load_transaction_list()</w:t>
            </w:r>
            <w:r>
              <w:rPr>
                <w:sz w:val="17"/>
              </w:rPr>
              <w:t xml:space="preserve">, </w:t>
            </w:r>
            <w:r>
              <w:rPr>
                <w:rFonts w:ascii="Courier New" w:hAnsi="Courier New"/>
                <w:sz w:val="16"/>
              </w:rPr>
              <w:t>load_leases()</w:t>
            </w:r>
            <w:r>
              <w:rPr>
                <w:sz w:val="17"/>
              </w:rPr>
              <w:t xml:space="preserve">, </w:t>
            </w:r>
            <w:r>
              <w:rPr>
                <w:rFonts w:ascii="Courier New" w:hAnsi="Courier New"/>
                <w:sz w:val="16"/>
              </w:rPr>
              <w:t>load_edits()</w:t>
            </w:r>
            <w:r>
              <w:rPr>
                <w:sz w:val="17"/>
              </w:rPr>
              <w:t xml:space="preserve">, </w:t>
            </w:r>
            <w:r>
              <w:rPr>
                <w:rFonts w:ascii="Courier New" w:hAnsi="Courier New"/>
                <w:sz w:val="16"/>
              </w:rPr>
              <w:t>load_transaction_projection()</w:t>
            </w:r>
            <w:r>
              <w:rPr>
                <w:sz w:val="17"/>
              </w:rPr>
              <w:t xml:space="preserve">, </w:t>
            </w:r>
            <w:r>
              <w:rPr>
                <w:rFonts w:ascii="Courier New" w:hAnsi="Courier New"/>
                <w:sz w:val="16"/>
              </w:rPr>
              <w:t>load_rent_roll()</w:t>
            </w:r>
            <w:r>
              <w:rPr>
                <w:sz w:val="17"/>
              </w:rPr>
              <w:t xml:space="preserve">, </w:t>
            </w:r>
            <w:r>
              <w:rPr>
                <w:rFonts w:ascii="Courier New" w:hAnsi="Courier New"/>
                <w:sz w:val="16"/>
              </w:rPr>
              <w:t>load_resident_activity()</w:t>
            </w:r>
            <w:r>
              <w:rPr>
                <w:sz w:val="17"/>
              </w:rPr>
              <w:t xml:space="preserve">, </w:t>
            </w:r>
            <w:r>
              <w:rPr>
                <w:rFonts w:ascii="Courier New" w:hAnsi="Courier New"/>
                <w:sz w:val="16"/>
              </w:rPr>
              <w:t>load_market_rent_schedule()</w:t>
            </w:r>
          </w:p>
        </w:tc>
        <w:tc>
          <w:tcPr>
            <w:tcW w:type="dxa" w:w="3816"/>
          </w:tcPr>
          <w:p>
            <w:pPr>
              <w:spacing w:before="40" w:after="40"/>
            </w:pPr>
            <w:r/>
            <w:r>
              <w:rPr>
                <w:sz w:val="17"/>
              </w:rPr>
              <w:t>Reads, cleans, and normalizes each ResMan export format. Handles multi-encoding fallback (UTF-8-sig → CP1252 → Latin-1), section-header forward-fill, and unit/currency normalization. Outputs typed pandas DataFrames.</w:t>
            </w:r>
          </w:p>
        </w:tc>
      </w:tr>
      <w:tr>
        <w:tc>
          <w:tcPr>
            <w:tcW w:type="dxa" w:w="2160"/>
            <w:shd w:val="clear" w:color="auto" w:fill="D6E4F0"/>
          </w:tcPr>
          <w:p>
            <w:pPr>
              <w:spacing w:before="40" w:after="40"/>
            </w:pPr>
            <w:r/>
            <w:r>
              <w:rPr>
                <w:b/>
                <w:sz w:val="17"/>
              </w:rPr>
              <w:t>John's Audit Engine</w:t>
            </w:r>
          </w:p>
        </w:tc>
        <w:tc>
          <w:tcPr>
            <w:tcW w:type="dxa" w:w="3024"/>
            <w:shd w:val="clear" w:color="auto" w:fill="D6E4F0"/>
          </w:tcPr>
          <w:p>
            <w:pPr>
              <w:spacing w:before="40" w:after="40"/>
            </w:pPr>
            <w:r/>
            <w:r>
              <w:rPr>
                <w:rFonts w:ascii="Courier New" w:hAnsi="Courier New"/>
                <w:sz w:val="16"/>
              </w:rPr>
              <w:t>run_johns_engine()</w:t>
            </w:r>
            <w:r>
              <w:rPr>
                <w:sz w:val="17"/>
              </w:rPr>
              <w:t xml:space="preserve"> in </w:t>
            </w:r>
            <w:r>
              <w:rPr>
                <w:rFonts w:ascii="Courier New" w:hAnsi="Courier New"/>
                <w:sz w:val="16"/>
              </w:rPr>
              <w:t>audit_bot.py</w:t>
            </w:r>
          </w:p>
        </w:tc>
        <w:tc>
          <w:tcPr>
            <w:tcW w:type="dxa" w:w="3816"/>
            <w:shd w:val="clear" w:color="auto" w:fill="D6E4F0"/>
          </w:tcPr>
          <w:p>
            <w:pPr>
              <w:spacing w:before="40" w:after="40"/>
            </w:pPr>
            <w:r/>
            <w:r>
              <w:rPr>
                <w:sz w:val="17"/>
              </w:rPr>
              <w:t>Applies R1–R7 concession rules using cross-referenced lookups across the Transaction List, Rent Roll, and Leases. Returns a DataFrame of standardized flag records.</w:t>
            </w:r>
          </w:p>
        </w:tc>
      </w:tr>
      <w:tr>
        <w:tc>
          <w:tcPr>
            <w:tcW w:type="dxa" w:w="2160"/>
          </w:tcPr>
          <w:p>
            <w:pPr>
              <w:spacing w:before="40" w:after="40"/>
            </w:pPr>
            <w:r/>
            <w:r>
              <w:rPr>
                <w:b/>
                <w:sz w:val="17"/>
              </w:rPr>
              <w:t>Daniel's Audit Engine</w:t>
            </w:r>
          </w:p>
        </w:tc>
        <w:tc>
          <w:tcPr>
            <w:tcW w:type="dxa" w:w="3024"/>
          </w:tcPr>
          <w:p>
            <w:pPr>
              <w:spacing w:before="40" w:after="40"/>
            </w:pPr>
            <w:r/>
            <w:r>
              <w:rPr>
                <w:rFonts w:ascii="Courier New" w:hAnsi="Courier New"/>
                <w:sz w:val="16"/>
              </w:rPr>
              <w:t>run_daniels_engine()</w:t>
            </w:r>
            <w:r>
              <w:rPr>
                <w:sz w:val="17"/>
              </w:rPr>
              <w:t xml:space="preserve"> in </w:t>
            </w:r>
            <w:r>
              <w:rPr>
                <w:rFonts w:ascii="Courier New" w:hAnsi="Courier New"/>
                <w:sz w:val="16"/>
              </w:rPr>
              <w:t>audit_bot.py</w:t>
            </w:r>
          </w:p>
        </w:tc>
        <w:tc>
          <w:tcPr>
            <w:tcW w:type="dxa" w:w="3816"/>
          </w:tcPr>
          <w:p>
            <w:pPr>
              <w:spacing w:before="40" w:after="40"/>
            </w:pPr>
            <w:r/>
            <w:r>
              <w:rPr>
                <w:sz w:val="17"/>
              </w:rPr>
              <w:t>Applies Stage 1 (Recurring Projection), Stage 1B (NER), and Stage 2 (Rent Roll) revenue integrity rules. Accepts the full multi-month projection for NER calculations and the Market Rent Schedule lookup for dynamic floor computation. Returns a DataFrame of standardized flag records.</w:t>
            </w:r>
          </w:p>
        </w:tc>
      </w:tr>
      <w:tr>
        <w:tc>
          <w:tcPr>
            <w:tcW w:type="dxa" w:w="2160"/>
            <w:shd w:val="clear" w:color="auto" w:fill="D6E4F0"/>
          </w:tcPr>
          <w:p>
            <w:pPr>
              <w:spacing w:before="40" w:after="40"/>
            </w:pPr>
            <w:r/>
            <w:r>
              <w:rPr>
                <w:b/>
                <w:sz w:val="17"/>
              </w:rPr>
              <w:t>Fee Schedule Engine</w:t>
            </w:r>
          </w:p>
        </w:tc>
        <w:tc>
          <w:tcPr>
            <w:tcW w:type="dxa" w:w="3024"/>
            <w:shd w:val="clear" w:color="auto" w:fill="D6E4F0"/>
          </w:tcPr>
          <w:p>
            <w:pPr>
              <w:spacing w:before="40" w:after="40"/>
            </w:pPr>
            <w:r/>
            <w:r>
              <w:rPr>
                <w:rFonts w:ascii="Courier New" w:hAnsi="Courier New"/>
                <w:sz w:val="16"/>
              </w:rPr>
              <w:t>run_fee_schedule_check()</w:t>
            </w:r>
            <w:r>
              <w:rPr>
                <w:sz w:val="17"/>
              </w:rPr>
              <w:t xml:space="preserve"> in </w:t>
            </w:r>
            <w:r>
              <w:rPr>
                <w:rFonts w:ascii="Courier New" w:hAnsi="Courier New"/>
                <w:sz w:val="16"/>
              </w:rPr>
              <w:t>audit_bot.py</w:t>
            </w:r>
          </w:p>
        </w:tc>
        <w:tc>
          <w:tcPr>
            <w:tcW w:type="dxa" w:w="3816"/>
            <w:shd w:val="clear" w:color="auto" w:fill="D6E4F0"/>
          </w:tcPr>
          <w:p>
            <w:pPr>
              <w:spacing w:before="40" w:after="40"/>
            </w:pPr>
            <w:r/>
            <w:r>
              <w:rPr>
                <w:sz w:val="17"/>
              </w:rPr>
              <w:t xml:space="preserve">Compares every recurring charge amount in the Transaction Projection against the hardcoded </w:t>
            </w:r>
            <w:r>
              <w:rPr>
                <w:rFonts w:ascii="Courier New" w:hAnsi="Courier New"/>
                <w:sz w:val="16"/>
              </w:rPr>
              <w:t>PROPERTY_FEE_SCHEDULE</w:t>
            </w:r>
            <w:r>
              <w:rPr>
                <w:sz w:val="17"/>
              </w:rPr>
              <w:t xml:space="preserve"> for 6 of the 7 properties. Returns violation flag records.</w:t>
            </w:r>
          </w:p>
        </w:tc>
      </w:tr>
      <w:tr>
        <w:tc>
          <w:tcPr>
            <w:tcW w:type="dxa" w:w="2160"/>
          </w:tcPr>
          <w:p>
            <w:pPr>
              <w:spacing w:before="40" w:after="40"/>
            </w:pPr>
            <w:r/>
            <w:r>
              <w:rPr>
                <w:b/>
                <w:sz w:val="17"/>
              </w:rPr>
              <w:t>Manager Override Engine</w:t>
            </w:r>
          </w:p>
        </w:tc>
        <w:tc>
          <w:tcPr>
            <w:tcW w:type="dxa" w:w="3024"/>
          </w:tcPr>
          <w:p>
            <w:pPr>
              <w:spacing w:before="40" w:after="40"/>
            </w:pPr>
            <w:r/>
            <w:r>
              <w:rPr>
                <w:rFonts w:ascii="Courier New" w:hAnsi="Courier New"/>
                <w:sz w:val="16"/>
              </w:rPr>
              <w:t>run_manager_override_audit()</w:t>
            </w:r>
            <w:r>
              <w:rPr>
                <w:sz w:val="17"/>
              </w:rPr>
              <w:t xml:space="preserve"> in </w:t>
            </w:r>
            <w:r>
              <w:rPr>
                <w:rFonts w:ascii="Courier New" w:hAnsi="Courier New"/>
                <w:sz w:val="16"/>
              </w:rPr>
              <w:t>audit_bot.py</w:t>
            </w:r>
          </w:p>
        </w:tc>
        <w:tc>
          <w:tcPr>
            <w:tcW w:type="dxa" w:w="3816"/>
          </w:tcPr>
          <w:p>
            <w:pPr>
              <w:spacing w:before="40" w:after="40"/>
            </w:pPr>
            <w:r/>
            <w:r>
              <w:rPr>
                <w:sz w:val="17"/>
              </w:rPr>
              <w:t>Parses the Edited Transactions by User export to identify reversals and amount changes. Computes per-manager revenue impact and rank ordering.</w:t>
            </w:r>
          </w:p>
        </w:tc>
      </w:tr>
      <w:tr>
        <w:tc>
          <w:tcPr>
            <w:tcW w:type="dxa" w:w="2160"/>
            <w:shd w:val="clear" w:color="auto" w:fill="D6E4F0"/>
          </w:tcPr>
          <w:p>
            <w:pPr>
              <w:spacing w:before="40" w:after="40"/>
            </w:pPr>
            <w:r/>
            <w:r>
              <w:rPr>
                <w:b/>
                <w:sz w:val="17"/>
              </w:rPr>
              <w:t>Exposure Calculator</w:t>
            </w:r>
          </w:p>
        </w:tc>
        <w:tc>
          <w:tcPr>
            <w:tcW w:type="dxa" w:w="3024"/>
            <w:shd w:val="clear" w:color="auto" w:fill="D6E4F0"/>
          </w:tcPr>
          <w:p>
            <w:pPr>
              <w:spacing w:before="40" w:after="40"/>
            </w:pPr>
            <w:r/>
            <w:r>
              <w:rPr>
                <w:rFonts w:ascii="Courier New" w:hAnsi="Courier New"/>
                <w:sz w:val="16"/>
              </w:rPr>
              <w:t>calculate_exposure()</w:t>
            </w:r>
            <w:r>
              <w:rPr>
                <w:sz w:val="17"/>
              </w:rPr>
              <w:t xml:space="preserve"> in </w:t>
            </w:r>
            <w:r>
              <w:rPr>
                <w:rFonts w:ascii="Courier New" w:hAnsi="Courier New"/>
                <w:sz w:val="16"/>
              </w:rPr>
              <w:t>audit_bot.py</w:t>
            </w:r>
          </w:p>
        </w:tc>
        <w:tc>
          <w:tcPr>
            <w:tcW w:type="dxa" w:w="3816"/>
            <w:shd w:val="clear" w:color="auto" w:fill="D6E4F0"/>
          </w:tcPr>
          <w:p>
            <w:pPr>
              <w:spacing w:before="40" w:after="40"/>
            </w:pPr>
            <w:r/>
            <w:r>
              <w:rPr>
                <w:sz w:val="17"/>
              </w:rPr>
              <w:t>Aggregates all flag DataFrames into portfolio-level, property-level, rule-level, and risk-level exposure summaries. Computes deduped exposure (max impact per unit) alongside the raw sum.</w:t>
            </w:r>
          </w:p>
        </w:tc>
      </w:tr>
      <w:tr>
        <w:tc>
          <w:tcPr>
            <w:tcW w:type="dxa" w:w="2160"/>
          </w:tcPr>
          <w:p>
            <w:pPr>
              <w:spacing w:before="40" w:after="40"/>
            </w:pPr>
            <w:r/>
            <w:r>
              <w:rPr>
                <w:b/>
                <w:sz w:val="17"/>
              </w:rPr>
              <w:t>Excel Exporter</w:t>
            </w:r>
          </w:p>
        </w:tc>
        <w:tc>
          <w:tcPr>
            <w:tcW w:type="dxa" w:w="3024"/>
          </w:tcPr>
          <w:p>
            <w:pPr>
              <w:spacing w:before="40" w:after="40"/>
            </w:pPr>
            <w:r/>
            <w:r>
              <w:rPr>
                <w:rFonts w:ascii="Courier New" w:hAnsi="Courier New"/>
                <w:sz w:val="16"/>
              </w:rPr>
              <w:t>export_to_excel()</w:t>
            </w:r>
            <w:r>
              <w:rPr>
                <w:sz w:val="17"/>
              </w:rPr>
              <w:t xml:space="preserve"> in </w:t>
            </w:r>
            <w:r>
              <w:rPr>
                <w:rFonts w:ascii="Courier New" w:hAnsi="Courier New"/>
                <w:sz w:val="16"/>
              </w:rPr>
              <w:t>audit_bot.py</w:t>
            </w:r>
          </w:p>
        </w:tc>
        <w:tc>
          <w:tcPr>
            <w:tcW w:type="dxa" w:w="3816"/>
          </w:tcPr>
          <w:p>
            <w:pPr>
              <w:spacing w:before="40" w:after="40"/>
            </w:pPr>
            <w:r/>
            <w:r>
              <w:rPr>
                <w:sz w:val="17"/>
              </w:rPr>
              <w:t xml:space="preserve">Writes the complete audit output to a timestamped </w:t>
            </w:r>
            <w:r>
              <w:rPr>
                <w:rFonts w:ascii="Courier New" w:hAnsi="Courier New"/>
                <w:sz w:val="16"/>
              </w:rPr>
              <w:t>.xlsx</w:t>
            </w:r>
            <w:r>
              <w:rPr>
                <w:sz w:val="17"/>
              </w:rPr>
              <w:t xml:space="preserve"> workbook in </w:t>
            </w:r>
            <w:r>
              <w:rPr>
                <w:rFonts w:ascii="Courier New" w:hAnsi="Courier New"/>
                <w:sz w:val="16"/>
              </w:rPr>
              <w:t>output/</w:t>
            </w:r>
            <w:r>
              <w:rPr>
                <w:sz w:val="17"/>
              </w:rPr>
              <w:t xml:space="preserve"> using openpyxl, with conditional risk-level formatting.</w:t>
            </w:r>
          </w:p>
        </w:tc>
      </w:tr>
      <w:tr>
        <w:tc>
          <w:tcPr>
            <w:tcW w:type="dxa" w:w="2160"/>
            <w:shd w:val="clear" w:color="auto" w:fill="D6E4F0"/>
          </w:tcPr>
          <w:p>
            <w:pPr>
              <w:spacing w:before="40" w:after="40"/>
            </w:pPr>
            <w:r/>
            <w:r>
              <w:rPr>
                <w:b/>
                <w:sz w:val="17"/>
              </w:rPr>
              <w:t>Streamlit UI</w:t>
            </w:r>
          </w:p>
        </w:tc>
        <w:tc>
          <w:tcPr>
            <w:tcW w:type="dxa" w:w="3024"/>
            <w:shd w:val="clear" w:color="auto" w:fill="D6E4F0"/>
          </w:tcPr>
          <w:p>
            <w:pPr>
              <w:spacing w:before="40" w:after="40"/>
            </w:pPr>
            <w:r/>
            <w:r>
              <w:rPr>
                <w:rFonts w:ascii="Courier New" w:hAnsi="Courier New"/>
                <w:sz w:val="16"/>
              </w:rPr>
              <w:t>app.py</w:t>
            </w:r>
          </w:p>
        </w:tc>
        <w:tc>
          <w:tcPr>
            <w:tcW w:type="dxa" w:w="3816"/>
            <w:shd w:val="clear" w:color="auto" w:fill="D6E4F0"/>
          </w:tcPr>
          <w:p>
            <w:pPr>
              <w:spacing w:before="40" w:after="40"/>
            </w:pPr>
            <w:r/>
            <w:r>
              <w:rPr>
                <w:sz w:val="17"/>
              </w:rPr>
              <w:t xml:space="preserve">Hosts the 7-tab interactive dashboard. Triggers </w:t>
            </w:r>
            <w:r>
              <w:rPr>
                <w:rFonts w:ascii="Courier New" w:hAnsi="Courier New"/>
                <w:sz w:val="16"/>
              </w:rPr>
              <w:t>run_full_audit()</w:t>
            </w:r>
            <w:r>
              <w:rPr>
                <w:sz w:val="17"/>
              </w:rPr>
              <w:t xml:space="preserve"> on button click, stores results in </w:t>
            </w:r>
            <w:r>
              <w:rPr>
                <w:rFonts w:ascii="Courier New" w:hAnsi="Courier New"/>
                <w:sz w:val="16"/>
              </w:rPr>
              <w:t>st.session_state</w:t>
            </w:r>
            <w:r>
              <w:rPr>
                <w:sz w:val="17"/>
              </w:rPr>
              <w:t>, and renders all tables with risk-level color styling. Provides filter controls (Risk Level, Property, Rule) on the Executive Summary tab.</w:t>
            </w:r>
          </w:p>
        </w:tc>
      </w:tr>
      <w:tr>
        <w:tc>
          <w:tcPr>
            <w:tcW w:type="dxa" w:w="2160"/>
          </w:tcPr>
          <w:p>
            <w:pPr>
              <w:spacing w:before="40" w:after="40"/>
            </w:pPr>
            <w:r/>
            <w:r>
              <w:rPr>
                <w:b/>
                <w:sz w:val="17"/>
              </w:rPr>
              <w:t>ResMan (External)</w:t>
            </w:r>
          </w:p>
        </w:tc>
        <w:tc>
          <w:tcPr>
            <w:tcW w:type="dxa" w:w="3024"/>
          </w:tcPr>
          <w:p>
            <w:pPr>
              <w:spacing w:before="40" w:after="40"/>
            </w:pPr>
            <w:r/>
            <w:r>
              <w:rPr>
                <w:sz w:val="17"/>
              </w:rPr>
              <w:t>Property management platform</w:t>
            </w:r>
          </w:p>
        </w:tc>
        <w:tc>
          <w:tcPr>
            <w:tcW w:type="dxa" w:w="3816"/>
          </w:tcPr>
          <w:p>
            <w:pPr>
              <w:spacing w:before="40" w:after="40"/>
            </w:pPr>
            <w:r/>
            <w:r>
              <w:rPr>
                <w:sz w:val="17"/>
              </w:rPr>
              <w:t>Source of truth for all financial data. Not directly accessed by the bot — data is consumed via manually exported CSV files only.</w:t>
            </w:r>
          </w:p>
        </w:tc>
      </w:tr>
    </w:tbl>
    <w:p/>
    <w:p>
      <w:pPr>
        <w:pStyle w:val="Heading1"/>
        <w:pageBreakBefore w:val="1"/>
      </w:pPr>
      <w:r>
        <w:rPr>
          <w:color w:val="1F4E79"/>
        </w:rPr>
        <w:t>5. Functional Requirements</w:t>
      </w:r>
    </w:p>
    <w:p>
      <w:pPr>
        <w:pStyle w:val="Heading2"/>
      </w:pPr>
      <w:r>
        <w:rPr>
          <w:color w:val="2E74B5"/>
        </w:rPr>
        <w:t>5.1 Data Ingestion &amp; Normalization</w:t>
      </w:r>
    </w:p>
    <w:tbl>
      <w:tblPr>
        <w:tblStyle w:val="TableGrid"/>
        <w:tblW w:type="auto" w:w="0"/>
        <w:tblLook w:firstColumn="1" w:firstRow="1" w:lastColumn="0" w:lastRow="0" w:noHBand="0" w:noVBand="1" w:val="04A0"/>
      </w:tblPr>
      <w:tblGrid>
        <w:gridCol w:w="4500"/>
        <w:gridCol w:w="4500"/>
      </w:tblGrid>
      <w:tr>
        <w:tc>
          <w:tcPr>
            <w:tcW w:type="dxa" w:w="1080"/>
            <w:shd w:val="clear" w:color="auto" w:fill="1F4E79"/>
          </w:tcPr>
          <w:p>
            <w:pPr>
              <w:spacing w:before="60" w:after="60"/>
              <w:jc w:val="center"/>
            </w:pPr>
            <w:r/>
            <w:r>
              <w:rPr>
                <w:b/>
                <w:color w:val="FFFFFF"/>
                <w:sz w:val="18"/>
              </w:rPr>
              <w:t>ID</w:t>
            </w:r>
          </w:p>
        </w:tc>
        <w:tc>
          <w:tcPr>
            <w:tcW w:type="dxa" w:w="7920"/>
            <w:shd w:val="clear" w:color="auto" w:fill="1F4E79"/>
          </w:tcPr>
          <w:p>
            <w:pPr>
              <w:spacing w:before="60" w:after="60"/>
              <w:jc w:val="center"/>
            </w:pPr>
            <w:r/>
            <w:r>
              <w:rPr>
                <w:b/>
                <w:color w:val="FFFFFF"/>
                <w:sz w:val="18"/>
              </w:rPr>
              <w:t>Requirement Description</w:t>
            </w:r>
          </w:p>
        </w:tc>
      </w:tr>
      <w:tr>
        <w:tc>
          <w:tcPr>
            <w:tcW w:type="dxa" w:w="1080"/>
          </w:tcPr>
          <w:p>
            <w:pPr>
              <w:spacing w:before="40" w:after="40"/>
            </w:pPr>
            <w:r/>
            <w:r>
              <w:rPr>
                <w:sz w:val="17"/>
              </w:rPr>
              <w:t>FR-1</w:t>
            </w:r>
          </w:p>
        </w:tc>
        <w:tc>
          <w:tcPr>
            <w:tcW w:type="dxa" w:w="7920"/>
          </w:tcPr>
          <w:p>
            <w:pPr>
              <w:spacing w:before="40" w:after="40"/>
            </w:pPr>
            <w:r/>
            <w:r>
              <w:rPr>
                <w:sz w:val="17"/>
              </w:rPr>
              <w:t xml:space="preserve">The system shall discover all </w:t>
            </w:r>
            <w:r>
              <w:rPr>
                <w:rFonts w:ascii="Courier New" w:hAnsi="Courier New"/>
                <w:sz w:val="16"/>
              </w:rPr>
              <w:t>.csv</w:t>
            </w:r>
            <w:r>
              <w:rPr>
                <w:sz w:val="17"/>
              </w:rPr>
              <w:t xml:space="preserve"> files within each configured </w:t>
            </w:r>
            <w:r>
              <w:rPr>
                <w:rFonts w:ascii="Courier New" w:hAnsi="Courier New"/>
                <w:sz w:val="16"/>
              </w:rPr>
              <w:t>data/</w:t>
            </w:r>
            <w:r>
              <w:rPr>
                <w:sz w:val="17"/>
              </w:rPr>
              <w:t xml:space="preserve"> subfolder by scanning the directory at runtime. If a folder does not exist or contains no CSV files, the system shall print a warning and return an empty DataFrame rather than raising an exception.</w:t>
            </w:r>
          </w:p>
        </w:tc>
      </w:tr>
      <w:tr>
        <w:tc>
          <w:tcPr>
            <w:tcW w:type="dxa" w:w="1080"/>
            <w:shd w:val="clear" w:color="auto" w:fill="D6E4F0"/>
          </w:tcPr>
          <w:p>
            <w:pPr>
              <w:spacing w:before="40" w:after="40"/>
            </w:pPr>
            <w:r/>
            <w:r>
              <w:rPr>
                <w:sz w:val="17"/>
              </w:rPr>
              <w:t>FR-2</w:t>
            </w:r>
          </w:p>
        </w:tc>
        <w:tc>
          <w:tcPr>
            <w:tcW w:type="dxa" w:w="7920"/>
            <w:shd w:val="clear" w:color="auto" w:fill="D6E4F0"/>
          </w:tcPr>
          <w:p>
            <w:pPr>
              <w:spacing w:before="40" w:after="40"/>
            </w:pPr>
            <w:r/>
            <w:r>
              <w:rPr>
                <w:sz w:val="17"/>
              </w:rPr>
              <w:t>The system shall attempt to decode every CSV file using UTF-8-sig encoding first, then fall back to CP1252, then Latin-1, to handle the full range of Windows-based ResMan export encodings.</w:t>
            </w:r>
          </w:p>
        </w:tc>
      </w:tr>
      <w:tr>
        <w:tc>
          <w:tcPr>
            <w:tcW w:type="dxa" w:w="1080"/>
          </w:tcPr>
          <w:p>
            <w:pPr>
              <w:spacing w:before="40" w:after="40"/>
            </w:pPr>
            <w:r/>
            <w:r>
              <w:rPr>
                <w:sz w:val="17"/>
              </w:rPr>
              <w:t>FR-3</w:t>
            </w:r>
          </w:p>
        </w:tc>
        <w:tc>
          <w:tcPr>
            <w:tcW w:type="dxa" w:w="7920"/>
          </w:tcPr>
          <w:p>
            <w:pPr>
              <w:spacing w:before="40" w:after="40"/>
            </w:pPr>
            <w:r/>
            <w:r>
              <w:rPr>
                <w:sz w:val="17"/>
              </w:rPr>
              <w:t>The system shall derive the canonical property name from every CSV filename by first checking a short-code prefix map (</w:t>
            </w:r>
            <w:r>
              <w:rPr>
                <w:rFonts w:ascii="Courier New" w:hAnsi="Courier New"/>
                <w:sz w:val="16"/>
              </w:rPr>
              <w:t>CAI</w:t>
            </w:r>
            <w:r>
              <w:rPr>
                <w:sz w:val="17"/>
              </w:rPr>
              <w:t xml:space="preserve">, </w:t>
            </w:r>
            <w:r>
              <w:rPr>
                <w:rFonts w:ascii="Courier New" w:hAnsi="Courier New"/>
                <w:sz w:val="16"/>
              </w:rPr>
              <w:t>HP</w:t>
            </w:r>
            <w:r>
              <w:rPr>
                <w:sz w:val="17"/>
              </w:rPr>
              <w:t xml:space="preserve">, </w:t>
            </w:r>
            <w:r>
              <w:rPr>
                <w:rFonts w:ascii="Courier New" w:hAnsi="Courier New"/>
                <w:sz w:val="16"/>
              </w:rPr>
              <w:t>POT</w:t>
            </w:r>
            <w:r>
              <w:rPr>
                <w:sz w:val="17"/>
              </w:rPr>
              <w:t xml:space="preserve">, </w:t>
            </w:r>
            <w:r>
              <w:rPr>
                <w:rFonts w:ascii="Courier New" w:hAnsi="Courier New"/>
                <w:sz w:val="16"/>
              </w:rPr>
              <w:t>LP</w:t>
            </w:r>
            <w:r>
              <w:rPr>
                <w:sz w:val="17"/>
              </w:rPr>
              <w:t xml:space="preserve">, </w:t>
            </w:r>
            <w:r>
              <w:rPr>
                <w:rFonts w:ascii="Courier New" w:hAnsi="Courier New"/>
                <w:sz w:val="16"/>
              </w:rPr>
              <w:t>VG</w:t>
            </w:r>
            <w:r>
              <w:rPr>
                <w:sz w:val="17"/>
              </w:rPr>
              <w:t xml:space="preserve">, </w:t>
            </w:r>
            <w:r>
              <w:rPr>
                <w:rFonts w:ascii="Courier New" w:hAnsi="Courier New"/>
                <w:sz w:val="16"/>
              </w:rPr>
              <w:t>VP</w:t>
            </w:r>
            <w:r>
              <w:rPr>
                <w:sz w:val="17"/>
              </w:rPr>
              <w:t>/</w:t>
            </w:r>
            <w:r>
              <w:rPr>
                <w:rFonts w:ascii="Courier New" w:hAnsi="Courier New"/>
                <w:sz w:val="16"/>
              </w:rPr>
              <w:t>VPA</w:t>
            </w:r>
            <w:r>
              <w:rPr>
                <w:sz w:val="17"/>
              </w:rPr>
              <w:t xml:space="preserve">, </w:t>
            </w:r>
            <w:r>
              <w:rPr>
                <w:rFonts w:ascii="Courier New" w:hAnsi="Courier New"/>
                <w:sz w:val="16"/>
              </w:rPr>
              <w:t>WST</w:t>
            </w:r>
            <w:r>
              <w:rPr>
                <w:sz w:val="17"/>
              </w:rPr>
              <w:t>) and then falling back to a keyword-in-filename scan (</w:t>
            </w:r>
            <w:r>
              <w:rPr>
                <w:rFonts w:ascii="Courier New" w:hAnsi="Courier New"/>
                <w:sz w:val="16"/>
              </w:rPr>
              <w:t>crossing</w:t>
            </w:r>
            <w:r>
              <w:rPr>
                <w:sz w:val="17"/>
              </w:rPr>
              <w:t xml:space="preserve">, </w:t>
            </w:r>
            <w:r>
              <w:rPr>
                <w:rFonts w:ascii="Courier New" w:hAnsi="Courier New"/>
                <w:sz w:val="16"/>
              </w:rPr>
              <w:t>irving</w:t>
            </w:r>
            <w:r>
              <w:rPr>
                <w:sz w:val="17"/>
              </w:rPr>
              <w:t xml:space="preserve">, </w:t>
            </w:r>
            <w:r>
              <w:rPr>
                <w:rFonts w:ascii="Courier New" w:hAnsi="Courier New"/>
                <w:sz w:val="16"/>
              </w:rPr>
              <w:t>taylor</w:t>
            </w:r>
            <w:r>
              <w:rPr>
                <w:sz w:val="17"/>
              </w:rPr>
              <w:t xml:space="preserve">, </w:t>
            </w:r>
            <w:r>
              <w:rPr>
                <w:rFonts w:ascii="Courier New" w:hAnsi="Courier New"/>
                <w:sz w:val="16"/>
              </w:rPr>
              <w:t>highland</w:t>
            </w:r>
            <w:r>
              <w:rPr>
                <w:sz w:val="17"/>
              </w:rPr>
              <w:t xml:space="preserve">, </w:t>
            </w:r>
            <w:r>
              <w:rPr>
                <w:rFonts w:ascii="Courier New" w:hAnsi="Courier New"/>
                <w:sz w:val="16"/>
              </w:rPr>
              <w:t>prada</w:t>
            </w:r>
            <w:r>
              <w:rPr>
                <w:sz w:val="17"/>
              </w:rPr>
              <w:t xml:space="preserve">, </w:t>
            </w:r>
            <w:r>
              <w:rPr>
                <w:rFonts w:ascii="Courier New" w:hAnsi="Courier New"/>
                <w:sz w:val="16"/>
              </w:rPr>
              <w:t>village</w:t>
            </w:r>
            <w:r>
              <w:rPr>
                <w:sz w:val="17"/>
              </w:rPr>
              <w:t xml:space="preserve">, </w:t>
            </w:r>
            <w:r>
              <w:rPr>
                <w:rFonts w:ascii="Courier New" w:hAnsi="Courier New"/>
                <w:sz w:val="16"/>
              </w:rPr>
              <w:t>valencia</w:t>
            </w:r>
            <w:r>
              <w:rPr>
                <w:sz w:val="17"/>
              </w:rPr>
              <w:t xml:space="preserve">, </w:t>
            </w:r>
            <w:r>
              <w:rPr>
                <w:rFonts w:ascii="Courier New" w:hAnsi="Courier New"/>
                <w:sz w:val="16"/>
              </w:rPr>
              <w:t>western</w:t>
            </w:r>
            <w:r>
              <w:rPr>
                <w:sz w:val="17"/>
              </w:rPr>
              <w:t>). The resolved name shall be one of the seven standard full property names used throughout the system.</w:t>
            </w:r>
          </w:p>
        </w:tc>
      </w:tr>
      <w:tr>
        <w:tc>
          <w:tcPr>
            <w:tcW w:type="dxa" w:w="1080"/>
            <w:shd w:val="clear" w:color="auto" w:fill="D6E4F0"/>
          </w:tcPr>
          <w:p>
            <w:pPr>
              <w:spacing w:before="40" w:after="40"/>
            </w:pPr>
            <w:r/>
            <w:r>
              <w:rPr>
                <w:sz w:val="17"/>
              </w:rPr>
              <w:t>FR-4</w:t>
            </w:r>
          </w:p>
        </w:tc>
        <w:tc>
          <w:tcPr>
            <w:tcW w:type="dxa" w:w="7920"/>
            <w:shd w:val="clear" w:color="auto" w:fill="D6E4F0"/>
          </w:tcPr>
          <w:p>
            <w:pPr>
              <w:spacing w:before="40" w:after="40"/>
            </w:pPr>
            <w:r/>
            <w:r>
              <w:rPr>
                <w:sz w:val="17"/>
              </w:rPr>
              <w:t xml:space="preserve">The system shall load the </w:t>
            </w:r>
            <w:r>
              <w:rPr>
                <w:b/>
                <w:sz w:val="17"/>
              </w:rPr>
              <w:t>Transaction List</w:t>
            </w:r>
            <w:r>
              <w:rPr>
                <w:sz w:val="17"/>
              </w:rPr>
              <w:t xml:space="preserve"> by skipping the first 6 header rows, then forward-filling ResMan section headers from the first column into a </w:t>
            </w:r>
            <w:r>
              <w:rPr>
                <w:rFonts w:ascii="Courier New" w:hAnsi="Courier New"/>
                <w:sz w:val="16"/>
              </w:rPr>
              <w:t>_section</w:t>
            </w:r>
            <w:r>
              <w:rPr>
                <w:sz w:val="17"/>
              </w:rPr>
              <w:t xml:space="preserve"> field. It shall retain only rows whose </w:t>
            </w:r>
            <w:r>
              <w:rPr>
                <w:rFonts w:ascii="Courier New" w:hAnsi="Courier New"/>
                <w:sz w:val="16"/>
              </w:rPr>
              <w:t>_section</w:t>
            </w:r>
            <w:r>
              <w:rPr>
                <w:sz w:val="17"/>
              </w:rPr>
              <w:t xml:space="preserve"> starts with </w:t>
            </w:r>
            <w:r>
              <w:rPr>
                <w:rFonts w:ascii="Courier New" w:hAnsi="Courier New"/>
                <w:sz w:val="16"/>
              </w:rPr>
              <w:t>"Credit - "</w:t>
            </w:r>
            <w:r>
              <w:rPr>
                <w:sz w:val="17"/>
              </w:rPr>
              <w:t xml:space="preserve">, excluding </w:t>
            </w:r>
            <w:r>
              <w:rPr>
                <w:rFonts w:ascii="Courier New" w:hAnsi="Courier New"/>
                <w:sz w:val="16"/>
              </w:rPr>
              <w:t>"Credit - Renters Insurance Premium Credit"</w:t>
            </w:r>
            <w:r>
              <w:rPr>
                <w:sz w:val="17"/>
              </w:rPr>
              <w:t xml:space="preserve">, and only rows where the </w:t>
            </w:r>
            <w:r>
              <w:rPr>
                <w:rFonts w:ascii="Courier New" w:hAnsi="Courier New"/>
                <w:sz w:val="16"/>
              </w:rPr>
              <w:t>Unit</w:t>
            </w:r>
            <w:r>
              <w:rPr>
                <w:sz w:val="17"/>
              </w:rPr>
              <w:t xml:space="preserve"> field is a numeric string.</w:t>
            </w:r>
          </w:p>
        </w:tc>
      </w:tr>
      <w:tr>
        <w:tc>
          <w:tcPr>
            <w:tcW w:type="dxa" w:w="1080"/>
          </w:tcPr>
          <w:p>
            <w:pPr>
              <w:spacing w:before="40" w:after="40"/>
            </w:pPr>
            <w:r/>
            <w:r>
              <w:rPr>
                <w:sz w:val="17"/>
              </w:rPr>
              <w:t>FR-5</w:t>
            </w:r>
          </w:p>
        </w:tc>
        <w:tc>
          <w:tcPr>
            <w:tcW w:type="dxa" w:w="7920"/>
          </w:tcPr>
          <w:p>
            <w:pPr>
              <w:spacing w:before="40" w:after="40"/>
            </w:pPr>
            <w:r/>
            <w:r>
              <w:rPr>
                <w:sz w:val="17"/>
              </w:rPr>
              <w:t>The system shall flag Transaction List rows as reversals (</w:t>
            </w:r>
            <w:r>
              <w:rPr>
                <w:rFonts w:ascii="Courier New" w:hAnsi="Courier New"/>
                <w:sz w:val="16"/>
              </w:rPr>
              <w:t>Is_Reversal = True</w:t>
            </w:r>
            <w:r>
              <w:rPr>
                <w:sz w:val="17"/>
              </w:rPr>
              <w:t xml:space="preserve">) when their </w:t>
            </w:r>
            <w:r>
              <w:rPr>
                <w:rFonts w:ascii="Courier New" w:hAnsi="Courier New"/>
                <w:sz w:val="16"/>
              </w:rPr>
              <w:t>Amount</w:t>
            </w:r>
            <w:r>
              <w:rPr>
                <w:sz w:val="17"/>
              </w:rPr>
              <w:t xml:space="preserve"> is negative. Original credits and their reversals shall both be retained in the DataFrame so that downstream engines can compute net concession amounts.</w:t>
            </w:r>
          </w:p>
        </w:tc>
      </w:tr>
      <w:tr>
        <w:tc>
          <w:tcPr>
            <w:tcW w:type="dxa" w:w="1080"/>
            <w:shd w:val="clear" w:color="auto" w:fill="D6E4F0"/>
          </w:tcPr>
          <w:p>
            <w:pPr>
              <w:spacing w:before="40" w:after="40"/>
            </w:pPr>
            <w:r/>
            <w:r>
              <w:rPr>
                <w:sz w:val="17"/>
              </w:rPr>
              <w:t>FR-6</w:t>
            </w:r>
          </w:p>
        </w:tc>
        <w:tc>
          <w:tcPr>
            <w:tcW w:type="dxa" w:w="7920"/>
            <w:shd w:val="clear" w:color="auto" w:fill="D6E4F0"/>
          </w:tcPr>
          <w:p>
            <w:pPr>
              <w:spacing w:before="40" w:after="40"/>
            </w:pPr>
            <w:r/>
            <w:r>
              <w:rPr>
                <w:sz w:val="17"/>
              </w:rPr>
              <w:t xml:space="preserve">The system shall normalize all currency fields (Amount, Market Rent, Rec. Conc., etc.) by stripping </w:t>
            </w:r>
            <w:r>
              <w:rPr>
                <w:rFonts w:ascii="Courier New" w:hAnsi="Courier New"/>
                <w:sz w:val="16"/>
              </w:rPr>
              <w:t>$</w:t>
            </w:r>
            <w:r>
              <w:rPr>
                <w:sz w:val="17"/>
              </w:rPr>
              <w:t xml:space="preserve">, </w:t>
            </w:r>
            <w:r>
              <w:rPr>
                <w:rFonts w:ascii="Courier New" w:hAnsi="Courier New"/>
                <w:sz w:val="16"/>
              </w:rPr>
              <w:t>,</w:t>
            </w:r>
            <w:r>
              <w:rPr>
                <w:sz w:val="17"/>
              </w:rPr>
              <w:t xml:space="preserve">, </w:t>
            </w:r>
            <w:r>
              <w:rPr>
                <w:rFonts w:ascii="Courier New" w:hAnsi="Courier New"/>
                <w:sz w:val="16"/>
              </w:rPr>
              <w:t>"</w:t>
            </w:r>
            <w:r>
              <w:rPr>
                <w:sz w:val="17"/>
              </w:rPr>
              <w:t xml:space="preserve">, and whitespace characters before casting to float. Any value that fails conversion shall be treated as </w:t>
            </w:r>
            <w:r>
              <w:rPr>
                <w:rFonts w:ascii="Courier New" w:hAnsi="Courier New"/>
                <w:sz w:val="16"/>
              </w:rPr>
              <w:t>0.0</w:t>
            </w:r>
            <w:r>
              <w:rPr>
                <w:sz w:val="17"/>
              </w:rPr>
              <w:t>.</w:t>
            </w:r>
          </w:p>
        </w:tc>
      </w:tr>
      <w:tr>
        <w:tc>
          <w:tcPr>
            <w:tcW w:type="dxa" w:w="1080"/>
          </w:tcPr>
          <w:p>
            <w:pPr>
              <w:spacing w:before="40" w:after="40"/>
            </w:pPr>
            <w:r/>
            <w:r>
              <w:rPr>
                <w:sz w:val="17"/>
              </w:rPr>
              <w:t>FR-7</w:t>
            </w:r>
          </w:p>
        </w:tc>
        <w:tc>
          <w:tcPr>
            <w:tcW w:type="dxa" w:w="7920"/>
          </w:tcPr>
          <w:p>
            <w:pPr>
              <w:spacing w:before="40" w:after="40"/>
            </w:pPr>
            <w:r/>
            <w:r>
              <w:rPr>
                <w:sz w:val="17"/>
              </w:rPr>
              <w:t xml:space="preserve">The system shall normalize all unit numbers by stripping leading zeros and splitting on </w:t>
            </w:r>
            <w:r>
              <w:rPr>
                <w:rFonts w:ascii="Courier New" w:hAnsi="Courier New"/>
                <w:sz w:val="16"/>
              </w:rPr>
              <w:t>" - "</w:t>
            </w:r>
            <w:r>
              <w:rPr>
                <w:sz w:val="17"/>
              </w:rPr>
              <w:t xml:space="preserve"> to discard resident name suffixes embedded in the unit field (e.g., </w:t>
            </w:r>
            <w:r>
              <w:rPr>
                <w:rFonts w:ascii="Courier New" w:hAnsi="Courier New"/>
                <w:sz w:val="16"/>
              </w:rPr>
              <w:t>"101 - Inez Lee"</w:t>
            </w:r>
            <w:r>
              <w:rPr>
                <w:sz w:val="17"/>
              </w:rPr>
              <w:t xml:space="preserve"> → </w:t>
            </w:r>
            <w:r>
              <w:rPr>
                <w:rFonts w:ascii="Courier New" w:hAnsi="Courier New"/>
                <w:sz w:val="16"/>
              </w:rPr>
              <w:t>"101"</w:t>
            </w:r>
            <w:r>
              <w:rPr>
                <w:sz w:val="17"/>
              </w:rPr>
              <w:t xml:space="preserve">). Units that resolve to an empty string shall be set to </w:t>
            </w:r>
            <w:r>
              <w:rPr>
                <w:rFonts w:ascii="Courier New" w:hAnsi="Courier New"/>
                <w:sz w:val="16"/>
              </w:rPr>
              <w:t>"0"</w:t>
            </w:r>
            <w:r>
              <w:rPr>
                <w:sz w:val="17"/>
              </w:rPr>
              <w:t>.</w:t>
            </w:r>
          </w:p>
        </w:tc>
      </w:tr>
      <w:tr>
        <w:tc>
          <w:tcPr>
            <w:tcW w:type="dxa" w:w="1080"/>
            <w:shd w:val="clear" w:color="auto" w:fill="D6E4F0"/>
          </w:tcPr>
          <w:p>
            <w:pPr>
              <w:spacing w:before="40" w:after="40"/>
            </w:pPr>
            <w:r/>
            <w:r>
              <w:rPr>
                <w:sz w:val="17"/>
              </w:rPr>
              <w:t>FR-8</w:t>
            </w:r>
          </w:p>
        </w:tc>
        <w:tc>
          <w:tcPr>
            <w:tcW w:type="dxa" w:w="7920"/>
            <w:shd w:val="clear" w:color="auto" w:fill="D6E4F0"/>
          </w:tcPr>
          <w:p>
            <w:pPr>
              <w:spacing w:before="40" w:after="40"/>
            </w:pPr>
            <w:r/>
            <w:r>
              <w:rPr>
                <w:sz w:val="17"/>
              </w:rPr>
              <w:t>The system shall strip ResMan status marker characters (</w:t>
            </w:r>
            <w:r>
              <w:rPr>
                <w:rFonts w:ascii="Courier New" w:hAnsi="Courier New"/>
                <w:sz w:val="16"/>
              </w:rPr>
              <w:t>*</w:t>
            </w:r>
            <w:r>
              <w:rPr>
                <w:sz w:val="17"/>
              </w:rPr>
              <w:t xml:space="preserve"> for NTV, </w:t>
            </w:r>
            <w:r>
              <w:rPr>
                <w:rFonts w:ascii="Courier New" w:hAnsi="Courier New"/>
                <w:sz w:val="16"/>
              </w:rPr>
              <w:t>**</w:t>
            </w:r>
            <w:r>
              <w:rPr>
                <w:sz w:val="17"/>
              </w:rPr>
              <w:t xml:space="preserve"> for MTM) from all resident name fields across every loader using a regex substitution before storing names.</w:t>
            </w:r>
          </w:p>
        </w:tc>
      </w:tr>
      <w:tr>
        <w:tc>
          <w:tcPr>
            <w:tcW w:type="dxa" w:w="1080"/>
          </w:tcPr>
          <w:p>
            <w:pPr>
              <w:spacing w:before="40" w:after="40"/>
            </w:pPr>
            <w:r/>
            <w:r>
              <w:rPr>
                <w:sz w:val="17"/>
              </w:rPr>
              <w:t>FR-9</w:t>
            </w:r>
          </w:p>
        </w:tc>
        <w:tc>
          <w:tcPr>
            <w:tcW w:type="dxa" w:w="7920"/>
          </w:tcPr>
          <w:p>
            <w:pPr>
              <w:spacing w:before="40" w:after="40"/>
            </w:pPr>
            <w:r/>
            <w:r>
              <w:rPr>
                <w:sz w:val="17"/>
              </w:rPr>
              <w:t xml:space="preserve">The system shall load the </w:t>
            </w:r>
            <w:r>
              <w:rPr>
                <w:b/>
                <w:sz w:val="17"/>
              </w:rPr>
              <w:t>New &amp; Renewed Leases</w:t>
            </w:r>
            <w:r>
              <w:rPr>
                <w:sz w:val="17"/>
              </w:rPr>
              <w:t xml:space="preserve"> report by skipping 5 header rows, retaining only rows where </w:t>
            </w:r>
            <w:r>
              <w:rPr>
                <w:rFonts w:ascii="Courier New" w:hAnsi="Courier New"/>
                <w:sz w:val="16"/>
              </w:rPr>
              <w:t>Unit</w:t>
            </w:r>
            <w:r>
              <w:rPr>
                <w:sz w:val="17"/>
              </w:rPr>
              <w:t xml:space="preserve"> is numeric, and normalizing </w:t>
            </w:r>
            <w:r>
              <w:rPr>
                <w:rFonts w:ascii="Courier New" w:hAnsi="Courier New"/>
                <w:sz w:val="16"/>
              </w:rPr>
              <w:t>Rec. Conc.</w:t>
            </w:r>
            <w:r>
              <w:rPr>
                <w:sz w:val="17"/>
              </w:rPr>
              <w:t xml:space="preserve">, </w:t>
            </w:r>
            <w:r>
              <w:rPr>
                <w:rFonts w:ascii="Courier New" w:hAnsi="Courier New"/>
                <w:sz w:val="16"/>
              </w:rPr>
              <w:t>One Time Conc.</w:t>
            </w:r>
            <w:r>
              <w:rPr>
                <w:sz w:val="17"/>
              </w:rPr>
              <w:t xml:space="preserve">, </w:t>
            </w:r>
            <w:r>
              <w:rPr>
                <w:rFonts w:ascii="Courier New" w:hAnsi="Courier New"/>
                <w:sz w:val="16"/>
              </w:rPr>
              <w:t>Rent</w:t>
            </w:r>
            <w:r>
              <w:rPr>
                <w:sz w:val="17"/>
              </w:rPr>
              <w:t xml:space="preserve">, and </w:t>
            </w:r>
            <w:r>
              <w:rPr>
                <w:rFonts w:ascii="Courier New" w:hAnsi="Courier New"/>
                <w:sz w:val="16"/>
              </w:rPr>
              <w:t>Market Rent</w:t>
            </w:r>
            <w:r>
              <w:rPr>
                <w:sz w:val="17"/>
              </w:rPr>
              <w:t xml:space="preserve"> as currency fields and </w:t>
            </w:r>
            <w:r>
              <w:rPr>
                <w:rFonts w:ascii="Courier New" w:hAnsi="Courier New"/>
                <w:sz w:val="16"/>
              </w:rPr>
              <w:t>Lease Start Date</w:t>
            </w:r>
            <w:r>
              <w:rPr>
                <w:sz w:val="17"/>
              </w:rPr>
              <w:t xml:space="preserve"> / </w:t>
            </w:r>
            <w:r>
              <w:rPr>
                <w:rFonts w:ascii="Courier New" w:hAnsi="Courier New"/>
                <w:sz w:val="16"/>
              </w:rPr>
              <w:t>Lease End Date</w:t>
            </w:r>
            <w:r>
              <w:rPr>
                <w:sz w:val="17"/>
              </w:rPr>
              <w:t xml:space="preserve"> as timestamps.</w:t>
            </w:r>
          </w:p>
        </w:tc>
      </w:tr>
      <w:tr>
        <w:tc>
          <w:tcPr>
            <w:tcW w:type="dxa" w:w="1080"/>
            <w:shd w:val="clear" w:color="auto" w:fill="D6E4F0"/>
          </w:tcPr>
          <w:p>
            <w:pPr>
              <w:spacing w:before="40" w:after="40"/>
            </w:pPr>
            <w:r/>
            <w:r>
              <w:rPr>
                <w:sz w:val="17"/>
              </w:rPr>
              <w:t>FR-10</w:t>
            </w:r>
          </w:p>
        </w:tc>
        <w:tc>
          <w:tcPr>
            <w:tcW w:type="dxa" w:w="7920"/>
            <w:shd w:val="clear" w:color="auto" w:fill="D6E4F0"/>
          </w:tcPr>
          <w:p>
            <w:pPr>
              <w:spacing w:before="40" w:after="40"/>
            </w:pPr>
            <w:r/>
            <w:r>
              <w:rPr>
                <w:sz w:val="17"/>
              </w:rPr>
              <w:t xml:space="preserve">The system shall load the </w:t>
            </w:r>
            <w:r>
              <w:rPr>
                <w:b/>
                <w:sz w:val="17"/>
              </w:rPr>
              <w:t>Edited Transactions by User</w:t>
            </w:r>
            <w:r>
              <w:rPr>
                <w:sz w:val="17"/>
              </w:rPr>
              <w:t xml:space="preserve"> report by iterating rows and classifying each as either a manager name row (non-date, non-header first cell) or a data row (first cell matches </w:t>
            </w:r>
            <w:r>
              <w:rPr>
                <w:rFonts w:ascii="Courier New" w:hAnsi="Courier New"/>
                <w:sz w:val="16"/>
              </w:rPr>
              <w:t>M/D/YYYY</w:t>
            </w:r>
            <w:r>
              <w:rPr>
                <w:sz w:val="17"/>
              </w:rPr>
              <w:t xml:space="preserve"> format). It shall track the most recently seen manager name and attach it as </w:t>
            </w:r>
            <w:r>
              <w:rPr>
                <w:rFonts w:ascii="Courier New" w:hAnsi="Courier New"/>
                <w:sz w:val="16"/>
              </w:rPr>
              <w:t>Manager_Login</w:t>
            </w:r>
            <w:r>
              <w:rPr>
                <w:sz w:val="17"/>
              </w:rPr>
              <w:t xml:space="preserve"> to every subsequent data row.</w:t>
            </w:r>
          </w:p>
        </w:tc>
      </w:tr>
      <w:tr>
        <w:tc>
          <w:tcPr>
            <w:tcW w:type="dxa" w:w="1080"/>
          </w:tcPr>
          <w:p>
            <w:pPr>
              <w:spacing w:before="40" w:after="40"/>
            </w:pPr>
            <w:r/>
            <w:r>
              <w:rPr>
                <w:sz w:val="17"/>
              </w:rPr>
              <w:t>FR-11</w:t>
            </w:r>
          </w:p>
        </w:tc>
        <w:tc>
          <w:tcPr>
            <w:tcW w:type="dxa" w:w="7920"/>
          </w:tcPr>
          <w:p>
            <w:pPr>
              <w:spacing w:before="40" w:after="40"/>
            </w:pPr>
            <w:r/>
            <w:r>
              <w:rPr>
                <w:sz w:val="17"/>
              </w:rPr>
              <w:t xml:space="preserve">The system shall classify every edit event as either a </w:t>
            </w:r>
            <w:r>
              <w:rPr>
                <w:b/>
                <w:sz w:val="17"/>
              </w:rPr>
              <w:t>Reversal</w:t>
            </w:r>
            <w:r>
              <w:rPr>
                <w:sz w:val="17"/>
              </w:rPr>
              <w:t xml:space="preserve"> (Reversal Date is populated) or an </w:t>
            </w:r>
            <w:r>
              <w:rPr>
                <w:b/>
                <w:sz w:val="17"/>
              </w:rPr>
              <w:t>Amount Change</w:t>
            </w:r>
            <w:r>
              <w:rPr>
                <w:sz w:val="17"/>
              </w:rPr>
              <w:t xml:space="preserve"> (Edited Amount differs from original Amount by more than $0.01). Rows that are neither shall be discarded. Reversals of $0 transactions shall also be discarded because they carry no revenue impact.</w:t>
            </w:r>
          </w:p>
        </w:tc>
      </w:tr>
      <w:tr>
        <w:tc>
          <w:tcPr>
            <w:tcW w:type="dxa" w:w="1080"/>
            <w:shd w:val="clear" w:color="auto" w:fill="D6E4F0"/>
          </w:tcPr>
          <w:p>
            <w:pPr>
              <w:spacing w:before="40" w:after="40"/>
            </w:pPr>
            <w:r/>
            <w:r>
              <w:rPr>
                <w:sz w:val="17"/>
              </w:rPr>
              <w:t>FR-12</w:t>
            </w:r>
          </w:p>
        </w:tc>
        <w:tc>
          <w:tcPr>
            <w:tcW w:type="dxa" w:w="7920"/>
            <w:shd w:val="clear" w:color="auto" w:fill="D6E4F0"/>
          </w:tcPr>
          <w:p>
            <w:pPr>
              <w:spacing w:before="40" w:after="40"/>
            </w:pPr>
            <w:r/>
            <w:r>
              <w:rPr>
                <w:sz w:val="17"/>
              </w:rPr>
              <w:t xml:space="preserve">The system shall compute </w:t>
            </w:r>
            <w:r>
              <w:rPr>
                <w:rFonts w:ascii="Courier New" w:hAnsi="Courier New"/>
                <w:sz w:val="16"/>
              </w:rPr>
              <w:t>Revenue_Impact</w:t>
            </w:r>
            <w:r>
              <w:rPr>
                <w:sz w:val="17"/>
              </w:rPr>
              <w:t xml:space="preserve"> for each edit event as </w:t>
            </w:r>
            <w:r>
              <w:rPr>
                <w:rFonts w:ascii="Courier New" w:hAnsi="Courier New"/>
                <w:sz w:val="16"/>
              </w:rPr>
              <w:t>-Original_Amount</w:t>
            </w:r>
            <w:r>
              <w:rPr>
                <w:sz w:val="17"/>
              </w:rPr>
              <w:t xml:space="preserve"> for reversals and </w:t>
            </w:r>
            <w:r>
              <w:rPr>
                <w:rFonts w:ascii="Courier New" w:hAnsi="Courier New"/>
                <w:sz w:val="16"/>
              </w:rPr>
              <w:t>Edited_Amount - Original_Amount</w:t>
            </w:r>
            <w:r>
              <w:rPr>
                <w:sz w:val="17"/>
              </w:rPr>
              <w:t xml:space="preserve"> for amount changes.</w:t>
            </w:r>
          </w:p>
        </w:tc>
      </w:tr>
      <w:tr>
        <w:tc>
          <w:tcPr>
            <w:tcW w:type="dxa" w:w="1080"/>
          </w:tcPr>
          <w:p>
            <w:pPr>
              <w:spacing w:before="40" w:after="40"/>
            </w:pPr>
            <w:r/>
            <w:r>
              <w:rPr>
                <w:sz w:val="17"/>
              </w:rPr>
              <w:t>FR-13</w:t>
            </w:r>
          </w:p>
        </w:tc>
        <w:tc>
          <w:tcPr>
            <w:tcW w:type="dxa" w:w="7920"/>
          </w:tcPr>
          <w:p>
            <w:pPr>
              <w:spacing w:before="40" w:after="40"/>
            </w:pPr>
            <w:r/>
            <w:r>
              <w:rPr>
                <w:sz w:val="17"/>
              </w:rPr>
              <w:t xml:space="preserve">The system shall load the </w:t>
            </w:r>
            <w:r>
              <w:rPr>
                <w:b/>
                <w:sz w:val="17"/>
              </w:rPr>
              <w:t>Transaction Projection</w:t>
            </w:r>
            <w:r>
              <w:rPr>
                <w:sz w:val="17"/>
              </w:rPr>
              <w:t xml:space="preserve"> by locating the </w:t>
            </w:r>
            <w:r>
              <w:rPr>
                <w:rFonts w:ascii="Courier New" w:hAnsi="Courier New"/>
                <w:sz w:val="16"/>
              </w:rPr>
              <w:t>"Recurring Transactions by Unit"</w:t>
            </w:r>
            <w:r>
              <w:rPr>
                <w:sz w:val="17"/>
              </w:rPr>
              <w:t xml:space="preserve"> section marker within the CSV, reading the next row as column headers, and extracting the column whose header matches </w:t>
            </w:r>
            <w:r>
              <w:rPr>
                <w:rFonts w:ascii="Courier New" w:hAnsi="Courier New"/>
                <w:sz w:val="16"/>
              </w:rPr>
              <w:t>AUDIT_MONTH</w:t>
            </w:r>
            <w:r>
              <w:rPr>
                <w:sz w:val="17"/>
              </w:rPr>
              <w:t xml:space="preserve"> (case-insensitive). If no matching month column is found, it shall fall back to the fourth column (index 3).</w:t>
            </w:r>
          </w:p>
        </w:tc>
      </w:tr>
      <w:tr>
        <w:tc>
          <w:tcPr>
            <w:tcW w:type="dxa" w:w="1080"/>
            <w:shd w:val="clear" w:color="auto" w:fill="D6E4F0"/>
          </w:tcPr>
          <w:p>
            <w:pPr>
              <w:spacing w:before="40" w:after="40"/>
            </w:pPr>
            <w:r/>
            <w:r>
              <w:rPr>
                <w:sz w:val="17"/>
              </w:rPr>
              <w:t>FR-14</w:t>
            </w:r>
          </w:p>
        </w:tc>
        <w:tc>
          <w:tcPr>
            <w:tcW w:type="dxa" w:w="7920"/>
            <w:shd w:val="clear" w:color="auto" w:fill="D6E4F0"/>
          </w:tcPr>
          <w:p>
            <w:pPr>
              <w:spacing w:before="40" w:after="40"/>
            </w:pPr>
            <w:r/>
            <w:r>
              <w:rPr>
                <w:sz w:val="17"/>
              </w:rPr>
              <w:t xml:space="preserve">The system shall load the </w:t>
            </w:r>
            <w:r>
              <w:rPr>
                <w:b/>
                <w:sz w:val="17"/>
              </w:rPr>
              <w:t>multi-month Transaction Projection</w:t>
            </w:r>
            <w:r>
              <w:rPr>
                <w:sz w:val="17"/>
              </w:rPr>
              <w:t xml:space="preserve"> (</w:t>
            </w:r>
            <w:r>
              <w:rPr>
                <w:rFonts w:ascii="Courier New" w:hAnsi="Courier New"/>
                <w:sz w:val="16"/>
              </w:rPr>
              <w:t>load_transaction_projection_all_months</w:t>
            </w:r>
            <w:r>
              <w:rPr>
                <w:sz w:val="17"/>
              </w:rPr>
              <w:t xml:space="preserve">) by extracting all columns whose headers match the pattern </w:t>
            </w:r>
            <w:r>
              <w:rPr>
                <w:rFonts w:ascii="Courier New" w:hAnsi="Courier New"/>
                <w:sz w:val="16"/>
              </w:rPr>
              <w:t>"Mon YYYY"</w:t>
            </w:r>
            <w:r>
              <w:rPr>
                <w:sz w:val="17"/>
              </w:rPr>
              <w:t xml:space="preserve"> (e.g., </w:t>
            </w:r>
            <w:r>
              <w:rPr>
                <w:rFonts w:ascii="Courier New" w:hAnsi="Courier New"/>
                <w:sz w:val="16"/>
              </w:rPr>
              <w:t>"Jun 2026"</w:t>
            </w:r>
            <w:r>
              <w:rPr>
                <w:sz w:val="17"/>
              </w:rPr>
              <w:t xml:space="preserve">). It shall produce a long-format DataFrame with one row per </w:t>
            </w:r>
            <w:r>
              <w:rPr>
                <w:rFonts w:ascii="Courier New" w:hAnsi="Courier New"/>
                <w:sz w:val="16"/>
              </w:rPr>
              <w:t>(Unit, Category, Month_Label)</w:t>
            </w:r>
            <w:r>
              <w:rPr>
                <w:sz w:val="17"/>
              </w:rPr>
              <w:t xml:space="preserve"> combination. Concession amounts shall remain as stored in ResMan (negative values).</w:t>
            </w:r>
          </w:p>
        </w:tc>
      </w:tr>
      <w:tr>
        <w:tc>
          <w:tcPr>
            <w:tcW w:type="dxa" w:w="1080"/>
          </w:tcPr>
          <w:p>
            <w:pPr>
              <w:spacing w:before="40" w:after="40"/>
            </w:pPr>
            <w:r/>
            <w:r>
              <w:rPr>
                <w:sz w:val="17"/>
              </w:rPr>
              <w:t>FR-15</w:t>
            </w:r>
          </w:p>
        </w:tc>
        <w:tc>
          <w:tcPr>
            <w:tcW w:type="dxa" w:w="7920"/>
          </w:tcPr>
          <w:p>
            <w:pPr>
              <w:spacing w:before="40" w:after="40"/>
            </w:pPr>
            <w:r/>
            <w:r>
              <w:rPr>
                <w:sz w:val="17"/>
              </w:rPr>
              <w:t xml:space="preserve">The system shall load the </w:t>
            </w:r>
            <w:r>
              <w:rPr>
                <w:b/>
                <w:sz w:val="17"/>
              </w:rPr>
              <w:t>Rent Roll</w:t>
            </w:r>
            <w:r>
              <w:rPr>
                <w:sz w:val="17"/>
              </w:rPr>
              <w:t xml:space="preserve"> by skipping 6 header rows, then iterating rows to identify unit header rows (col 0 is numeric) and charge sub-rows (col 0 is blank, col 18 is a description). It shall carry forward </w:t>
            </w:r>
            <w:r>
              <w:rPr>
                <w:rFonts w:ascii="Courier New" w:hAnsi="Courier New"/>
                <w:sz w:val="16"/>
              </w:rPr>
              <w:t>Unit</w:t>
            </w:r>
            <w:r>
              <w:rPr>
                <w:sz w:val="17"/>
              </w:rPr>
              <w:t xml:space="preserve">, </w:t>
            </w:r>
            <w:r>
              <w:rPr>
                <w:rFonts w:ascii="Courier New" w:hAnsi="Courier New"/>
                <w:sz w:val="16"/>
              </w:rPr>
              <w:t>Residents</w:t>
            </w:r>
            <w:r>
              <w:rPr>
                <w:sz w:val="17"/>
              </w:rPr>
              <w:t xml:space="preserve">, </w:t>
            </w:r>
            <w:r>
              <w:rPr>
                <w:rFonts w:ascii="Courier New" w:hAnsi="Courier New"/>
                <w:sz w:val="16"/>
              </w:rPr>
              <w:t>Unit_Type</w:t>
            </w:r>
            <w:r>
              <w:rPr>
                <w:sz w:val="17"/>
              </w:rPr>
              <w:t xml:space="preserve">, </w:t>
            </w:r>
            <w:r>
              <w:rPr>
                <w:rFonts w:ascii="Courier New" w:hAnsi="Courier New"/>
                <w:sz w:val="16"/>
              </w:rPr>
              <w:t>Status</w:t>
            </w:r>
            <w:r>
              <w:rPr>
                <w:sz w:val="17"/>
              </w:rPr>
              <w:t xml:space="preserve">, </w:t>
            </w:r>
            <w:r>
              <w:rPr>
                <w:rFonts w:ascii="Courier New" w:hAnsi="Courier New"/>
                <w:sz w:val="16"/>
              </w:rPr>
              <w:t>Market_Rent</w:t>
            </w:r>
            <w:r>
              <w:rPr>
                <w:sz w:val="17"/>
              </w:rPr>
              <w:t xml:space="preserve">, </w:t>
            </w:r>
            <w:r>
              <w:rPr>
                <w:rFonts w:ascii="Courier New" w:hAnsi="Courier New"/>
                <w:sz w:val="16"/>
              </w:rPr>
              <w:t>Move_In</w:t>
            </w:r>
            <w:r>
              <w:rPr>
                <w:sz w:val="17"/>
              </w:rPr>
              <w:t xml:space="preserve">, </w:t>
            </w:r>
            <w:r>
              <w:rPr>
                <w:rFonts w:ascii="Courier New" w:hAnsi="Courier New"/>
                <w:sz w:val="16"/>
              </w:rPr>
              <w:t>Lease_Start</w:t>
            </w:r>
            <w:r>
              <w:rPr>
                <w:sz w:val="17"/>
              </w:rPr>
              <w:t xml:space="preserve">, </w:t>
            </w:r>
            <w:r>
              <w:rPr>
                <w:rFonts w:ascii="Courier New" w:hAnsi="Courier New"/>
                <w:sz w:val="16"/>
              </w:rPr>
              <w:t>Lease_End</w:t>
            </w:r>
            <w:r>
              <w:rPr>
                <w:sz w:val="17"/>
              </w:rPr>
              <w:t xml:space="preserve">, and </w:t>
            </w:r>
            <w:r>
              <w:rPr>
                <w:rFonts w:ascii="Courier New" w:hAnsi="Courier New"/>
                <w:sz w:val="16"/>
              </w:rPr>
              <w:t>Balance</w:t>
            </w:r>
            <w:r>
              <w:rPr>
                <w:sz w:val="17"/>
              </w:rPr>
              <w:t xml:space="preserve"> from each unit header row to all of its associated charge rows.</w:t>
            </w:r>
          </w:p>
        </w:tc>
      </w:tr>
      <w:tr>
        <w:tc>
          <w:tcPr>
            <w:tcW w:type="dxa" w:w="1080"/>
            <w:shd w:val="clear" w:color="auto" w:fill="D6E4F0"/>
          </w:tcPr>
          <w:p>
            <w:pPr>
              <w:spacing w:before="40" w:after="40"/>
            </w:pPr>
            <w:r/>
            <w:r>
              <w:rPr>
                <w:sz w:val="17"/>
              </w:rPr>
              <w:t>FR-16</w:t>
            </w:r>
          </w:p>
        </w:tc>
        <w:tc>
          <w:tcPr>
            <w:tcW w:type="dxa" w:w="7920"/>
            <w:shd w:val="clear" w:color="auto" w:fill="D6E4F0"/>
          </w:tcPr>
          <w:p>
            <w:pPr>
              <w:spacing w:before="40" w:after="40"/>
            </w:pPr>
            <w:r/>
            <w:r>
              <w:rPr>
                <w:sz w:val="17"/>
              </w:rPr>
              <w:t xml:space="preserve">The system shall load the </w:t>
            </w:r>
            <w:r>
              <w:rPr>
                <w:b/>
                <w:sz w:val="17"/>
              </w:rPr>
              <w:t>Resident Activity</w:t>
            </w:r>
            <w:r>
              <w:rPr>
                <w:sz w:val="17"/>
              </w:rPr>
              <w:t xml:space="preserve"> report by skipping 6 header rows, discarding the </w:t>
            </w:r>
            <w:r>
              <w:rPr>
                <w:rFonts w:ascii="Courier New" w:hAnsi="Courier New"/>
                <w:sz w:val="16"/>
              </w:rPr>
              <w:t>"Adjusted Lease End Date"</w:t>
            </w:r>
            <w:r>
              <w:rPr>
                <w:sz w:val="17"/>
              </w:rPr>
              <w:t xml:space="preserve"> overflow header row, and retaining only rows where the first column is a numeric unit number. The Manager name shall be resolved by scanning backward from the last column to find the first non-blank, non-NaN value after column 43.</w:t>
            </w:r>
          </w:p>
        </w:tc>
      </w:tr>
      <w:tr>
        <w:tc>
          <w:tcPr>
            <w:tcW w:type="dxa" w:w="1080"/>
          </w:tcPr>
          <w:p>
            <w:pPr>
              <w:spacing w:before="40" w:after="40"/>
            </w:pPr>
            <w:r/>
            <w:r>
              <w:rPr>
                <w:sz w:val="17"/>
              </w:rPr>
              <w:t>FR-17</w:t>
            </w:r>
          </w:p>
        </w:tc>
        <w:tc>
          <w:tcPr>
            <w:tcW w:type="dxa" w:w="7920"/>
          </w:tcPr>
          <w:p>
            <w:pPr>
              <w:spacing w:before="40" w:after="40"/>
            </w:pPr>
            <w:r/>
            <w:r>
              <w:rPr>
                <w:sz w:val="17"/>
              </w:rPr>
              <w:t xml:space="preserve">The system shall load the </w:t>
            </w:r>
            <w:r>
              <w:rPr>
                <w:b/>
                <w:sz w:val="17"/>
              </w:rPr>
              <w:t>Market Rent Schedule</w:t>
            </w:r>
            <w:r>
              <w:rPr>
                <w:sz w:val="17"/>
              </w:rPr>
              <w:t xml:space="preserve"> by skipping 5 header rows, retaining only rows where the first column is a 3–4 digit numeric unit number, and reading the 8th column (index 7, labelled </w:t>
            </w:r>
            <w:r>
              <w:rPr>
                <w:rFonts w:ascii="Courier New" w:hAnsi="Courier New"/>
                <w:sz w:val="16"/>
              </w:rPr>
              <w:t>"Total Rent"</w:t>
            </w:r>
            <w:r>
              <w:rPr>
                <w:sz w:val="17"/>
              </w:rPr>
              <w:t xml:space="preserve">) as the per-unit total market rent including all amenity premiums. The result shall be stored as a dictionary keyed by </w:t>
            </w:r>
            <w:r>
              <w:rPr>
                <w:rFonts w:ascii="Courier New" w:hAnsi="Courier New"/>
                <w:sz w:val="16"/>
              </w:rPr>
              <w:t>(property_name, unit_number_string)</w:t>
            </w:r>
            <w:r>
              <w:rPr>
                <w:sz w:val="17"/>
              </w:rPr>
              <w:t>.</w:t>
            </w:r>
          </w:p>
        </w:tc>
      </w:tr>
      <w:tr>
        <w:tc>
          <w:tcPr>
            <w:tcW w:type="dxa" w:w="1080"/>
            <w:shd w:val="clear" w:color="auto" w:fill="D6E4F0"/>
          </w:tcPr>
          <w:p>
            <w:pPr>
              <w:spacing w:before="40" w:after="40"/>
            </w:pPr>
            <w:r/>
            <w:r>
              <w:rPr>
                <w:sz w:val="17"/>
              </w:rPr>
              <w:t>FR-18</w:t>
            </w:r>
          </w:p>
        </w:tc>
        <w:tc>
          <w:tcPr>
            <w:tcW w:type="dxa" w:w="7920"/>
            <w:shd w:val="clear" w:color="auto" w:fill="D6E4F0"/>
          </w:tcPr>
          <w:p>
            <w:pPr>
              <w:spacing w:before="40" w:after="40"/>
            </w:pPr>
            <w:r/>
            <w:r>
              <w:rPr>
                <w:sz w:val="17"/>
              </w:rPr>
              <w:t xml:space="preserve">The system shall parse all date fields using </w:t>
            </w:r>
            <w:r>
              <w:rPr>
                <w:rFonts w:ascii="Courier New" w:hAnsi="Courier New"/>
                <w:sz w:val="16"/>
              </w:rPr>
              <w:t>pd.to_datetime</w:t>
            </w:r>
            <w:r>
              <w:rPr>
                <w:sz w:val="17"/>
              </w:rPr>
              <w:t xml:space="preserve"> with </w:t>
            </w:r>
            <w:r>
              <w:rPr>
                <w:rFonts w:ascii="Courier New" w:hAnsi="Courier New"/>
                <w:sz w:val="16"/>
              </w:rPr>
              <w:t>infer_datetime_format=True</w:t>
            </w:r>
            <w:r>
              <w:rPr>
                <w:sz w:val="17"/>
              </w:rPr>
              <w:t xml:space="preserve">. If parsing fails for any value, the field shall be set to </w:t>
            </w:r>
            <w:r>
              <w:rPr>
                <w:rFonts w:ascii="Courier New" w:hAnsi="Courier New"/>
                <w:sz w:val="16"/>
              </w:rPr>
              <w:t>None</w:t>
            </w:r>
            <w:r>
              <w:rPr>
                <w:sz w:val="17"/>
              </w:rPr>
              <w:t xml:space="preserve"> rather than raising an exception.</w:t>
            </w:r>
          </w:p>
        </w:tc>
      </w:tr>
    </w:tbl>
    <w:p/>
    <w:p>
      <w:pPr>
        <w:pStyle w:val="Heading2"/>
      </w:pPr>
      <w:r>
        <w:rPr>
          <w:color w:val="2E74B5"/>
        </w:rPr>
        <w:t>5.2 John's Concession Audit Engine (Rules R1–R7)</w:t>
      </w:r>
    </w:p>
    <w:tbl>
      <w:tblPr>
        <w:tblStyle w:val="TableGrid"/>
        <w:tblW w:type="auto" w:w="0"/>
        <w:tblLook w:firstColumn="1" w:firstRow="1" w:lastColumn="0" w:lastRow="0" w:noHBand="0" w:noVBand="1" w:val="04A0"/>
      </w:tblPr>
      <w:tblGrid>
        <w:gridCol w:w="4500"/>
        <w:gridCol w:w="4500"/>
      </w:tblGrid>
      <w:tr>
        <w:tc>
          <w:tcPr>
            <w:tcW w:type="dxa" w:w="1080"/>
            <w:shd w:val="clear" w:color="auto" w:fill="1F4E79"/>
          </w:tcPr>
          <w:p>
            <w:pPr>
              <w:spacing w:before="60" w:after="60"/>
              <w:jc w:val="center"/>
            </w:pPr>
            <w:r/>
            <w:r>
              <w:rPr>
                <w:b/>
                <w:color w:val="FFFFFF"/>
                <w:sz w:val="18"/>
              </w:rPr>
              <w:t>ID</w:t>
            </w:r>
          </w:p>
        </w:tc>
        <w:tc>
          <w:tcPr>
            <w:tcW w:type="dxa" w:w="7920"/>
            <w:shd w:val="clear" w:color="auto" w:fill="1F4E79"/>
          </w:tcPr>
          <w:p>
            <w:pPr>
              <w:spacing w:before="60" w:after="60"/>
              <w:jc w:val="center"/>
            </w:pPr>
            <w:r/>
            <w:r>
              <w:rPr>
                <w:b/>
                <w:color w:val="FFFFFF"/>
                <w:sz w:val="18"/>
              </w:rPr>
              <w:t>Requirement Description</w:t>
            </w:r>
          </w:p>
        </w:tc>
      </w:tr>
      <w:tr>
        <w:tc>
          <w:tcPr>
            <w:tcW w:type="dxa" w:w="1080"/>
          </w:tcPr>
          <w:p>
            <w:pPr>
              <w:spacing w:before="40" w:after="40"/>
            </w:pPr>
            <w:r/>
            <w:r>
              <w:rPr>
                <w:sz w:val="17"/>
              </w:rPr>
              <w:t>FR-19</w:t>
            </w:r>
          </w:p>
        </w:tc>
        <w:tc>
          <w:tcPr>
            <w:tcW w:type="dxa" w:w="7920"/>
          </w:tcPr>
          <w:p>
            <w:pPr>
              <w:spacing w:before="40" w:after="40"/>
            </w:pPr>
            <w:r/>
            <w:r>
              <w:rPr>
                <w:sz w:val="17"/>
              </w:rPr>
              <w:t xml:space="preserve">The system shall skip John's Engine entirely only when </w:t>
            </w:r>
            <w:r>
              <w:rPr>
                <w:b/>
                <w:sz w:val="17"/>
              </w:rPr>
              <w:t>both</w:t>
            </w:r>
            <w:r>
              <w:rPr>
                <w:sz w:val="17"/>
              </w:rPr>
              <w:t xml:space="preserve"> the Transaction List DataFrame and the Rent Roll DataFrame are empty. If the Transaction List is empty but the Rent Roll is present, the system shall skip rules R1–R4 with a printed warning and continue to execute R7 from the Rent Roll side.</w:t>
            </w:r>
          </w:p>
        </w:tc>
      </w:tr>
      <w:tr>
        <w:tc>
          <w:tcPr>
            <w:tcW w:type="dxa" w:w="1080"/>
            <w:shd w:val="clear" w:color="auto" w:fill="D6E4F0"/>
          </w:tcPr>
          <w:p>
            <w:pPr>
              <w:spacing w:before="40" w:after="40"/>
            </w:pPr>
            <w:r/>
            <w:r>
              <w:rPr>
                <w:sz w:val="17"/>
              </w:rPr>
              <w:t>FR-20</w:t>
            </w:r>
          </w:p>
        </w:tc>
        <w:tc>
          <w:tcPr>
            <w:tcW w:type="dxa" w:w="7920"/>
            <w:shd w:val="clear" w:color="auto" w:fill="D6E4F0"/>
          </w:tcPr>
          <w:p>
            <w:pPr>
              <w:spacing w:before="40" w:after="40"/>
            </w:pPr>
            <w:r/>
            <w:r>
              <w:rPr>
                <w:b/>
                <w:sz w:val="17"/>
              </w:rPr>
              <w:t>R1 — Post-Term Credit:</w:t>
            </w:r>
            <w:r>
              <w:rPr>
                <w:sz w:val="17"/>
              </w:rPr>
              <w:t xml:space="preserve"> The system shall flag any credit row in the Transaction List whose </w:t>
            </w:r>
            <w:r>
              <w:rPr>
                <w:rFonts w:ascii="Courier New" w:hAnsi="Courier New"/>
                <w:sz w:val="16"/>
              </w:rPr>
              <w:t>Date</w:t>
            </w:r>
            <w:r>
              <w:rPr>
                <w:sz w:val="17"/>
              </w:rPr>
              <w:t xml:space="preserve"> is later than the </w:t>
            </w:r>
            <w:r>
              <w:rPr>
                <w:rFonts w:ascii="Courier New" w:hAnsi="Courier New"/>
                <w:sz w:val="16"/>
              </w:rPr>
              <w:t>Lease_End</w:t>
            </w:r>
            <w:r>
              <w:rPr>
                <w:sz w:val="17"/>
              </w:rPr>
              <w:t xml:space="preserve"> date for the same </w:t>
            </w:r>
            <w:r>
              <w:rPr>
                <w:rFonts w:ascii="Courier New" w:hAnsi="Courier New"/>
                <w:sz w:val="16"/>
              </w:rPr>
              <w:t>(Property, Unit)</w:t>
            </w:r>
            <w:r>
              <w:rPr>
                <w:sz w:val="17"/>
              </w:rPr>
              <w:t xml:space="preserve"> as found in the New &amp; Renewed Leases report. The flag shall be rated CRITICAL.</w:t>
            </w:r>
          </w:p>
        </w:tc>
      </w:tr>
      <w:tr>
        <w:tc>
          <w:tcPr>
            <w:tcW w:type="dxa" w:w="1080"/>
          </w:tcPr>
          <w:p>
            <w:pPr>
              <w:spacing w:before="40" w:after="40"/>
            </w:pPr>
            <w:r/>
            <w:r>
              <w:rPr>
                <w:sz w:val="17"/>
              </w:rPr>
              <w:t>FR-21</w:t>
            </w:r>
          </w:p>
        </w:tc>
        <w:tc>
          <w:tcPr>
            <w:tcW w:type="dxa" w:w="7920"/>
          </w:tcPr>
          <w:p>
            <w:pPr>
              <w:spacing w:before="40" w:after="40"/>
            </w:pPr>
            <w:r/>
            <w:r>
              <w:rPr>
                <w:b/>
                <w:sz w:val="17"/>
              </w:rPr>
              <w:t>R2 — Missing Lease:</w:t>
            </w:r>
            <w:r>
              <w:rPr>
                <w:sz w:val="17"/>
              </w:rPr>
              <w:t xml:space="preserve"> The system shall flag any credit-posting unit where the Rent Roll shows no active lease (i.e., </w:t>
            </w:r>
            <w:r>
              <w:rPr>
                <w:rFonts w:ascii="Courier New" w:hAnsi="Courier New"/>
                <w:sz w:val="16"/>
              </w:rPr>
              <w:t>Lease_End</w:t>
            </w:r>
            <w:r>
              <w:rPr>
                <w:sz w:val="17"/>
              </w:rPr>
              <w:t xml:space="preserve"> is null or in the past relative to the audit date). The system shall use the Rent Roll lease-end lookup — not just the New &amp; Renewed Leases for the current month — so that all ongoing leases signed in prior months are correctly recognized as active. The flag shall be rated HIGH.</w:t>
            </w:r>
          </w:p>
        </w:tc>
      </w:tr>
      <w:tr>
        <w:tc>
          <w:tcPr>
            <w:tcW w:type="dxa" w:w="1080"/>
            <w:shd w:val="clear" w:color="auto" w:fill="D6E4F0"/>
          </w:tcPr>
          <w:p>
            <w:pPr>
              <w:spacing w:before="40" w:after="40"/>
            </w:pPr>
            <w:r/>
            <w:r>
              <w:rPr>
                <w:sz w:val="17"/>
              </w:rPr>
              <w:t>FR-22</w:t>
            </w:r>
          </w:p>
        </w:tc>
        <w:tc>
          <w:tcPr>
            <w:tcW w:type="dxa" w:w="7920"/>
            <w:shd w:val="clear" w:color="auto" w:fill="D6E4F0"/>
          </w:tcPr>
          <w:p>
            <w:pPr>
              <w:spacing w:before="40" w:after="40"/>
            </w:pPr>
            <w:r/>
            <w:r>
              <w:rPr>
                <w:b/>
                <w:sz w:val="17"/>
              </w:rPr>
              <w:t>R3 — Large Credit:</w:t>
            </w:r>
            <w:r>
              <w:rPr>
                <w:sz w:val="17"/>
              </w:rPr>
              <w:t xml:space="preserve"> The system shall flag any non-reversal credit row in the Transaction List where </w:t>
            </w:r>
            <w:r>
              <w:rPr>
                <w:rFonts w:ascii="Courier New" w:hAnsi="Courier New"/>
                <w:sz w:val="16"/>
              </w:rPr>
              <w:t>abs(Amount) &gt;= $700</w:t>
            </w:r>
            <w:r>
              <w:rPr>
                <w:sz w:val="17"/>
              </w:rPr>
              <w:t xml:space="preserve"> (</w:t>
            </w:r>
            <w:r>
              <w:rPr>
                <w:rFonts w:ascii="Courier New" w:hAnsi="Courier New"/>
                <w:sz w:val="16"/>
              </w:rPr>
              <w:t>CONCESSION_CRITICAL_AMT</w:t>
            </w:r>
            <w:r>
              <w:rPr>
                <w:sz w:val="17"/>
              </w:rPr>
              <w:t>). The flag shall be rated HIGH (single month). Multi-month full offsets that implicitly produce large recurring credits are captured separately by the NER engine as CRITICAL.</w:t>
            </w:r>
          </w:p>
        </w:tc>
      </w:tr>
      <w:tr>
        <w:tc>
          <w:tcPr>
            <w:tcW w:type="dxa" w:w="1080"/>
          </w:tcPr>
          <w:p>
            <w:pPr>
              <w:spacing w:before="40" w:after="40"/>
            </w:pPr>
            <w:r/>
            <w:r>
              <w:rPr>
                <w:sz w:val="17"/>
              </w:rPr>
              <w:t>FR-23</w:t>
            </w:r>
          </w:p>
        </w:tc>
        <w:tc>
          <w:tcPr>
            <w:tcW w:type="dxa" w:w="7920"/>
          </w:tcPr>
          <w:p>
            <w:pPr>
              <w:spacing w:before="40" w:after="40"/>
            </w:pPr>
            <w:r/>
            <w:r>
              <w:rPr>
                <w:b/>
                <w:sz w:val="17"/>
              </w:rPr>
              <w:t>R4 — Non-Standard Description:</w:t>
            </w:r>
            <w:r>
              <w:rPr>
                <w:sz w:val="17"/>
              </w:rPr>
              <w:t xml:space="preserve"> The system shall flag any credit row whose </w:t>
            </w:r>
            <w:r>
              <w:rPr>
                <w:rFonts w:ascii="Courier New" w:hAnsi="Courier New"/>
                <w:sz w:val="16"/>
              </w:rPr>
              <w:t>Description</w:t>
            </w:r>
            <w:r>
              <w:rPr>
                <w:sz w:val="17"/>
              </w:rPr>
              <w:t xml:space="preserve"> does not contain any of the approved concession keywords (</w:t>
            </w:r>
            <w:r>
              <w:rPr>
                <w:rFonts w:ascii="Courier New" w:hAnsi="Courier New"/>
                <w:sz w:val="16"/>
              </w:rPr>
              <w:t>"concession"</w:t>
            </w:r>
            <w:r>
              <w:rPr>
                <w:sz w:val="17"/>
              </w:rPr>
              <w:t xml:space="preserve">, </w:t>
            </w:r>
            <w:r>
              <w:rPr>
                <w:rFonts w:ascii="Courier New" w:hAnsi="Courier New"/>
                <w:sz w:val="16"/>
              </w:rPr>
              <w:t>"allowance"</w:t>
            </w:r>
            <w:r>
              <w:rPr>
                <w:sz w:val="17"/>
              </w:rPr>
              <w:t xml:space="preserve">, </w:t>
            </w:r>
            <w:r>
              <w:rPr>
                <w:rFonts w:ascii="Courier New" w:hAnsi="Courier New"/>
                <w:sz w:val="16"/>
              </w:rPr>
              <w:t>"employee unit"</w:t>
            </w:r>
            <w:r>
              <w:rPr>
                <w:sz w:val="17"/>
              </w:rPr>
              <w:t xml:space="preserve">, </w:t>
            </w:r>
            <w:r>
              <w:rPr>
                <w:rFonts w:ascii="Courier New" w:hAnsi="Courier New"/>
                <w:sz w:val="16"/>
              </w:rPr>
              <w:t>"courtesy officer"</w:t>
            </w:r>
            <w:r>
              <w:rPr>
                <w:sz w:val="17"/>
              </w:rPr>
              <w:t xml:space="preserve">, </w:t>
            </w:r>
            <w:r>
              <w:rPr>
                <w:rFonts w:ascii="Courier New" w:hAnsi="Courier New"/>
                <w:sz w:val="16"/>
              </w:rPr>
              <w:t>"resident referral"</w:t>
            </w:r>
            <w:r>
              <w:rPr>
                <w:sz w:val="17"/>
              </w:rPr>
              <w:t xml:space="preserve">, </w:t>
            </w:r>
            <w:r>
              <w:rPr>
                <w:rFonts w:ascii="Courier New" w:hAnsi="Courier New"/>
                <w:sz w:val="16"/>
              </w:rPr>
              <w:t>"referral"</w:t>
            </w:r>
            <w:r>
              <w:rPr>
                <w:sz w:val="17"/>
              </w:rPr>
              <w:t xml:space="preserve">, </w:t>
            </w:r>
            <w:r>
              <w:rPr>
                <w:rFonts w:ascii="Courier New" w:hAnsi="Courier New"/>
                <w:sz w:val="16"/>
              </w:rPr>
              <w:t>"move in special"</w:t>
            </w:r>
            <w:r>
              <w:rPr>
                <w:sz w:val="17"/>
              </w:rPr>
              <w:t xml:space="preserve">, </w:t>
            </w:r>
            <w:r>
              <w:rPr>
                <w:rFonts w:ascii="Courier New" w:hAnsi="Courier New"/>
                <w:sz w:val="16"/>
              </w:rPr>
              <w:t>"move-in special"</w:t>
            </w:r>
            <w:r>
              <w:rPr>
                <w:sz w:val="17"/>
              </w:rPr>
              <w:t xml:space="preserve">, </w:t>
            </w:r>
            <w:r>
              <w:rPr>
                <w:rFonts w:ascii="Courier New" w:hAnsi="Courier New"/>
                <w:sz w:val="16"/>
              </w:rPr>
              <w:t>"reduce"</w:t>
            </w:r>
            <w:r>
              <w:rPr>
                <w:sz w:val="17"/>
              </w:rPr>
              <w:t xml:space="preserve">, </w:t>
            </w:r>
            <w:r>
              <w:rPr>
                <w:rFonts w:ascii="Courier New" w:hAnsi="Courier New"/>
                <w:sz w:val="16"/>
              </w:rPr>
              <w:t>"special"</w:t>
            </w:r>
            <w:r>
              <w:rPr>
                <w:sz w:val="17"/>
              </w:rPr>
              <w:t xml:space="preserve">, </w:t>
            </w:r>
            <w:r>
              <w:rPr>
                <w:rFonts w:ascii="Courier New" w:hAnsi="Courier New"/>
                <w:sz w:val="16"/>
              </w:rPr>
              <w:t>"discount"</w:t>
            </w:r>
            <w:r>
              <w:rPr>
                <w:sz w:val="17"/>
              </w:rPr>
              <w:t>).</w:t>
            </w:r>
          </w:p>
        </w:tc>
      </w:tr>
      <w:tr>
        <w:tc>
          <w:tcPr>
            <w:tcW w:type="dxa" w:w="1080"/>
            <w:shd w:val="clear" w:color="auto" w:fill="D6E4F0"/>
          </w:tcPr>
          <w:p>
            <w:pPr>
              <w:spacing w:before="40" w:after="40"/>
            </w:pPr>
            <w:r/>
            <w:r>
              <w:rPr>
                <w:sz w:val="17"/>
              </w:rPr>
              <w:t>FR-24</w:t>
            </w:r>
          </w:p>
        </w:tc>
        <w:tc>
          <w:tcPr>
            <w:tcW w:type="dxa" w:w="7920"/>
            <w:shd w:val="clear" w:color="auto" w:fill="D6E4F0"/>
          </w:tcPr>
          <w:p>
            <w:pPr>
              <w:spacing w:before="40" w:after="40"/>
            </w:pPr>
            <w:r/>
            <w:r>
              <w:rPr>
                <w:b/>
                <w:sz w:val="17"/>
              </w:rPr>
              <w:t>R5 — Missing Addendum / No RR Setup:</w:t>
            </w:r>
            <w:r>
              <w:rPr>
                <w:sz w:val="17"/>
              </w:rPr>
              <w:t xml:space="preserve"> The system shall flag any </w:t>
            </w:r>
            <w:r>
              <w:rPr>
                <w:rFonts w:ascii="Courier New" w:hAnsi="Courier New"/>
                <w:sz w:val="16"/>
              </w:rPr>
              <w:t>(Property, Unit)</w:t>
            </w:r>
            <w:r>
              <w:rPr>
                <w:sz w:val="17"/>
              </w:rPr>
              <w:t xml:space="preserve"> that has a net-positive credit in the Transaction List (</w:t>
            </w:r>
            <w:r>
              <w:rPr>
                <w:rFonts w:ascii="Courier New" w:hAnsi="Courier New"/>
                <w:sz w:val="16"/>
              </w:rPr>
              <w:t>Amount</w:t>
            </w:r>
            <w:r>
              <w:rPr>
                <w:sz w:val="17"/>
              </w:rPr>
              <w:t xml:space="preserve"> summed across non-reversal rows &gt; 0) but no concession row on the Rent Roll. Concession rows on the Rent Roll are identified by keywords (</w:t>
            </w:r>
            <w:r>
              <w:rPr>
                <w:rFonts w:ascii="Courier New" w:hAnsi="Courier New"/>
                <w:sz w:val="16"/>
              </w:rPr>
              <w:t>"concession"</w:t>
            </w:r>
            <w:r>
              <w:rPr>
                <w:sz w:val="17"/>
              </w:rPr>
              <w:t xml:space="preserve">, </w:t>
            </w:r>
            <w:r>
              <w:rPr>
                <w:rFonts w:ascii="Courier New" w:hAnsi="Courier New"/>
                <w:sz w:val="16"/>
              </w:rPr>
              <w:t>"special"</w:t>
            </w:r>
            <w:r>
              <w:rPr>
                <w:sz w:val="17"/>
              </w:rPr>
              <w:t xml:space="preserve">, </w:t>
            </w:r>
            <w:r>
              <w:rPr>
                <w:rFonts w:ascii="Courier New" w:hAnsi="Courier New"/>
                <w:sz w:val="16"/>
              </w:rPr>
              <w:t>"reduce"</w:t>
            </w:r>
            <w:r>
              <w:rPr>
                <w:sz w:val="17"/>
              </w:rPr>
              <w:t xml:space="preserve">, </w:t>
            </w:r>
            <w:r>
              <w:rPr>
                <w:rFonts w:ascii="Courier New" w:hAnsi="Courier New"/>
                <w:sz w:val="16"/>
              </w:rPr>
              <w:t>"employee"</w:t>
            </w:r>
            <w:r>
              <w:rPr>
                <w:sz w:val="17"/>
              </w:rPr>
              <w:t xml:space="preserve">, </w:t>
            </w:r>
            <w:r>
              <w:rPr>
                <w:rFonts w:ascii="Courier New" w:hAnsi="Courier New"/>
                <w:sz w:val="16"/>
              </w:rPr>
              <w:t>"discount"</w:t>
            </w:r>
            <w:r>
              <w:rPr>
                <w:sz w:val="17"/>
              </w:rPr>
              <w:t xml:space="preserve">, </w:t>
            </w:r>
            <w:r>
              <w:rPr>
                <w:rFonts w:ascii="Courier New" w:hAnsi="Courier New"/>
                <w:sz w:val="16"/>
              </w:rPr>
              <w:t>"free"</w:t>
            </w:r>
            <w:r>
              <w:rPr>
                <w:sz w:val="17"/>
              </w:rPr>
              <w:t xml:space="preserve">, </w:t>
            </w:r>
            <w:r>
              <w:rPr>
                <w:rFonts w:ascii="Courier New" w:hAnsi="Courier New"/>
                <w:sz w:val="16"/>
              </w:rPr>
              <w:t>"allowance"</w:t>
            </w:r>
            <w:r>
              <w:rPr>
                <w:sz w:val="17"/>
              </w:rPr>
              <w:t xml:space="preserve">, </w:t>
            </w:r>
            <w:r>
              <w:rPr>
                <w:rFonts w:ascii="Courier New" w:hAnsi="Courier New"/>
                <w:sz w:val="16"/>
              </w:rPr>
              <w:t>"courtesy"</w:t>
            </w:r>
            <w:r>
              <w:rPr>
                <w:sz w:val="17"/>
              </w:rPr>
              <w:t xml:space="preserve">, </w:t>
            </w:r>
            <w:r>
              <w:rPr>
                <w:rFonts w:ascii="Courier New" w:hAnsi="Courier New"/>
                <w:sz w:val="16"/>
              </w:rPr>
              <w:t>"move in"</w:t>
            </w:r>
            <w:r>
              <w:rPr>
                <w:sz w:val="17"/>
              </w:rPr>
              <w:t>, etc.) combined with a negative amount (&lt; -$0.01). Employee unit and resident referral credit sections in the Transaction List shall be excluded from R5 triggering.</w:t>
            </w:r>
          </w:p>
        </w:tc>
      </w:tr>
      <w:tr>
        <w:tc>
          <w:tcPr>
            <w:tcW w:type="dxa" w:w="1080"/>
          </w:tcPr>
          <w:p>
            <w:pPr>
              <w:spacing w:before="40" w:after="40"/>
            </w:pPr>
            <w:r/>
            <w:r>
              <w:rPr>
                <w:sz w:val="17"/>
              </w:rPr>
              <w:t>FR-25</w:t>
            </w:r>
          </w:p>
        </w:tc>
        <w:tc>
          <w:tcPr>
            <w:tcW w:type="dxa" w:w="7920"/>
          </w:tcPr>
          <w:p>
            <w:pPr>
              <w:spacing w:before="40" w:after="40"/>
            </w:pPr>
            <w:r/>
            <w:r>
              <w:rPr>
                <w:b/>
                <w:sz w:val="17"/>
              </w:rPr>
              <w:t>R6 — Amount Mismatch:</w:t>
            </w:r>
            <w:r>
              <w:rPr>
                <w:sz w:val="17"/>
              </w:rPr>
              <w:t xml:space="preserve"> The system shall compare the Rent Roll concession amount (absolute value of the sum of all concession rows for the unit) against the net credit posted in the Transaction List (sum of positive credits minus reversals). If the variance exceeds $10 or 10% of the RR amount (whichever is smaller triggers the flag), the system shall emit an Amount Mismatch flag rated HIGH.</w:t>
            </w:r>
          </w:p>
        </w:tc>
      </w:tr>
      <w:tr>
        <w:tc>
          <w:tcPr>
            <w:tcW w:type="dxa" w:w="1080"/>
            <w:shd w:val="clear" w:color="auto" w:fill="D6E4F0"/>
          </w:tcPr>
          <w:p>
            <w:pPr>
              <w:spacing w:before="40" w:after="40"/>
            </w:pPr>
            <w:r/>
            <w:r>
              <w:rPr>
                <w:sz w:val="17"/>
              </w:rPr>
              <w:t>FR-26</w:t>
            </w:r>
          </w:p>
        </w:tc>
        <w:tc>
          <w:tcPr>
            <w:tcW w:type="dxa" w:w="7920"/>
            <w:shd w:val="clear" w:color="auto" w:fill="D6E4F0"/>
          </w:tcPr>
          <w:p>
            <w:pPr>
              <w:spacing w:before="40" w:after="40"/>
            </w:pPr>
            <w:r/>
            <w:r>
              <w:rPr>
                <w:b/>
                <w:sz w:val="17"/>
              </w:rPr>
              <w:t>R7 — Not Properly Posted:</w:t>
            </w:r>
            <w:r>
              <w:rPr>
                <w:sz w:val="17"/>
              </w:rPr>
              <w:t xml:space="preserve"> The system shall flag any </w:t>
            </w:r>
            <w:r>
              <w:rPr>
                <w:rFonts w:ascii="Courier New" w:hAnsi="Courier New"/>
                <w:sz w:val="16"/>
              </w:rPr>
              <w:t>(Property, Unit)</w:t>
            </w:r>
            <w:r>
              <w:rPr>
                <w:sz w:val="17"/>
              </w:rPr>
              <w:t xml:space="preserve"> that has a concession row on the Rent Roll (negative amount + concession keyword) but no corresponding net credit in the Transaction List. This rule shall run even when the Transaction List is empty for the month (e.g., when the audit-month export contains no Credit sections), because the Rent Roll represents the approved setup that should have posted. The flag shall be rated HIGH.</w:t>
            </w:r>
          </w:p>
        </w:tc>
      </w:tr>
      <w:tr>
        <w:tc>
          <w:tcPr>
            <w:tcW w:type="dxa" w:w="1080"/>
          </w:tcPr>
          <w:p>
            <w:pPr>
              <w:spacing w:before="40" w:after="40"/>
            </w:pPr>
            <w:r/>
            <w:r>
              <w:rPr>
                <w:sz w:val="17"/>
              </w:rPr>
              <w:t>FR-27</w:t>
            </w:r>
          </w:p>
        </w:tc>
        <w:tc>
          <w:tcPr>
            <w:tcW w:type="dxa" w:w="7920"/>
          </w:tcPr>
          <w:p>
            <w:pPr>
              <w:spacing w:before="40" w:after="40"/>
            </w:pPr>
            <w:r/>
            <w:r>
              <w:rPr>
                <w:sz w:val="17"/>
              </w:rPr>
              <w:t>The system shall build the net Transaction List credit per unit by summing all credit amounts (positive original credits plus negative reversals) so that a reversed-and-reposted concession is reflected as the final net amount rather than the gross sum of all positive rows.</w:t>
            </w:r>
          </w:p>
        </w:tc>
      </w:tr>
      <w:tr>
        <w:tc>
          <w:tcPr>
            <w:tcW w:type="dxa" w:w="1080"/>
            <w:shd w:val="clear" w:color="auto" w:fill="D6E4F0"/>
          </w:tcPr>
          <w:p>
            <w:pPr>
              <w:spacing w:before="40" w:after="40"/>
            </w:pPr>
            <w:r/>
            <w:r>
              <w:rPr>
                <w:sz w:val="17"/>
              </w:rPr>
              <w:t>FR-28</w:t>
            </w:r>
          </w:p>
        </w:tc>
        <w:tc>
          <w:tcPr>
            <w:tcW w:type="dxa" w:w="7920"/>
            <w:shd w:val="clear" w:color="auto" w:fill="D6E4F0"/>
          </w:tcPr>
          <w:p>
            <w:pPr>
              <w:spacing w:before="40" w:after="40"/>
            </w:pPr>
            <w:r/>
            <w:r>
              <w:rPr>
                <w:sz w:val="17"/>
              </w:rPr>
              <w:t xml:space="preserve">All flags produced by John's Engine shall be emitted as standardized flag records via </w:t>
            </w:r>
            <w:r>
              <w:rPr>
                <w:rFonts w:ascii="Courier New" w:hAnsi="Courier New"/>
                <w:sz w:val="16"/>
              </w:rPr>
              <w:t>make_flag()</w:t>
            </w:r>
            <w:r>
              <w:rPr>
                <w:sz w:val="17"/>
              </w:rPr>
              <w:t xml:space="preserve">, containing: </w:t>
            </w:r>
            <w:r>
              <w:rPr>
                <w:rFonts w:ascii="Courier New" w:hAnsi="Courier New"/>
                <w:sz w:val="16"/>
              </w:rPr>
              <w:t>Property</w:t>
            </w:r>
            <w:r>
              <w:rPr>
                <w:sz w:val="17"/>
              </w:rPr>
              <w:t xml:space="preserve">, </w:t>
            </w:r>
            <w:r>
              <w:rPr>
                <w:rFonts w:ascii="Courier New" w:hAnsi="Courier New"/>
                <w:sz w:val="16"/>
              </w:rPr>
              <w:t>Unit</w:t>
            </w:r>
            <w:r>
              <w:rPr>
                <w:sz w:val="17"/>
              </w:rPr>
              <w:t xml:space="preserve">, </w:t>
            </w:r>
            <w:r>
              <w:rPr>
                <w:rFonts w:ascii="Courier New" w:hAnsi="Courier New"/>
                <w:sz w:val="16"/>
              </w:rPr>
              <w:t>Resident</w:t>
            </w:r>
            <w:r>
              <w:rPr>
                <w:sz w:val="17"/>
              </w:rPr>
              <w:t xml:space="preserve">, </w:t>
            </w:r>
            <w:r>
              <w:rPr>
                <w:rFonts w:ascii="Courier New" w:hAnsi="Courier New"/>
                <w:sz w:val="16"/>
              </w:rPr>
              <w:t>Rule</w:t>
            </w:r>
            <w:r>
              <w:rPr>
                <w:sz w:val="17"/>
              </w:rPr>
              <w:t xml:space="preserve">, </w:t>
            </w:r>
            <w:r>
              <w:rPr>
                <w:rFonts w:ascii="Courier New" w:hAnsi="Courier New"/>
                <w:sz w:val="16"/>
              </w:rPr>
              <w:t>Risk_Level</w:t>
            </w:r>
            <w:r>
              <w:rPr>
                <w:sz w:val="17"/>
              </w:rPr>
              <w:t xml:space="preserve"> (from </w:t>
            </w:r>
            <w:r>
              <w:rPr>
                <w:rFonts w:ascii="Courier New" w:hAnsi="Courier New"/>
                <w:sz w:val="16"/>
              </w:rPr>
              <w:t>RISK_MAP</w:t>
            </w:r>
            <w:r>
              <w:rPr>
                <w:sz w:val="17"/>
              </w:rPr>
              <w:t xml:space="preserve">), </w:t>
            </w:r>
            <w:r>
              <w:rPr>
                <w:rFonts w:ascii="Courier New" w:hAnsi="Courier New"/>
                <w:sz w:val="16"/>
              </w:rPr>
              <w:t>Detail</w:t>
            </w:r>
            <w:r>
              <w:rPr>
                <w:sz w:val="17"/>
              </w:rPr>
              <w:t xml:space="preserve"> (human-readable explanation), </w:t>
            </w:r>
            <w:r>
              <w:rPr>
                <w:rFonts w:ascii="Courier New" w:hAnsi="Courier New"/>
                <w:sz w:val="16"/>
              </w:rPr>
              <w:t>Amount_Impact</w:t>
            </w:r>
            <w:r>
              <w:rPr>
                <w:sz w:val="17"/>
              </w:rPr>
              <w:t xml:space="preserve">, and </w:t>
            </w:r>
            <w:r>
              <w:rPr>
                <w:rFonts w:ascii="Courier New" w:hAnsi="Courier New"/>
                <w:sz w:val="16"/>
              </w:rPr>
              <w:t>Source_File</w:t>
            </w:r>
            <w:r>
              <w:rPr>
                <w:sz w:val="17"/>
              </w:rPr>
              <w:t>.</w:t>
            </w:r>
          </w:p>
        </w:tc>
      </w:tr>
    </w:tbl>
    <w:p/>
    <w:p>
      <w:pPr>
        <w:pStyle w:val="Heading2"/>
      </w:pPr>
      <w:r>
        <w:rPr>
          <w:color w:val="2E74B5"/>
        </w:rPr>
        <w:t>5.3 Daniel's Revenue Integrity Engine</w:t>
      </w:r>
    </w:p>
    <w:p>
      <w:pPr>
        <w:pStyle w:val="Heading3"/>
      </w:pPr>
      <w:r>
        <w:rPr>
          <w:color w:val="2E74B5"/>
        </w:rPr>
        <w:t>5.3.1 Stage 1 — Recurring Projection Audit</w:t>
      </w:r>
    </w:p>
    <w:tbl>
      <w:tblPr>
        <w:tblStyle w:val="TableGrid"/>
        <w:tblW w:type="auto" w:w="0"/>
        <w:tblLook w:firstColumn="1" w:firstRow="1" w:lastColumn="0" w:lastRow="0" w:noHBand="0" w:noVBand="1" w:val="04A0"/>
      </w:tblPr>
      <w:tblGrid>
        <w:gridCol w:w="4500"/>
        <w:gridCol w:w="4500"/>
      </w:tblGrid>
      <w:tr>
        <w:tc>
          <w:tcPr>
            <w:tcW w:type="dxa" w:w="1080"/>
            <w:shd w:val="clear" w:color="auto" w:fill="1F4E79"/>
          </w:tcPr>
          <w:p>
            <w:pPr>
              <w:spacing w:before="60" w:after="60"/>
              <w:jc w:val="center"/>
            </w:pPr>
            <w:r/>
            <w:r>
              <w:rPr>
                <w:b/>
                <w:color w:val="FFFFFF"/>
                <w:sz w:val="18"/>
              </w:rPr>
              <w:t>ID</w:t>
            </w:r>
          </w:p>
        </w:tc>
        <w:tc>
          <w:tcPr>
            <w:tcW w:type="dxa" w:w="7920"/>
            <w:shd w:val="clear" w:color="auto" w:fill="1F4E79"/>
          </w:tcPr>
          <w:p>
            <w:pPr>
              <w:spacing w:before="60" w:after="60"/>
              <w:jc w:val="center"/>
            </w:pPr>
            <w:r/>
            <w:r>
              <w:rPr>
                <w:b/>
                <w:color w:val="FFFFFF"/>
                <w:sz w:val="18"/>
              </w:rPr>
              <w:t>Requirement Description</w:t>
            </w:r>
          </w:p>
        </w:tc>
      </w:tr>
      <w:tr>
        <w:tc>
          <w:tcPr>
            <w:tcW w:type="dxa" w:w="1080"/>
          </w:tcPr>
          <w:p>
            <w:pPr>
              <w:spacing w:before="40" w:after="40"/>
            </w:pPr>
            <w:r/>
            <w:r>
              <w:rPr>
                <w:sz w:val="17"/>
              </w:rPr>
              <w:t>FR-29</w:t>
            </w:r>
          </w:p>
        </w:tc>
        <w:tc>
          <w:tcPr>
            <w:tcW w:type="dxa" w:w="7920"/>
          </w:tcPr>
          <w:p>
            <w:pPr>
              <w:spacing w:before="40" w:after="40"/>
            </w:pPr>
            <w:r/>
            <w:r>
              <w:rPr>
                <w:b/>
                <w:sz w:val="17"/>
              </w:rPr>
              <w:t>90% Rule — Missing Standard Charge:</w:t>
            </w:r>
            <w:r>
              <w:rPr>
                <w:sz w:val="17"/>
              </w:rPr>
              <w:t xml:space="preserve"> For each </w:t>
            </w:r>
            <w:r>
              <w:rPr>
                <w:rFonts w:ascii="Courier New" w:hAnsi="Courier New"/>
                <w:sz w:val="16"/>
              </w:rPr>
              <w:t>(Property, Category)</w:t>
            </w:r>
            <w:r>
              <w:rPr>
                <w:sz w:val="17"/>
              </w:rPr>
              <w:t xml:space="preserve"> combination in the Transaction Projection, the system shall compute the percentage of occupied units that have a positive amount for that category. If the percentage is ≥ 90% (</w:t>
            </w:r>
            <w:r>
              <w:rPr>
                <w:rFonts w:ascii="Courier New" w:hAnsi="Courier New"/>
                <w:sz w:val="16"/>
              </w:rPr>
              <w:t>STANDARD_CHARGE_THRESHOLD</w:t>
            </w:r>
            <w:r>
              <w:rPr>
                <w:sz w:val="17"/>
              </w:rPr>
              <w:t xml:space="preserve">), the category is classified as a standard charge, and every unit missing that charge shall receive a </w:t>
            </w:r>
            <w:r>
              <w:rPr>
                <w:rFonts w:ascii="Courier New" w:hAnsi="Courier New"/>
                <w:sz w:val="16"/>
              </w:rPr>
              <w:t>Missing Standard Charge</w:t>
            </w:r>
            <w:r>
              <w:rPr>
                <w:sz w:val="17"/>
              </w:rPr>
              <w:t xml:space="preserve"> flag rated HIGH.</w:t>
            </w:r>
          </w:p>
        </w:tc>
      </w:tr>
      <w:tr>
        <w:tc>
          <w:tcPr>
            <w:tcW w:type="dxa" w:w="1080"/>
            <w:shd w:val="clear" w:color="auto" w:fill="D6E4F0"/>
          </w:tcPr>
          <w:p>
            <w:pPr>
              <w:spacing w:before="40" w:after="40"/>
            </w:pPr>
            <w:r/>
            <w:r>
              <w:rPr>
                <w:sz w:val="17"/>
              </w:rPr>
              <w:t>FR-30</w:t>
            </w:r>
          </w:p>
        </w:tc>
        <w:tc>
          <w:tcPr>
            <w:tcW w:type="dxa" w:w="7920"/>
            <w:shd w:val="clear" w:color="auto" w:fill="D6E4F0"/>
          </w:tcPr>
          <w:p>
            <w:pPr>
              <w:spacing w:before="40" w:after="40"/>
            </w:pPr>
            <w:r/>
            <w:r>
              <w:rPr>
                <w:sz w:val="17"/>
              </w:rPr>
              <w:t>The system shall exclude categories matching optional charge keywords (</w:t>
            </w:r>
            <w:r>
              <w:rPr>
                <w:rFonts w:ascii="Courier New" w:hAnsi="Courier New"/>
                <w:sz w:val="16"/>
              </w:rPr>
              <w:t>"carport"</w:t>
            </w:r>
            <w:r>
              <w:rPr>
                <w:sz w:val="17"/>
              </w:rPr>
              <w:t xml:space="preserve">, </w:t>
            </w:r>
            <w:r>
              <w:rPr>
                <w:rFonts w:ascii="Courier New" w:hAnsi="Courier New"/>
                <w:sz w:val="16"/>
              </w:rPr>
              <w:t>"parking"</w:t>
            </w:r>
            <w:r>
              <w:rPr>
                <w:sz w:val="17"/>
              </w:rPr>
              <w:t xml:space="preserve">, </w:t>
            </w:r>
            <w:r>
              <w:rPr>
                <w:rFonts w:ascii="Courier New" w:hAnsi="Courier New"/>
                <w:sz w:val="16"/>
              </w:rPr>
              <w:t>"pet rent"</w:t>
            </w:r>
            <w:r>
              <w:rPr>
                <w:sz w:val="17"/>
              </w:rPr>
              <w:t xml:space="preserve">, </w:t>
            </w:r>
            <w:r>
              <w:rPr>
                <w:rFonts w:ascii="Courier New" w:hAnsi="Courier New"/>
                <w:sz w:val="16"/>
              </w:rPr>
              <w:t>"pet fee"</w:t>
            </w:r>
            <w:r>
              <w:rPr>
                <w:sz w:val="17"/>
              </w:rPr>
              <w:t xml:space="preserve">, </w:t>
            </w:r>
            <w:r>
              <w:rPr>
                <w:rFonts w:ascii="Courier New" w:hAnsi="Courier New"/>
                <w:sz w:val="16"/>
              </w:rPr>
              <w:t>"washer"</w:t>
            </w:r>
            <w:r>
              <w:rPr>
                <w:sz w:val="17"/>
              </w:rPr>
              <w:t xml:space="preserve">, </w:t>
            </w:r>
            <w:r>
              <w:rPr>
                <w:rFonts w:ascii="Courier New" w:hAnsi="Courier New"/>
                <w:sz w:val="16"/>
              </w:rPr>
              <w:t>"dryer"</w:t>
            </w:r>
            <w:r>
              <w:rPr>
                <w:sz w:val="17"/>
              </w:rPr>
              <w:t xml:space="preserve">, </w:t>
            </w:r>
            <w:r>
              <w:rPr>
                <w:rFonts w:ascii="Courier New" w:hAnsi="Courier New"/>
                <w:sz w:val="16"/>
              </w:rPr>
              <w:t>"first floor"</w:t>
            </w:r>
            <w:r>
              <w:rPr>
                <w:sz w:val="17"/>
              </w:rPr>
              <w:t xml:space="preserve">, </w:t>
            </w:r>
            <w:r>
              <w:rPr>
                <w:rFonts w:ascii="Courier New" w:hAnsi="Courier New"/>
                <w:sz w:val="16"/>
              </w:rPr>
              <w:t>"1st floor"</w:t>
            </w:r>
            <w:r>
              <w:rPr>
                <w:sz w:val="17"/>
              </w:rPr>
              <w:t>) from the 90% Rule check, because these charges are unit-specific add-ons and not expected portfolio-wide.</w:t>
            </w:r>
          </w:p>
        </w:tc>
      </w:tr>
      <w:tr>
        <w:tc>
          <w:tcPr>
            <w:tcW w:type="dxa" w:w="1080"/>
          </w:tcPr>
          <w:p>
            <w:pPr>
              <w:spacing w:before="40" w:after="40"/>
            </w:pPr>
            <w:r/>
            <w:r>
              <w:rPr>
                <w:sz w:val="17"/>
              </w:rPr>
              <w:t>FR-31</w:t>
            </w:r>
          </w:p>
        </w:tc>
        <w:tc>
          <w:tcPr>
            <w:tcW w:type="dxa" w:w="7920"/>
          </w:tcPr>
          <w:p>
            <w:pPr>
              <w:spacing w:before="40" w:after="40"/>
            </w:pPr>
            <w:r/>
            <w:r>
              <w:rPr>
                <w:b/>
                <w:sz w:val="17"/>
              </w:rPr>
              <w:t>Major Charge Amount Variance:</w:t>
            </w:r>
            <w:r>
              <w:rPr>
                <w:sz w:val="17"/>
              </w:rPr>
              <w:t xml:space="preserve"> The system shall group Transaction Projection rows by </w:t>
            </w:r>
            <w:r>
              <w:rPr>
                <w:rFonts w:ascii="Courier New" w:hAnsi="Courier New"/>
                <w:sz w:val="16"/>
              </w:rPr>
              <w:t>(Property, Unit_Type, Category)</w:t>
            </w:r>
            <w:r>
              <w:rPr>
                <w:sz w:val="17"/>
              </w:rPr>
              <w:t xml:space="preserve"> and compute the statistical mode amount for each group (using only positive-amount rows and requiring at least 3 data points). Any unit whose amount for that category deviates from the mode by ≥ 20% AND ≥ $5.00 shall receive a </w:t>
            </w:r>
            <w:r>
              <w:rPr>
                <w:rFonts w:ascii="Courier New" w:hAnsi="Courier New"/>
                <w:sz w:val="16"/>
              </w:rPr>
              <w:t>Major Charge Amount Variance</w:t>
            </w:r>
            <w:r>
              <w:rPr>
                <w:sz w:val="17"/>
              </w:rPr>
              <w:t xml:space="preserve"> flag rated HIGH.</w:t>
            </w:r>
          </w:p>
        </w:tc>
      </w:tr>
      <w:tr>
        <w:tc>
          <w:tcPr>
            <w:tcW w:type="dxa" w:w="1080"/>
            <w:shd w:val="clear" w:color="auto" w:fill="D6E4F0"/>
          </w:tcPr>
          <w:p>
            <w:pPr>
              <w:spacing w:before="40" w:after="40"/>
            </w:pPr>
            <w:r/>
            <w:r>
              <w:rPr>
                <w:sz w:val="17"/>
              </w:rPr>
              <w:t>FR-32</w:t>
            </w:r>
          </w:p>
        </w:tc>
        <w:tc>
          <w:tcPr>
            <w:tcW w:type="dxa" w:w="7920"/>
            <w:shd w:val="clear" w:color="auto" w:fill="D6E4F0"/>
          </w:tcPr>
          <w:p>
            <w:pPr>
              <w:spacing w:before="40" w:after="40"/>
            </w:pPr>
            <w:r/>
            <w:r>
              <w:rPr>
                <w:b/>
                <w:sz w:val="17"/>
              </w:rPr>
              <w:t>Minor Charge Amount Variance:</w:t>
            </w:r>
            <w:r>
              <w:rPr>
                <w:sz w:val="17"/>
              </w:rPr>
              <w:t xml:space="preserve"> Any unit whose charge amount deviates from the mode by ≥ $1.00 but does not meet both thresholds for Major variance shall receive a </w:t>
            </w:r>
            <w:r>
              <w:rPr>
                <w:rFonts w:ascii="Courier New" w:hAnsi="Courier New"/>
                <w:sz w:val="16"/>
              </w:rPr>
              <w:t>Minor Charge Amount Variance</w:t>
            </w:r>
            <w:r>
              <w:rPr>
                <w:sz w:val="17"/>
              </w:rPr>
              <w:t xml:space="preserve"> flag rated MEDIUM.</w:t>
            </w:r>
          </w:p>
        </w:tc>
      </w:tr>
      <w:tr>
        <w:tc>
          <w:tcPr>
            <w:tcW w:type="dxa" w:w="1080"/>
          </w:tcPr>
          <w:p>
            <w:pPr>
              <w:spacing w:before="40" w:after="40"/>
            </w:pPr>
            <w:r/>
            <w:r>
              <w:rPr>
                <w:sz w:val="17"/>
              </w:rPr>
              <w:t>FR-33</w:t>
            </w:r>
          </w:p>
        </w:tc>
        <w:tc>
          <w:tcPr>
            <w:tcW w:type="dxa" w:w="7920"/>
          </w:tcPr>
          <w:p>
            <w:pPr>
              <w:spacing w:before="40" w:after="40"/>
            </w:pPr>
            <w:r/>
            <w:r>
              <w:rPr>
                <w:sz w:val="17"/>
              </w:rPr>
              <w:t xml:space="preserve">The system shall exclude </w:t>
            </w:r>
            <w:r>
              <w:rPr>
                <w:rFonts w:ascii="Courier New" w:hAnsi="Courier New"/>
                <w:sz w:val="16"/>
              </w:rPr>
              <w:t>"Rent"</w:t>
            </w:r>
            <w:r>
              <w:rPr>
                <w:sz w:val="17"/>
              </w:rPr>
              <w:t xml:space="preserve"> category rows from amount variance checks. Rent legitimately varies between units due to different lease terms and negotiated rates; rent discrepancies against the Rent Roll are fully handled by the Stage 2 Posted vs Recurring Mismatch rule. Optional charge categories are also excluded from amount variance because their amount validation is owned by the Fee Schedule Check engine.</w:t>
            </w:r>
          </w:p>
        </w:tc>
      </w:tr>
      <w:tr>
        <w:tc>
          <w:tcPr>
            <w:tcW w:type="dxa" w:w="1080"/>
            <w:shd w:val="clear" w:color="auto" w:fill="D6E4F0"/>
          </w:tcPr>
          <w:p>
            <w:pPr>
              <w:spacing w:before="40" w:after="40"/>
            </w:pPr>
            <w:r/>
            <w:r>
              <w:rPr>
                <w:sz w:val="17"/>
              </w:rPr>
              <w:t>FR-34</w:t>
            </w:r>
          </w:p>
        </w:tc>
        <w:tc>
          <w:tcPr>
            <w:tcW w:type="dxa" w:w="7920"/>
            <w:shd w:val="clear" w:color="auto" w:fill="D6E4F0"/>
          </w:tcPr>
          <w:p>
            <w:pPr>
              <w:spacing w:before="40" w:after="40"/>
            </w:pPr>
            <w:r/>
            <w:r>
              <w:rPr>
                <w:b/>
                <w:sz w:val="17"/>
              </w:rPr>
              <w:t>Recurring Concession &gt;$700:</w:t>
            </w:r>
            <w:r>
              <w:rPr>
                <w:sz w:val="17"/>
              </w:rPr>
              <w:t xml:space="preserve"> The system shall scan all concession rows in the Transaction Projection (rows matching concession keywords: </w:t>
            </w:r>
            <w:r>
              <w:rPr>
                <w:rFonts w:ascii="Courier New" w:hAnsi="Courier New"/>
                <w:sz w:val="16"/>
              </w:rPr>
              <w:t>"concession"</w:t>
            </w:r>
            <w:r>
              <w:rPr>
                <w:sz w:val="17"/>
              </w:rPr>
              <w:t xml:space="preserve">, </w:t>
            </w:r>
            <w:r>
              <w:rPr>
                <w:rFonts w:ascii="Courier New" w:hAnsi="Courier New"/>
                <w:sz w:val="16"/>
              </w:rPr>
              <w:t>"conr"</w:t>
            </w:r>
            <w:r>
              <w:rPr>
                <w:sz w:val="17"/>
              </w:rPr>
              <w:t xml:space="preserve">, </w:t>
            </w:r>
            <w:r>
              <w:rPr>
                <w:rFonts w:ascii="Courier New" w:hAnsi="Courier New"/>
                <w:sz w:val="16"/>
              </w:rPr>
              <w:t>"crtco"</w:t>
            </w:r>
            <w:r>
              <w:rPr>
                <w:sz w:val="17"/>
              </w:rPr>
              <w:t xml:space="preserve">, </w:t>
            </w:r>
            <w:r>
              <w:rPr>
                <w:rFonts w:ascii="Courier New" w:hAnsi="Courier New"/>
                <w:sz w:val="16"/>
              </w:rPr>
              <w:t>"empl"</w:t>
            </w:r>
            <w:r>
              <w:rPr>
                <w:sz w:val="17"/>
              </w:rPr>
              <w:t xml:space="preserve">, </w:t>
            </w:r>
            <w:r>
              <w:rPr>
                <w:rFonts w:ascii="Courier New" w:hAnsi="Courier New"/>
                <w:sz w:val="16"/>
              </w:rPr>
              <w:t>"mccr"</w:t>
            </w:r>
            <w:r>
              <w:rPr>
                <w:sz w:val="17"/>
              </w:rPr>
              <w:t xml:space="preserve">, </w:t>
            </w:r>
            <w:r>
              <w:rPr>
                <w:rFonts w:ascii="Courier New" w:hAnsi="Courier New"/>
                <w:sz w:val="16"/>
              </w:rPr>
              <w:t>"rrfee"</w:t>
            </w:r>
            <w:r>
              <w:rPr>
                <w:sz w:val="17"/>
              </w:rPr>
              <w:t xml:space="preserve">, </w:t>
            </w:r>
            <w:r>
              <w:rPr>
                <w:rFonts w:ascii="Courier New" w:hAnsi="Courier New"/>
                <w:sz w:val="16"/>
              </w:rPr>
              <w:t>"employee unit"</w:t>
            </w:r>
            <w:r>
              <w:rPr>
                <w:sz w:val="17"/>
              </w:rPr>
              <w:t xml:space="preserve">, </w:t>
            </w:r>
            <w:r>
              <w:rPr>
                <w:rFonts w:ascii="Courier New" w:hAnsi="Courier New"/>
                <w:sz w:val="16"/>
              </w:rPr>
              <w:t>"resident referral"</w:t>
            </w:r>
            <w:r>
              <w:rPr>
                <w:sz w:val="17"/>
              </w:rPr>
              <w:t xml:space="preserve">, </w:t>
            </w:r>
            <w:r>
              <w:rPr>
                <w:rFonts w:ascii="Courier New" w:hAnsi="Courier New"/>
                <w:sz w:val="16"/>
              </w:rPr>
              <w:t>"courtesy officer"</w:t>
            </w:r>
            <w:r>
              <w:rPr>
                <w:sz w:val="17"/>
              </w:rPr>
              <w:t xml:space="preserve">) for the audit month. If </w:t>
            </w:r>
            <w:r>
              <w:rPr>
                <w:rFonts w:ascii="Courier New" w:hAnsi="Courier New"/>
                <w:sz w:val="16"/>
              </w:rPr>
              <w:t>abs(Amount) &gt; $700</w:t>
            </w:r>
            <w:r>
              <w:rPr>
                <w:sz w:val="17"/>
              </w:rPr>
              <w:t xml:space="preserve"> for any unit, it shall emit a </w:t>
            </w:r>
            <w:r>
              <w:rPr>
                <w:rFonts w:ascii="Courier New" w:hAnsi="Courier New"/>
                <w:sz w:val="16"/>
              </w:rPr>
              <w:t>Recurring Concession &gt;$700</w:t>
            </w:r>
            <w:r>
              <w:rPr>
                <w:sz w:val="17"/>
              </w:rPr>
              <w:t xml:space="preserve"> flag rated HIGH. Concession amounts are stored as negative in the projection; </w:t>
            </w:r>
            <w:r>
              <w:rPr>
                <w:rFonts w:ascii="Courier New" w:hAnsi="Courier New"/>
                <w:sz w:val="16"/>
              </w:rPr>
              <w:t>abs()</w:t>
            </w:r>
            <w:r>
              <w:rPr>
                <w:sz w:val="17"/>
              </w:rPr>
              <w:t xml:space="preserve"> is used for all threshold comparisons.</w:t>
            </w:r>
          </w:p>
        </w:tc>
      </w:tr>
      <w:tr>
        <w:tc>
          <w:tcPr>
            <w:tcW w:type="dxa" w:w="1080"/>
          </w:tcPr>
          <w:p>
            <w:pPr>
              <w:spacing w:before="40" w:after="40"/>
            </w:pPr>
            <w:r/>
            <w:r>
              <w:rPr>
                <w:sz w:val="17"/>
              </w:rPr>
              <w:t>FR-35</w:t>
            </w:r>
          </w:p>
        </w:tc>
        <w:tc>
          <w:tcPr>
            <w:tcW w:type="dxa" w:w="7920"/>
          </w:tcPr>
          <w:p>
            <w:pPr>
              <w:spacing w:before="40" w:after="40"/>
            </w:pPr>
            <w:r/>
            <w:r>
              <w:rPr>
                <w:b/>
                <w:sz w:val="17"/>
              </w:rPr>
              <w:t>Concession &gt;$500 for 2+ Months:</w:t>
            </w:r>
            <w:r>
              <w:rPr>
                <w:sz w:val="17"/>
              </w:rPr>
              <w:t xml:space="preserve"> The system shall flag any unit whose recurring concession is exactly $500 (within $1.00) for the audit month, and any unit whose concession exceeds $500 and spans more than 2 months in the projection, both rated HIGH, since these arrangements require documented lease addenda.</w:t>
            </w:r>
          </w:p>
        </w:tc>
      </w:tr>
    </w:tbl>
    <w:p/>
    <w:p>
      <w:pPr>
        <w:pStyle w:val="Heading3"/>
      </w:pPr>
      <w:r>
        <w:rPr>
          <w:color w:val="2E74B5"/>
        </w:rPr>
        <w:t>5.3.2 Stage 1B — NER Engine</w:t>
      </w:r>
    </w:p>
    <w:tbl>
      <w:tblPr>
        <w:tblStyle w:val="TableGrid"/>
        <w:tblW w:type="auto" w:w="0"/>
        <w:tblLook w:firstColumn="1" w:firstRow="1" w:lastColumn="0" w:lastRow="0" w:noHBand="0" w:noVBand="1" w:val="04A0"/>
      </w:tblPr>
      <w:tblGrid>
        <w:gridCol w:w="4500"/>
        <w:gridCol w:w="4500"/>
      </w:tblGrid>
      <w:tr>
        <w:tc>
          <w:tcPr>
            <w:tcW w:type="dxa" w:w="1080"/>
            <w:shd w:val="clear" w:color="auto" w:fill="1F4E79"/>
          </w:tcPr>
          <w:p>
            <w:pPr>
              <w:spacing w:before="60" w:after="60"/>
              <w:jc w:val="center"/>
            </w:pPr>
            <w:r/>
            <w:r>
              <w:rPr>
                <w:b/>
                <w:color w:val="FFFFFF"/>
                <w:sz w:val="18"/>
              </w:rPr>
              <w:t>ID</w:t>
            </w:r>
          </w:p>
        </w:tc>
        <w:tc>
          <w:tcPr>
            <w:tcW w:type="dxa" w:w="7920"/>
            <w:shd w:val="clear" w:color="auto" w:fill="1F4E79"/>
          </w:tcPr>
          <w:p>
            <w:pPr>
              <w:spacing w:before="60" w:after="60"/>
              <w:jc w:val="center"/>
            </w:pPr>
            <w:r/>
            <w:r>
              <w:rPr>
                <w:b/>
                <w:color w:val="FFFFFF"/>
                <w:sz w:val="18"/>
              </w:rPr>
              <w:t>Requirement Description</w:t>
            </w:r>
          </w:p>
        </w:tc>
      </w:tr>
      <w:tr>
        <w:tc>
          <w:tcPr>
            <w:tcW w:type="dxa" w:w="1080"/>
          </w:tcPr>
          <w:p>
            <w:pPr>
              <w:spacing w:before="40" w:after="40"/>
            </w:pPr>
            <w:r/>
            <w:r>
              <w:rPr>
                <w:sz w:val="17"/>
              </w:rPr>
              <w:t>FR-36</w:t>
            </w:r>
          </w:p>
        </w:tc>
        <w:tc>
          <w:tcPr>
            <w:tcW w:type="dxa" w:w="7920"/>
          </w:tcPr>
          <w:p>
            <w:pPr>
              <w:spacing w:before="40" w:after="40"/>
            </w:pPr>
            <w:r/>
            <w:r>
              <w:rPr>
                <w:sz w:val="17"/>
              </w:rPr>
              <w:t>The system shall execute the NER Engine only when the multi-month projection DataFrame (</w:t>
            </w:r>
            <w:r>
              <w:rPr>
                <w:rFonts w:ascii="Courier New" w:hAnsi="Courier New"/>
                <w:sz w:val="16"/>
              </w:rPr>
              <w:t>df_proj_full</w:t>
            </w:r>
            <w:r>
              <w:rPr>
                <w:sz w:val="17"/>
              </w:rPr>
              <w:t xml:space="preserve">) is not empty. For each </w:t>
            </w:r>
            <w:r>
              <w:rPr>
                <w:rFonts w:ascii="Courier New" w:hAnsi="Courier New"/>
                <w:sz w:val="16"/>
              </w:rPr>
              <w:t>(Property, Unit)</w:t>
            </w:r>
            <w:r>
              <w:rPr>
                <w:sz w:val="17"/>
              </w:rPr>
              <w:t xml:space="preserve">, it shall classify projection rows as rent rows (category contains </w:t>
            </w:r>
            <w:r>
              <w:rPr>
                <w:rFonts w:ascii="Courier New" w:hAnsi="Courier New"/>
                <w:sz w:val="16"/>
              </w:rPr>
              <w:t>\brent\b</w:t>
            </w:r>
            <w:r>
              <w:rPr>
                <w:sz w:val="17"/>
              </w:rPr>
              <w:t xml:space="preserve"> and not </w:t>
            </w:r>
            <w:r>
              <w:rPr>
                <w:rFonts w:ascii="Courier New" w:hAnsi="Courier New"/>
                <w:sz w:val="16"/>
              </w:rPr>
              <w:t>"concession"</w:t>
            </w:r>
            <w:r>
              <w:rPr>
                <w:sz w:val="17"/>
              </w:rPr>
              <w:t xml:space="preserve">) and concession rows (category matches any concession keyword). It shall then compute </w:t>
            </w:r>
            <w:r>
              <w:rPr>
                <w:rFonts w:ascii="Courier New" w:hAnsi="Courier New"/>
                <w:sz w:val="16"/>
              </w:rPr>
              <w:t>rent_by_month</w:t>
            </w:r>
            <w:r>
              <w:rPr>
                <w:sz w:val="17"/>
              </w:rPr>
              <w:t xml:space="preserve"> and </w:t>
            </w:r>
            <w:r>
              <w:rPr>
                <w:rFonts w:ascii="Courier New" w:hAnsi="Courier New"/>
                <w:sz w:val="16"/>
              </w:rPr>
              <w:t>conc_by_month</w:t>
            </w:r>
            <w:r>
              <w:rPr>
                <w:sz w:val="17"/>
              </w:rPr>
              <w:t xml:space="preserve"> dictionaries for every month in the projection.</w:t>
            </w:r>
          </w:p>
        </w:tc>
      </w:tr>
      <w:tr>
        <w:tc>
          <w:tcPr>
            <w:tcW w:type="dxa" w:w="1080"/>
            <w:shd w:val="clear" w:color="auto" w:fill="D6E4F0"/>
          </w:tcPr>
          <w:p>
            <w:pPr>
              <w:spacing w:before="40" w:after="40"/>
            </w:pPr>
            <w:r/>
            <w:r>
              <w:rPr>
                <w:sz w:val="17"/>
              </w:rPr>
              <w:t>FR-37</w:t>
            </w:r>
          </w:p>
        </w:tc>
        <w:tc>
          <w:tcPr>
            <w:tcW w:type="dxa" w:w="7920"/>
            <w:shd w:val="clear" w:color="auto" w:fill="D6E4F0"/>
          </w:tcPr>
          <w:p>
            <w:pPr>
              <w:spacing w:before="40" w:after="40"/>
            </w:pPr>
            <w:r/>
            <w:r>
              <w:rPr>
                <w:sz w:val="17"/>
              </w:rPr>
              <w:t xml:space="preserve">The system shall resolve the NER floor for each unit as follows: (1) check </w:t>
            </w:r>
            <w:r>
              <w:rPr>
                <w:rFonts w:ascii="Courier New" w:hAnsi="Courier New"/>
                <w:sz w:val="16"/>
              </w:rPr>
              <w:t>PROPERTY_NER_FLOORS[property][bedroom_type]</w:t>
            </w:r>
            <w:r>
              <w:rPr>
                <w:sz w:val="17"/>
              </w:rPr>
              <w:t xml:space="preserve">; (2) if that is </w:t>
            </w:r>
            <w:r>
              <w:rPr>
                <w:rFonts w:ascii="Courier New" w:hAnsi="Courier New"/>
                <w:sz w:val="16"/>
              </w:rPr>
              <w:t>None</w:t>
            </w:r>
            <w:r>
              <w:rPr>
                <w:sz w:val="17"/>
              </w:rPr>
              <w:t xml:space="preserve">, check </w:t>
            </w:r>
            <w:r>
              <w:rPr>
                <w:rFonts w:ascii="Courier New" w:hAnsi="Courier New"/>
                <w:sz w:val="16"/>
              </w:rPr>
              <w:t>PROPERTY_NER_DISCOUNT[property]</w:t>
            </w:r>
            <w:r>
              <w:rPr>
                <w:sz w:val="17"/>
              </w:rPr>
              <w:t xml:space="preserve"> and look up the unit's market rent in the Market Rent Schedule; if found, compute floor = </w:t>
            </w:r>
            <w:r>
              <w:rPr>
                <w:rFonts w:ascii="Courier New" w:hAnsi="Courier New"/>
                <w:sz w:val="16"/>
              </w:rPr>
              <w:t>market_rent - discount</w:t>
            </w:r>
            <w:r>
              <w:rPr>
                <w:sz w:val="17"/>
              </w:rPr>
              <w:t>. If neither source yields a floor, NER checks are skipped for that unit.</w:t>
            </w:r>
          </w:p>
        </w:tc>
      </w:tr>
      <w:tr>
        <w:tc>
          <w:tcPr>
            <w:tcW w:type="dxa" w:w="1080"/>
          </w:tcPr>
          <w:p>
            <w:pPr>
              <w:spacing w:before="40" w:after="40"/>
            </w:pPr>
            <w:r/>
            <w:r>
              <w:rPr>
                <w:sz w:val="17"/>
              </w:rPr>
              <w:t>FR-38</w:t>
            </w:r>
          </w:p>
        </w:tc>
        <w:tc>
          <w:tcPr>
            <w:tcW w:type="dxa" w:w="7920"/>
          </w:tcPr>
          <w:p>
            <w:pPr>
              <w:spacing w:before="40" w:after="40"/>
            </w:pPr>
            <w:r/>
            <w:r>
              <w:rPr>
                <w:sz w:val="17"/>
              </w:rPr>
              <w:t>The system shall derive the bedroom type (</w:t>
            </w:r>
            <w:r>
              <w:rPr>
                <w:rFonts w:ascii="Courier New" w:hAnsi="Courier New"/>
                <w:sz w:val="16"/>
              </w:rPr>
              <w:t>1BR</w:t>
            </w:r>
            <w:r>
              <w:rPr>
                <w:sz w:val="17"/>
              </w:rPr>
              <w:t xml:space="preserve">, </w:t>
            </w:r>
            <w:r>
              <w:rPr>
                <w:rFonts w:ascii="Courier New" w:hAnsi="Courier New"/>
                <w:sz w:val="16"/>
              </w:rPr>
              <w:t>2BR</w:t>
            </w:r>
            <w:r>
              <w:rPr>
                <w:sz w:val="17"/>
              </w:rPr>
              <w:t xml:space="preserve">, </w:t>
            </w:r>
            <w:r>
              <w:rPr>
                <w:rFonts w:ascii="Courier New" w:hAnsi="Courier New"/>
                <w:sz w:val="16"/>
              </w:rPr>
              <w:t>3BR</w:t>
            </w:r>
            <w:r>
              <w:rPr>
                <w:sz w:val="17"/>
              </w:rPr>
              <w:t>) from the ResMan unit type code using the following logic: if the numeric suffix in the code is ≥ 3, classify as 3BR; otherwise use the letter prefix (A → 1BR, B → 2BR, C/D → 3BR).</w:t>
            </w:r>
          </w:p>
        </w:tc>
      </w:tr>
      <w:tr>
        <w:tc>
          <w:tcPr>
            <w:tcW w:type="dxa" w:w="1080"/>
            <w:shd w:val="clear" w:color="auto" w:fill="D6E4F0"/>
          </w:tcPr>
          <w:p>
            <w:pPr>
              <w:spacing w:before="40" w:after="40"/>
            </w:pPr>
            <w:r/>
            <w:r>
              <w:rPr>
                <w:sz w:val="17"/>
              </w:rPr>
              <w:t>FR-39</w:t>
            </w:r>
          </w:p>
        </w:tc>
        <w:tc>
          <w:tcPr>
            <w:tcW w:type="dxa" w:w="7920"/>
            <w:shd w:val="clear" w:color="auto" w:fill="D6E4F0"/>
          </w:tcPr>
          <w:p>
            <w:pPr>
              <w:spacing w:before="40" w:after="40"/>
            </w:pPr>
            <w:r/>
            <w:r>
              <w:rPr>
                <w:b/>
                <w:sz w:val="17"/>
              </w:rPr>
              <w:t>Full Rent Recurring Offset (CRITICAL):</w:t>
            </w:r>
            <w:r>
              <w:rPr>
                <w:sz w:val="17"/>
              </w:rPr>
              <w:t xml:space="preserve"> The system shall identify months where </w:t>
            </w:r>
            <w:r>
              <w:rPr>
                <w:rFonts w:ascii="Courier New" w:hAnsi="Courier New"/>
                <w:sz w:val="16"/>
              </w:rPr>
              <w:t>abs(rent + concession) &lt; $1.00</w:t>
            </w:r>
            <w:r>
              <w:rPr>
                <w:sz w:val="17"/>
              </w:rPr>
              <w:t xml:space="preserve"> (net rent is effectively zero). If two or more such months exist in the projection for a unit, the system shall emit a </w:t>
            </w:r>
            <w:r>
              <w:rPr>
                <w:rFonts w:ascii="Courier New" w:hAnsi="Courier New"/>
                <w:sz w:val="16"/>
              </w:rPr>
              <w:t>Full Rent Recurring Offset</w:t>
            </w:r>
            <w:r>
              <w:rPr>
                <w:sz w:val="17"/>
              </w:rPr>
              <w:t xml:space="preserve"> flag rated CRITICAL. The </w:t>
            </w:r>
            <w:r>
              <w:rPr>
                <w:rFonts w:ascii="Courier New" w:hAnsi="Courier New"/>
                <w:sz w:val="16"/>
              </w:rPr>
              <w:t>Amount_Impact</w:t>
            </w:r>
            <w:r>
              <w:rPr>
                <w:sz w:val="17"/>
              </w:rPr>
              <w:t xml:space="preserve"> shall be set to </w:t>
            </w:r>
            <w:r>
              <w:rPr>
                <w:rFonts w:ascii="Courier New" w:hAnsi="Courier New"/>
                <w:sz w:val="16"/>
              </w:rPr>
              <w:t>rent_amount × number_of_full_offset_months</w:t>
            </w:r>
            <w:r>
              <w:rPr>
                <w:sz w:val="17"/>
              </w:rPr>
              <w:t xml:space="preserve"> to represent total potential revenue loss. The detail shall include the month span, monthly rent, concession, and the instruction to correct the future concession setup immediately.</w:t>
            </w:r>
          </w:p>
        </w:tc>
      </w:tr>
      <w:tr>
        <w:tc>
          <w:tcPr>
            <w:tcW w:type="dxa" w:w="1080"/>
          </w:tcPr>
          <w:p>
            <w:pPr>
              <w:spacing w:before="40" w:after="40"/>
            </w:pPr>
            <w:r/>
            <w:r>
              <w:rPr>
                <w:sz w:val="17"/>
              </w:rPr>
              <w:t>FR-40</w:t>
            </w:r>
          </w:p>
        </w:tc>
        <w:tc>
          <w:tcPr>
            <w:tcW w:type="dxa" w:w="7920"/>
          </w:tcPr>
          <w:p>
            <w:pPr>
              <w:spacing w:before="40" w:after="40"/>
            </w:pPr>
            <w:r/>
            <w:r>
              <w:rPr>
                <w:b/>
                <w:sz w:val="17"/>
              </w:rPr>
              <w:t>Future Month Full Offset (HIGH):</w:t>
            </w:r>
            <w:r>
              <w:rPr>
                <w:sz w:val="17"/>
              </w:rPr>
              <w:t xml:space="preserve"> If exactly one zero-NER month exists for a unit, the system shall emit a </w:t>
            </w:r>
            <w:r>
              <w:rPr>
                <w:rFonts w:ascii="Courier New" w:hAnsi="Courier New"/>
                <w:sz w:val="16"/>
              </w:rPr>
              <w:t>Future Month Full Offset</w:t>
            </w:r>
            <w:r>
              <w:rPr>
                <w:sz w:val="17"/>
              </w:rPr>
              <w:t xml:space="preserve"> flag rated HIGH. The detail message shall distinguish between the current audit month ("one-month-free concession in the current period — verify addendum") and a future month ("one-month-free set for an upcoming month — confirm addendum before it posts"). </w:t>
            </w:r>
            <w:r>
              <w:rPr>
                <w:rFonts w:ascii="Courier New" w:hAnsi="Courier New"/>
                <w:sz w:val="16"/>
              </w:rPr>
              <w:t>Amount_Impact</w:t>
            </w:r>
            <w:r>
              <w:rPr>
                <w:sz w:val="17"/>
              </w:rPr>
              <w:t xml:space="preserve"> shall be set to </w:t>
            </w:r>
            <w:r>
              <w:rPr>
                <w:rFonts w:ascii="Courier New" w:hAnsi="Courier New"/>
                <w:sz w:val="16"/>
              </w:rPr>
              <w:t>$0.00</w:t>
            </w:r>
            <w:r>
              <w:rPr>
                <w:sz w:val="17"/>
              </w:rPr>
              <w:t xml:space="preserve"> (the financial event has not materialized).</w:t>
            </w:r>
          </w:p>
        </w:tc>
      </w:tr>
      <w:tr>
        <w:tc>
          <w:tcPr>
            <w:tcW w:type="dxa" w:w="1080"/>
            <w:shd w:val="clear" w:color="auto" w:fill="D6E4F0"/>
          </w:tcPr>
          <w:p>
            <w:pPr>
              <w:spacing w:before="40" w:after="40"/>
            </w:pPr>
            <w:r/>
            <w:r>
              <w:rPr>
                <w:sz w:val="17"/>
              </w:rPr>
              <w:t>FR-41</w:t>
            </w:r>
          </w:p>
        </w:tc>
        <w:tc>
          <w:tcPr>
            <w:tcW w:type="dxa" w:w="7920"/>
            <w:shd w:val="clear" w:color="auto" w:fill="D6E4F0"/>
          </w:tcPr>
          <w:p>
            <w:pPr>
              <w:spacing w:before="40" w:after="40"/>
            </w:pPr>
            <w:r/>
            <w:r>
              <w:rPr>
                <w:b/>
                <w:sz w:val="17"/>
              </w:rPr>
              <w:t>Double-Discount Setup (CRITICAL):</w:t>
            </w:r>
            <w:r>
              <w:rPr>
                <w:sz w:val="17"/>
              </w:rPr>
              <w:t xml:space="preserve"> For the current audit month, if a unit's NER is below its floor AND its recurring rent is already below market rent AND it also carries a concession, the system shall emit a </w:t>
            </w:r>
            <w:r>
              <w:rPr>
                <w:rFonts w:ascii="Courier New" w:hAnsi="Courier New"/>
                <w:sz w:val="16"/>
              </w:rPr>
              <w:t>Double-Discount Setup</w:t>
            </w:r>
            <w:r>
              <w:rPr>
                <w:sz w:val="17"/>
              </w:rPr>
              <w:t xml:space="preserve"> flag rated CRITICAL. The detail shall state the market rent, the recurring rent, the concession, the resulting NER, the floor, and the required action (obtain VP authorization or correct so NER ≥ floor). </w:t>
            </w:r>
            <w:r>
              <w:rPr>
                <w:rFonts w:ascii="Courier New" w:hAnsi="Courier New"/>
                <w:sz w:val="16"/>
              </w:rPr>
              <w:t>Amount_Impact</w:t>
            </w:r>
            <w:r>
              <w:rPr>
                <w:sz w:val="17"/>
              </w:rPr>
              <w:t xml:space="preserve"> shall be set to </w:t>
            </w:r>
            <w:r>
              <w:rPr>
                <w:rFonts w:ascii="Courier New" w:hAnsi="Courier New"/>
                <w:sz w:val="16"/>
              </w:rPr>
              <w:t>floor - NER</w:t>
            </w:r>
            <w:r>
              <w:rPr>
                <w:sz w:val="17"/>
              </w:rPr>
              <w:t>.</w:t>
            </w:r>
          </w:p>
        </w:tc>
      </w:tr>
      <w:tr>
        <w:tc>
          <w:tcPr>
            <w:tcW w:type="dxa" w:w="1080"/>
          </w:tcPr>
          <w:p>
            <w:pPr>
              <w:spacing w:before="40" w:after="40"/>
            </w:pPr>
            <w:r/>
            <w:r>
              <w:rPr>
                <w:sz w:val="17"/>
              </w:rPr>
              <w:t>FR-42</w:t>
            </w:r>
          </w:p>
        </w:tc>
        <w:tc>
          <w:tcPr>
            <w:tcW w:type="dxa" w:w="7920"/>
          </w:tcPr>
          <w:p>
            <w:pPr>
              <w:spacing w:before="40" w:after="40"/>
            </w:pPr>
            <w:r/>
            <w:r>
              <w:rPr>
                <w:b/>
                <w:sz w:val="17"/>
              </w:rPr>
              <w:t>Net Effective Rent Below Floor (CRITICAL):</w:t>
            </w:r>
            <w:r>
              <w:rPr>
                <w:sz w:val="17"/>
              </w:rPr>
              <w:t xml:space="preserve"> For the current audit month, if a unit's NER is below its floor but the setup does not qualify as a double-discount (rent is not below market), the system shall emit a </w:t>
            </w:r>
            <w:r>
              <w:rPr>
                <w:rFonts w:ascii="Courier New" w:hAnsi="Courier New"/>
                <w:sz w:val="16"/>
              </w:rPr>
              <w:t>Net Effective Rent Below Floor</w:t>
            </w:r>
            <w:r>
              <w:rPr>
                <w:sz w:val="17"/>
              </w:rPr>
              <w:t xml:space="preserve"> flag rated CRITICAL with </w:t>
            </w:r>
            <w:r>
              <w:rPr>
                <w:rFonts w:ascii="Courier New" w:hAnsi="Courier New"/>
                <w:sz w:val="16"/>
              </w:rPr>
              <w:t>Amount_Impact = floor - NER</w:t>
            </w:r>
            <w:r>
              <w:rPr>
                <w:sz w:val="17"/>
              </w:rPr>
              <w:t>.</w:t>
            </w:r>
          </w:p>
        </w:tc>
      </w:tr>
      <w:tr>
        <w:tc>
          <w:tcPr>
            <w:tcW w:type="dxa" w:w="1080"/>
            <w:shd w:val="clear" w:color="auto" w:fill="D6E4F0"/>
          </w:tcPr>
          <w:p>
            <w:pPr>
              <w:spacing w:before="40" w:after="40"/>
            </w:pPr>
            <w:r/>
            <w:r>
              <w:rPr>
                <w:sz w:val="17"/>
              </w:rPr>
              <w:t>FR-43</w:t>
            </w:r>
          </w:p>
        </w:tc>
        <w:tc>
          <w:tcPr>
            <w:tcW w:type="dxa" w:w="7920"/>
            <w:shd w:val="clear" w:color="auto" w:fill="D6E4F0"/>
          </w:tcPr>
          <w:p>
            <w:pPr>
              <w:spacing w:before="40" w:after="40"/>
            </w:pPr>
            <w:r/>
            <w:r>
              <w:rPr>
                <w:sz w:val="17"/>
              </w:rPr>
              <w:t>The system shall apply a proration guard to NER checks: if the unit's recurring rent for the audit month is less than 50% of its market rent (sourced from the Rent Roll), the NER check shall be skipped for that unit, as the low rent figure likely reflects a partial-month move-in or move-out proration rather than a recurring concession issue.</w:t>
            </w:r>
          </w:p>
        </w:tc>
      </w:tr>
      <w:tr>
        <w:tc>
          <w:tcPr>
            <w:tcW w:type="dxa" w:w="1080"/>
          </w:tcPr>
          <w:p>
            <w:pPr>
              <w:spacing w:before="40" w:after="40"/>
            </w:pPr>
            <w:r/>
            <w:r>
              <w:rPr>
                <w:sz w:val="17"/>
              </w:rPr>
              <w:t>FR-44</w:t>
            </w:r>
          </w:p>
        </w:tc>
        <w:tc>
          <w:tcPr>
            <w:tcW w:type="dxa" w:w="7920"/>
          </w:tcPr>
          <w:p>
            <w:pPr>
              <w:spacing w:before="40" w:after="40"/>
            </w:pPr>
            <w:r/>
            <w:r>
              <w:rPr>
                <w:sz w:val="17"/>
              </w:rPr>
              <w:t xml:space="preserve">The system shall track flagged units in a per-run </w:t>
            </w:r>
            <w:r>
              <w:rPr>
                <w:rFonts w:ascii="Courier New" w:hAnsi="Courier New"/>
                <w:sz w:val="16"/>
              </w:rPr>
              <w:t>_ner_flagged</w:t>
            </w:r>
            <w:r>
              <w:rPr>
                <w:sz w:val="17"/>
              </w:rPr>
              <w:t xml:space="preserve"> set. Once a unit has been emitted as a Full Rent Recurring Offset, Double-Discount, or NER Below Floor flag, it shall not also be emitted for the remaining NER sub-rules for the same unit in the same run, preventing double-flagging of the same underlying condition.</w:t>
            </w:r>
          </w:p>
        </w:tc>
      </w:tr>
    </w:tbl>
    <w:p/>
    <w:p>
      <w:pPr>
        <w:pStyle w:val="Heading3"/>
      </w:pPr>
      <w:r>
        <w:rPr>
          <w:color w:val="2E74B5"/>
        </w:rPr>
        <w:t>5.3.3 Stage 2 — Posted Rent Roll Audit</w:t>
      </w:r>
    </w:p>
    <w:tbl>
      <w:tblPr>
        <w:tblStyle w:val="TableGrid"/>
        <w:tblW w:type="auto" w:w="0"/>
        <w:tblLook w:firstColumn="1" w:firstRow="1" w:lastColumn="0" w:lastRow="0" w:noHBand="0" w:noVBand="1" w:val="04A0"/>
      </w:tblPr>
      <w:tblGrid>
        <w:gridCol w:w="4500"/>
        <w:gridCol w:w="4500"/>
      </w:tblGrid>
      <w:tr>
        <w:tc>
          <w:tcPr>
            <w:tcW w:type="dxa" w:w="1080"/>
            <w:shd w:val="clear" w:color="auto" w:fill="1F4E79"/>
          </w:tcPr>
          <w:p>
            <w:pPr>
              <w:spacing w:before="60" w:after="60"/>
              <w:jc w:val="center"/>
            </w:pPr>
            <w:r/>
            <w:r>
              <w:rPr>
                <w:b/>
                <w:color w:val="FFFFFF"/>
                <w:sz w:val="18"/>
              </w:rPr>
              <w:t>ID</w:t>
            </w:r>
          </w:p>
        </w:tc>
        <w:tc>
          <w:tcPr>
            <w:tcW w:type="dxa" w:w="7920"/>
            <w:shd w:val="clear" w:color="auto" w:fill="1F4E79"/>
          </w:tcPr>
          <w:p>
            <w:pPr>
              <w:spacing w:before="60" w:after="60"/>
              <w:jc w:val="center"/>
            </w:pPr>
            <w:r/>
            <w:r>
              <w:rPr>
                <w:b/>
                <w:color w:val="FFFFFF"/>
                <w:sz w:val="18"/>
              </w:rPr>
              <w:t>Requirement Description</w:t>
            </w:r>
          </w:p>
        </w:tc>
      </w:tr>
      <w:tr>
        <w:tc>
          <w:tcPr>
            <w:tcW w:type="dxa" w:w="1080"/>
          </w:tcPr>
          <w:p>
            <w:pPr>
              <w:spacing w:before="40" w:after="40"/>
            </w:pPr>
            <w:r/>
            <w:r>
              <w:rPr>
                <w:sz w:val="17"/>
              </w:rPr>
              <w:t>FR-45</w:t>
            </w:r>
          </w:p>
        </w:tc>
        <w:tc>
          <w:tcPr>
            <w:tcW w:type="dxa" w:w="7920"/>
          </w:tcPr>
          <w:p>
            <w:pPr>
              <w:spacing w:before="40" w:after="40"/>
            </w:pPr>
            <w:r/>
            <w:r>
              <w:rPr>
                <w:sz w:val="17"/>
              </w:rPr>
              <w:t xml:space="preserve">Stage 2 shall operate only on Rent Roll rows whose </w:t>
            </w:r>
            <w:r>
              <w:rPr>
                <w:rFonts w:ascii="Courier New" w:hAnsi="Courier New"/>
                <w:sz w:val="16"/>
              </w:rPr>
              <w:t>Status</w:t>
            </w:r>
            <w:r>
              <w:rPr>
                <w:sz w:val="17"/>
              </w:rPr>
              <w:t xml:space="preserve"> field is one of </w:t>
            </w:r>
            <w:r>
              <w:rPr>
                <w:rFonts w:ascii="Courier New" w:hAnsi="Courier New"/>
                <w:sz w:val="16"/>
              </w:rPr>
              <w:t>"C"</w:t>
            </w:r>
            <w:r>
              <w:rPr>
                <w:sz w:val="17"/>
              </w:rPr>
              <w:t xml:space="preserve"> (Current), </w:t>
            </w:r>
            <w:r>
              <w:rPr>
                <w:rFonts w:ascii="Courier New" w:hAnsi="Courier New"/>
                <w:sz w:val="16"/>
              </w:rPr>
              <w:t>"MTM"</w:t>
            </w:r>
            <w:r>
              <w:rPr>
                <w:sz w:val="17"/>
              </w:rPr>
              <w:t xml:space="preserve"> (Month-to-Month), or </w:t>
            </w:r>
            <w:r>
              <w:rPr>
                <w:rFonts w:ascii="Courier New" w:hAnsi="Courier New"/>
                <w:sz w:val="16"/>
              </w:rPr>
              <w:t>"NTV"</w:t>
            </w:r>
            <w:r>
              <w:rPr>
                <w:sz w:val="17"/>
              </w:rPr>
              <w:t xml:space="preserve"> (Notice to Vacate). Units with other statuses (vacant, applicant, etc.) shall be excluded.</w:t>
            </w:r>
          </w:p>
        </w:tc>
      </w:tr>
      <w:tr>
        <w:tc>
          <w:tcPr>
            <w:tcW w:type="dxa" w:w="1080"/>
            <w:shd w:val="clear" w:color="auto" w:fill="D6E4F0"/>
          </w:tcPr>
          <w:p>
            <w:pPr>
              <w:spacing w:before="40" w:after="40"/>
            </w:pPr>
            <w:r/>
            <w:r>
              <w:rPr>
                <w:sz w:val="17"/>
              </w:rPr>
              <w:t>FR-46</w:t>
            </w:r>
          </w:p>
        </w:tc>
        <w:tc>
          <w:tcPr>
            <w:tcW w:type="dxa" w:w="7920"/>
            <w:shd w:val="clear" w:color="auto" w:fill="D6E4F0"/>
          </w:tcPr>
          <w:p>
            <w:pPr>
              <w:spacing w:before="40" w:after="40"/>
            </w:pPr>
            <w:r/>
            <w:r>
              <w:rPr>
                <w:sz w:val="17"/>
              </w:rPr>
              <w:t xml:space="preserve">The system shall build a move-in date lookup for Stage 2 by first consulting the Resident Activity report for each </w:t>
            </w:r>
            <w:r>
              <w:rPr>
                <w:rFonts w:ascii="Courier New" w:hAnsi="Courier New"/>
                <w:sz w:val="16"/>
              </w:rPr>
              <w:t>(Property, Unit)</w:t>
            </w:r>
            <w:r>
              <w:rPr>
                <w:sz w:val="17"/>
              </w:rPr>
              <w:t xml:space="preserve">, then falling back to the </w:t>
            </w:r>
            <w:r>
              <w:rPr>
                <w:rFonts w:ascii="Courier New" w:hAnsi="Courier New"/>
                <w:sz w:val="16"/>
              </w:rPr>
              <w:t>Lease Start</w:t>
            </w:r>
            <w:r>
              <w:rPr>
                <w:sz w:val="17"/>
              </w:rPr>
              <w:t xml:space="preserve"> date from the New &amp; Renewed Leases report if no activity record exists.</w:t>
            </w:r>
          </w:p>
        </w:tc>
      </w:tr>
      <w:tr>
        <w:tc>
          <w:tcPr>
            <w:tcW w:type="dxa" w:w="1080"/>
          </w:tcPr>
          <w:p>
            <w:pPr>
              <w:spacing w:before="40" w:after="40"/>
            </w:pPr>
            <w:r/>
            <w:r>
              <w:rPr>
                <w:sz w:val="17"/>
              </w:rPr>
              <w:t>FR-47</w:t>
            </w:r>
          </w:p>
        </w:tc>
        <w:tc>
          <w:tcPr>
            <w:tcW w:type="dxa" w:w="7920"/>
          </w:tcPr>
          <w:p>
            <w:pPr>
              <w:spacing w:before="40" w:after="40"/>
            </w:pPr>
            <w:r/>
            <w:r>
              <w:rPr>
                <w:b/>
                <w:sz w:val="17"/>
              </w:rPr>
              <w:t>Negative Net Rent (CRITICAL):</w:t>
            </w:r>
            <w:r>
              <w:rPr>
                <w:sz w:val="17"/>
              </w:rPr>
              <w:t xml:space="preserve"> For each occupied unit on the Rent Roll, the system shall sum all charge rows whose </w:t>
            </w:r>
            <w:r>
              <w:rPr>
                <w:rFonts w:ascii="Courier New" w:hAnsi="Courier New"/>
                <w:sz w:val="16"/>
              </w:rPr>
              <w:t>Description</w:t>
            </w:r>
            <w:r>
              <w:rPr>
                <w:sz w:val="17"/>
              </w:rPr>
              <w:t xml:space="preserve"> contains </w:t>
            </w:r>
            <w:r>
              <w:rPr>
                <w:rFonts w:ascii="Courier New" w:hAnsi="Courier New"/>
                <w:sz w:val="16"/>
              </w:rPr>
              <w:t>\brent\b</w:t>
            </w:r>
            <w:r>
              <w:rPr>
                <w:sz w:val="17"/>
              </w:rPr>
              <w:t xml:space="preserve"> or </w:t>
            </w:r>
            <w:r>
              <w:rPr>
                <w:rFonts w:ascii="Courier New" w:hAnsi="Courier New"/>
                <w:sz w:val="16"/>
              </w:rPr>
              <w:t>\bbase\b</w:t>
            </w:r>
            <w:r>
              <w:rPr>
                <w:sz w:val="17"/>
              </w:rPr>
              <w:t xml:space="preserve"> (case-insensitive, regex) and whose </w:t>
            </w:r>
            <w:r>
              <w:rPr>
                <w:rFonts w:ascii="Courier New" w:hAnsi="Courier New"/>
                <w:sz w:val="16"/>
              </w:rPr>
              <w:t>Amount</w:t>
            </w:r>
            <w:r>
              <w:rPr>
                <w:sz w:val="17"/>
              </w:rPr>
              <w:t xml:space="preserve"> is positive. If the sum is negative, the system shall emit a </w:t>
            </w:r>
            <w:r>
              <w:rPr>
                <w:rFonts w:ascii="Courier New" w:hAnsi="Courier New"/>
                <w:sz w:val="16"/>
              </w:rPr>
              <w:t>Negative Net Rent</w:t>
            </w:r>
            <w:r>
              <w:rPr>
                <w:sz w:val="17"/>
              </w:rPr>
              <w:t xml:space="preserve"> flag rated CRITICAL with </w:t>
            </w:r>
            <w:r>
              <w:rPr>
                <w:rFonts w:ascii="Courier New" w:hAnsi="Courier New"/>
                <w:sz w:val="16"/>
              </w:rPr>
              <w:t>Amount_Impact = abs(net_rent)</w:t>
            </w:r>
            <w:r>
              <w:rPr>
                <w:sz w:val="17"/>
              </w:rPr>
              <w:t>.</w:t>
            </w:r>
          </w:p>
        </w:tc>
      </w:tr>
      <w:tr>
        <w:tc>
          <w:tcPr>
            <w:tcW w:type="dxa" w:w="1080"/>
            <w:shd w:val="clear" w:color="auto" w:fill="D6E4F0"/>
          </w:tcPr>
          <w:p>
            <w:pPr>
              <w:spacing w:before="40" w:after="40"/>
            </w:pPr>
            <w:r/>
            <w:r>
              <w:rPr>
                <w:sz w:val="17"/>
              </w:rPr>
              <w:t>FR-48</w:t>
            </w:r>
          </w:p>
        </w:tc>
        <w:tc>
          <w:tcPr>
            <w:tcW w:type="dxa" w:w="7920"/>
            <w:shd w:val="clear" w:color="auto" w:fill="D6E4F0"/>
          </w:tcPr>
          <w:p>
            <w:pPr>
              <w:spacing w:before="40" w:after="40"/>
            </w:pPr>
            <w:r/>
            <w:r>
              <w:rPr>
                <w:b/>
                <w:sz w:val="17"/>
              </w:rPr>
              <w:t>$0 Net Rent — Recent Move-in (MEDIUM):</w:t>
            </w:r>
            <w:r>
              <w:rPr>
                <w:sz w:val="17"/>
              </w:rPr>
              <w:t xml:space="preserve"> If a unit's computed net rent is exactly $0 and the resident's move-in date is within 60 days (</w:t>
            </w:r>
            <w:r>
              <w:rPr>
                <w:rFonts w:ascii="Courier New" w:hAnsi="Courier New"/>
                <w:sz w:val="16"/>
              </w:rPr>
              <w:t>RECENT_MOVEIN_DAYS</w:t>
            </w:r>
            <w:r>
              <w:rPr>
                <w:sz w:val="17"/>
              </w:rPr>
              <w:t xml:space="preserve">) of the run date, the system shall emit a </w:t>
            </w:r>
            <w:r>
              <w:rPr>
                <w:rFonts w:ascii="Courier New" w:hAnsi="Courier New"/>
                <w:sz w:val="16"/>
              </w:rPr>
              <w:t>$0 Net Rent (Recent Move-in)</w:t>
            </w:r>
            <w:r>
              <w:rPr>
                <w:sz w:val="17"/>
              </w:rPr>
              <w:t xml:space="preserve"> flag rated MEDIUM. The detail shall instruct reviewers to verify first-month timing and confirm a free-month addendum is on file if applicable.</w:t>
            </w:r>
          </w:p>
        </w:tc>
      </w:tr>
      <w:tr>
        <w:tc>
          <w:tcPr>
            <w:tcW w:type="dxa" w:w="1080"/>
          </w:tcPr>
          <w:p>
            <w:pPr>
              <w:spacing w:before="40" w:after="40"/>
            </w:pPr>
            <w:r/>
            <w:r>
              <w:rPr>
                <w:sz w:val="17"/>
              </w:rPr>
              <w:t>FR-49</w:t>
            </w:r>
          </w:p>
        </w:tc>
        <w:tc>
          <w:tcPr>
            <w:tcW w:type="dxa" w:w="7920"/>
          </w:tcPr>
          <w:p>
            <w:pPr>
              <w:spacing w:before="40" w:after="40"/>
            </w:pPr>
            <w:r/>
            <w:r>
              <w:rPr>
                <w:b/>
                <w:sz w:val="17"/>
              </w:rPr>
              <w:t>$0 Net Rent — Not Recent (CRITICAL):</w:t>
            </w:r>
            <w:r>
              <w:rPr>
                <w:sz w:val="17"/>
              </w:rPr>
              <w:t xml:space="preserve"> If a unit's computed net rent is exactly $0 and the resident is not a recent move-in, the system shall emit a </w:t>
            </w:r>
            <w:r>
              <w:rPr>
                <w:rFonts w:ascii="Courier New" w:hAnsi="Courier New"/>
                <w:sz w:val="16"/>
              </w:rPr>
              <w:t>$0 Net Rent (Not Recent)</w:t>
            </w:r>
            <w:r>
              <w:rPr>
                <w:sz w:val="17"/>
              </w:rPr>
              <w:t xml:space="preserve"> flag rated CRITICAL. The detail shall direct the reviewer to check whether the unit is a courtesy officer, employee, or model unit and confirm an approved addendum, or investigate for an unauthorized full-offset posting.</w:t>
            </w:r>
          </w:p>
        </w:tc>
      </w:tr>
      <w:tr>
        <w:tc>
          <w:tcPr>
            <w:tcW w:type="dxa" w:w="1080"/>
            <w:shd w:val="clear" w:color="auto" w:fill="D6E4F0"/>
          </w:tcPr>
          <w:p>
            <w:pPr>
              <w:spacing w:before="40" w:after="40"/>
            </w:pPr>
            <w:r/>
            <w:r>
              <w:rPr>
                <w:sz w:val="17"/>
              </w:rPr>
              <w:t>FR-50</w:t>
            </w:r>
          </w:p>
        </w:tc>
        <w:tc>
          <w:tcPr>
            <w:tcW w:type="dxa" w:w="7920"/>
            <w:shd w:val="clear" w:color="auto" w:fill="D6E4F0"/>
          </w:tcPr>
          <w:p>
            <w:pPr>
              <w:spacing w:before="40" w:after="40"/>
            </w:pPr>
            <w:r/>
            <w:r>
              <w:rPr>
                <w:b/>
                <w:sz w:val="17"/>
              </w:rPr>
              <w:t>Manual Posting Without Setup (HIGH):</w:t>
            </w:r>
            <w:r>
              <w:rPr>
                <w:sz w:val="17"/>
              </w:rPr>
              <w:t xml:space="preserve"> The system shall compare every </w:t>
            </w:r>
            <w:r>
              <w:rPr>
                <w:rFonts w:ascii="Courier New" w:hAnsi="Courier New"/>
                <w:sz w:val="16"/>
              </w:rPr>
              <w:t>(Property, Unit)</w:t>
            </w:r>
            <w:r>
              <w:rPr>
                <w:sz w:val="17"/>
              </w:rPr>
              <w:t xml:space="preserve"> that has a net-positive credit in the Transaction List against the set of units present in the Transaction Projection. Any unit with a posted credit but no projection entry shall receive a </w:t>
            </w:r>
            <w:r>
              <w:rPr>
                <w:rFonts w:ascii="Courier New" w:hAnsi="Courier New"/>
                <w:sz w:val="16"/>
              </w:rPr>
              <w:t>Manual Posting Without Setup</w:t>
            </w:r>
            <w:r>
              <w:rPr>
                <w:sz w:val="17"/>
              </w:rPr>
              <w:t xml:space="preserve"> flag rated HIGH, indicating a credit was manually entered without a recurring concession setup.</w:t>
            </w:r>
          </w:p>
        </w:tc>
      </w:tr>
      <w:tr>
        <w:tc>
          <w:tcPr>
            <w:tcW w:type="dxa" w:w="1080"/>
          </w:tcPr>
          <w:p>
            <w:pPr>
              <w:spacing w:before="40" w:after="40"/>
            </w:pPr>
            <w:r/>
            <w:r>
              <w:rPr>
                <w:sz w:val="17"/>
              </w:rPr>
              <w:t>FR-51</w:t>
            </w:r>
          </w:p>
        </w:tc>
        <w:tc>
          <w:tcPr>
            <w:tcW w:type="dxa" w:w="7920"/>
          </w:tcPr>
          <w:p>
            <w:pPr>
              <w:spacing w:before="40" w:after="40"/>
            </w:pPr>
            <w:r/>
            <w:r>
              <w:rPr>
                <w:b/>
                <w:sz w:val="17"/>
              </w:rPr>
              <w:t>Posted vs Recurring Mismatch (HIGH):</w:t>
            </w:r>
            <w:r>
              <w:rPr>
                <w:sz w:val="17"/>
              </w:rPr>
              <w:t xml:space="preserve"> For each occupied unit, the system shall compare the gross rent posted on the Rent Roll (sum of positive-amount rows whose </w:t>
            </w:r>
            <w:r>
              <w:rPr>
                <w:rFonts w:ascii="Courier New" w:hAnsi="Courier New"/>
                <w:sz w:val="16"/>
              </w:rPr>
              <w:t>Description</w:t>
            </w:r>
            <w:r>
              <w:rPr>
                <w:sz w:val="17"/>
              </w:rPr>
              <w:t xml:space="preserve"> matches </w:t>
            </w:r>
            <w:r>
              <w:rPr>
                <w:rFonts w:ascii="Courier New" w:hAnsi="Courier New"/>
                <w:sz w:val="16"/>
              </w:rPr>
              <w:t>\brent\b</w:t>
            </w:r>
            <w:r>
              <w:rPr>
                <w:sz w:val="17"/>
              </w:rPr>
              <w:t xml:space="preserve"> or </w:t>
            </w:r>
            <w:r>
              <w:rPr>
                <w:rFonts w:ascii="Courier New" w:hAnsi="Courier New"/>
                <w:sz w:val="16"/>
              </w:rPr>
              <w:t>\bbase\b</w:t>
            </w:r>
            <w:r>
              <w:rPr>
                <w:sz w:val="17"/>
              </w:rPr>
              <w:t xml:space="preserve"> and excludes concession rows) against the gross recurring rent in the Transaction Projection (rows matching </w:t>
            </w:r>
            <w:r>
              <w:rPr>
                <w:rFonts w:ascii="Courier New" w:hAnsi="Courier New"/>
                <w:sz w:val="16"/>
              </w:rPr>
              <w:t>\brent\b</w:t>
            </w:r>
            <w:r>
              <w:rPr>
                <w:sz w:val="17"/>
              </w:rPr>
              <w:t xml:space="preserve"> or </w:t>
            </w:r>
            <w:r>
              <w:rPr>
                <w:rFonts w:ascii="Courier New" w:hAnsi="Courier New"/>
                <w:sz w:val="16"/>
              </w:rPr>
              <w:t>\bbase\b</w:t>
            </w:r>
            <w:r>
              <w:rPr>
                <w:sz w:val="17"/>
              </w:rPr>
              <w:t xml:space="preserve"> excluding concession rows, with positive amounts). If the absolute variance exceeds $5.00, the system shall emit a </w:t>
            </w:r>
            <w:r>
              <w:rPr>
                <w:rFonts w:ascii="Courier New" w:hAnsi="Courier New"/>
                <w:sz w:val="16"/>
              </w:rPr>
              <w:t>Posted vs Recurring Mismatch</w:t>
            </w:r>
            <w:r>
              <w:rPr>
                <w:sz w:val="17"/>
              </w:rPr>
              <w:t xml:space="preserve"> flag rated HIGH.</w:t>
            </w:r>
          </w:p>
        </w:tc>
      </w:tr>
      <w:tr>
        <w:tc>
          <w:tcPr>
            <w:tcW w:type="dxa" w:w="1080"/>
            <w:shd w:val="clear" w:color="auto" w:fill="D6E4F0"/>
          </w:tcPr>
          <w:p>
            <w:pPr>
              <w:spacing w:before="40" w:after="40"/>
            </w:pPr>
            <w:r/>
            <w:r>
              <w:rPr>
                <w:sz w:val="17"/>
              </w:rPr>
              <w:t>FR-52</w:t>
            </w:r>
          </w:p>
        </w:tc>
        <w:tc>
          <w:tcPr>
            <w:tcW w:type="dxa" w:w="7920"/>
            <w:shd w:val="clear" w:color="auto" w:fill="D6E4F0"/>
          </w:tcPr>
          <w:p>
            <w:pPr>
              <w:spacing w:before="40" w:after="40"/>
            </w:pPr>
            <w:r/>
            <w:r>
              <w:rPr>
                <w:sz w:val="17"/>
              </w:rPr>
              <w:t xml:space="preserve">The system shall apply a bidirectional proration guard to the Posted vs Recurring Mismatch check: if the smaller of </w:t>
            </w:r>
            <w:r>
              <w:rPr>
                <w:rFonts w:ascii="Courier New" w:hAnsi="Courier New"/>
                <w:sz w:val="16"/>
              </w:rPr>
              <w:t>(posted_rent, recurring_rent)</w:t>
            </w:r>
            <w:r>
              <w:rPr>
                <w:sz w:val="17"/>
              </w:rPr>
              <w:t xml:space="preserve"> is less than 60% of the larger, the comparison shall be skipped. This prevents false positives in both directions — a prorated new-move-in projection (small projection vs full Rent Roll) and a prorated move-out Rent Roll charge (small Rent Roll vs full projection).</w:t>
            </w:r>
          </w:p>
        </w:tc>
      </w:tr>
      <w:tr>
        <w:tc>
          <w:tcPr>
            <w:tcW w:type="dxa" w:w="1080"/>
          </w:tcPr>
          <w:p>
            <w:pPr>
              <w:spacing w:before="40" w:after="40"/>
            </w:pPr>
            <w:r/>
            <w:r>
              <w:rPr>
                <w:sz w:val="17"/>
              </w:rPr>
              <w:t>FR-53</w:t>
            </w:r>
          </w:p>
        </w:tc>
        <w:tc>
          <w:tcPr>
            <w:tcW w:type="dxa" w:w="7920"/>
          </w:tcPr>
          <w:p>
            <w:pPr>
              <w:spacing w:before="40" w:after="40"/>
            </w:pPr>
            <w:r/>
            <w:r>
              <w:rPr>
                <w:sz w:val="17"/>
              </w:rPr>
              <w:t>The mismatch flag detail shall include a directional explanation: if the projection is higher than the Rent Roll, the message shall state the Rent Roll may reflect a rent reduction not yet updated in the recurring setup; if the Rent Roll is higher, it shall state a rent increase may have been applied to the Rent Roll but the recurring charge was not updated to match.</w:t>
            </w:r>
          </w:p>
        </w:tc>
      </w:tr>
      <w:tr>
        <w:tc>
          <w:tcPr>
            <w:tcW w:type="dxa" w:w="1080"/>
            <w:shd w:val="clear" w:color="auto" w:fill="D6E4F0"/>
          </w:tcPr>
          <w:p>
            <w:pPr>
              <w:spacing w:before="40" w:after="40"/>
            </w:pPr>
            <w:r/>
            <w:r>
              <w:rPr>
                <w:sz w:val="17"/>
              </w:rPr>
              <w:t>FR-54</w:t>
            </w:r>
          </w:p>
        </w:tc>
        <w:tc>
          <w:tcPr>
            <w:tcW w:type="dxa" w:w="7920"/>
            <w:shd w:val="clear" w:color="auto" w:fill="D6E4F0"/>
          </w:tcPr>
          <w:p>
            <w:pPr>
              <w:spacing w:before="40" w:after="40"/>
            </w:pPr>
            <w:r/>
            <w:r>
              <w:rPr>
                <w:b/>
                <w:sz w:val="17"/>
              </w:rPr>
              <w:t>Misc Tenant Credit (HIGH):</w:t>
            </w:r>
            <w:r>
              <w:rPr>
                <w:sz w:val="17"/>
              </w:rPr>
              <w:t xml:space="preserve"> The system shall scan all non-reversal, positive-amount Transaction List rows whose </w:t>
            </w:r>
            <w:r>
              <w:rPr>
                <w:rFonts w:ascii="Courier New" w:hAnsi="Courier New"/>
                <w:sz w:val="16"/>
              </w:rPr>
              <w:t>Description</w:t>
            </w:r>
            <w:r>
              <w:rPr>
                <w:sz w:val="17"/>
              </w:rPr>
              <w:t xml:space="preserve"> contains any miscellaneous keyword (</w:t>
            </w:r>
            <w:r>
              <w:rPr>
                <w:rFonts w:ascii="Courier New" w:hAnsi="Courier New"/>
                <w:sz w:val="16"/>
              </w:rPr>
              <w:t>"misc"</w:t>
            </w:r>
            <w:r>
              <w:rPr>
                <w:sz w:val="17"/>
              </w:rPr>
              <w:t xml:space="preserve">, </w:t>
            </w:r>
            <w:r>
              <w:rPr>
                <w:rFonts w:ascii="Courier New" w:hAnsi="Courier New"/>
                <w:sz w:val="16"/>
              </w:rPr>
              <w:t>"miscellaneous"</w:t>
            </w:r>
            <w:r>
              <w:rPr>
                <w:sz w:val="17"/>
              </w:rPr>
              <w:t xml:space="preserve">, </w:t>
            </w:r>
            <w:r>
              <w:rPr>
                <w:rFonts w:ascii="Courier New" w:hAnsi="Courier New"/>
                <w:sz w:val="16"/>
              </w:rPr>
              <w:t>"adjustment"</w:t>
            </w:r>
            <w:r>
              <w:rPr>
                <w:sz w:val="17"/>
              </w:rPr>
              <w:t xml:space="preserve">, </w:t>
            </w:r>
            <w:r>
              <w:rPr>
                <w:rFonts w:ascii="Courier New" w:hAnsi="Courier New"/>
                <w:sz w:val="16"/>
              </w:rPr>
              <w:t>"write-off"</w:t>
            </w:r>
            <w:r>
              <w:rPr>
                <w:sz w:val="17"/>
              </w:rPr>
              <w:t xml:space="preserve">, </w:t>
            </w:r>
            <w:r>
              <w:rPr>
                <w:rFonts w:ascii="Courier New" w:hAnsi="Courier New"/>
                <w:sz w:val="16"/>
              </w:rPr>
              <w:t>"write off"</w:t>
            </w:r>
            <w:r>
              <w:rPr>
                <w:sz w:val="17"/>
              </w:rPr>
              <w:t xml:space="preserve">, </w:t>
            </w:r>
            <w:r>
              <w:rPr>
                <w:rFonts w:ascii="Courier New" w:hAnsi="Courier New"/>
                <w:sz w:val="16"/>
              </w:rPr>
              <w:t>"reclass"</w:t>
            </w:r>
            <w:r>
              <w:rPr>
                <w:sz w:val="17"/>
              </w:rPr>
              <w:t xml:space="preserve">, </w:t>
            </w:r>
            <w:r>
              <w:rPr>
                <w:rFonts w:ascii="Courier New" w:hAnsi="Courier New"/>
                <w:sz w:val="16"/>
              </w:rPr>
              <w:t>"mccr"</w:t>
            </w:r>
            <w:r>
              <w:rPr>
                <w:sz w:val="17"/>
              </w:rPr>
              <w:t xml:space="preserve">) and emit a </w:t>
            </w:r>
            <w:r>
              <w:rPr>
                <w:rFonts w:ascii="Courier New" w:hAnsi="Courier New"/>
                <w:sz w:val="16"/>
              </w:rPr>
              <w:t>Misc Tenant Credit</w:t>
            </w:r>
            <w:r>
              <w:rPr>
                <w:sz w:val="17"/>
              </w:rPr>
              <w:t xml:space="preserve"> flag for each such row, rated HIGH, with the instruction to review individually.</w:t>
            </w:r>
          </w:p>
        </w:tc>
      </w:tr>
    </w:tbl>
    <w:p/>
    <w:p>
      <w:pPr>
        <w:pStyle w:val="Heading2"/>
      </w:pPr>
      <w:r>
        <w:rPr>
          <w:color w:val="2E74B5"/>
        </w:rPr>
        <w:t>5.4 Fee Schedule Check Engine</w:t>
      </w:r>
    </w:p>
    <w:tbl>
      <w:tblPr>
        <w:tblStyle w:val="TableGrid"/>
        <w:tblW w:type="auto" w:w="0"/>
        <w:tblLook w:firstColumn="1" w:firstRow="1" w:lastColumn="0" w:lastRow="0" w:noHBand="0" w:noVBand="1" w:val="04A0"/>
      </w:tblPr>
      <w:tblGrid>
        <w:gridCol w:w="4500"/>
        <w:gridCol w:w="4500"/>
      </w:tblGrid>
      <w:tr>
        <w:tc>
          <w:tcPr>
            <w:tcW w:type="dxa" w:w="1080"/>
            <w:shd w:val="clear" w:color="auto" w:fill="1F4E79"/>
          </w:tcPr>
          <w:p>
            <w:pPr>
              <w:spacing w:before="60" w:after="60"/>
              <w:jc w:val="center"/>
            </w:pPr>
            <w:r/>
            <w:r>
              <w:rPr>
                <w:b/>
                <w:color w:val="FFFFFF"/>
                <w:sz w:val="18"/>
              </w:rPr>
              <w:t>ID</w:t>
            </w:r>
          </w:p>
        </w:tc>
        <w:tc>
          <w:tcPr>
            <w:tcW w:type="dxa" w:w="7920"/>
            <w:shd w:val="clear" w:color="auto" w:fill="1F4E79"/>
          </w:tcPr>
          <w:p>
            <w:pPr>
              <w:spacing w:before="60" w:after="60"/>
              <w:jc w:val="center"/>
            </w:pPr>
            <w:r/>
            <w:r>
              <w:rPr>
                <w:b/>
                <w:color w:val="FFFFFF"/>
                <w:sz w:val="18"/>
              </w:rPr>
              <w:t>Requirement Description</w:t>
            </w:r>
          </w:p>
        </w:tc>
      </w:tr>
      <w:tr>
        <w:tc>
          <w:tcPr>
            <w:tcW w:type="dxa" w:w="1080"/>
          </w:tcPr>
          <w:p>
            <w:pPr>
              <w:spacing w:before="40" w:after="40"/>
            </w:pPr>
            <w:r/>
            <w:r>
              <w:rPr>
                <w:sz w:val="17"/>
              </w:rPr>
              <w:t>FR-55</w:t>
            </w:r>
          </w:p>
        </w:tc>
        <w:tc>
          <w:tcPr>
            <w:tcW w:type="dxa" w:w="7920"/>
          </w:tcPr>
          <w:p>
            <w:pPr>
              <w:spacing w:before="40" w:after="40"/>
            </w:pPr>
            <w:r/>
            <w:r>
              <w:rPr>
                <w:sz w:val="17"/>
              </w:rPr>
              <w:t xml:space="preserve">The system shall validate recurring charge amounts for all properties that have an entry in </w:t>
            </w:r>
            <w:r>
              <w:rPr>
                <w:rFonts w:ascii="Courier New" w:hAnsi="Courier New"/>
                <w:sz w:val="16"/>
              </w:rPr>
              <w:t>PROPERTY_FEE_SCHEDULE</w:t>
            </w:r>
            <w:r>
              <w:rPr>
                <w:sz w:val="17"/>
              </w:rPr>
              <w:t>. Properties without a fee schedule (currently La Prada, which has no official fee sheet) shall be silently skipped with a printed informational message.</w:t>
            </w:r>
          </w:p>
        </w:tc>
      </w:tr>
      <w:tr>
        <w:tc>
          <w:tcPr>
            <w:tcW w:type="dxa" w:w="1080"/>
            <w:shd w:val="clear" w:color="auto" w:fill="D6E4F0"/>
          </w:tcPr>
          <w:p>
            <w:pPr>
              <w:spacing w:before="40" w:after="40"/>
            </w:pPr>
            <w:r/>
            <w:r>
              <w:rPr>
                <w:sz w:val="17"/>
              </w:rPr>
              <w:t>FR-56</w:t>
            </w:r>
          </w:p>
        </w:tc>
        <w:tc>
          <w:tcPr>
            <w:tcW w:type="dxa" w:w="7920"/>
            <w:shd w:val="clear" w:color="auto" w:fill="D6E4F0"/>
          </w:tcPr>
          <w:p>
            <w:pPr>
              <w:spacing w:before="40" w:after="40"/>
            </w:pPr>
            <w:r/>
            <w:r>
              <w:rPr>
                <w:sz w:val="17"/>
              </w:rPr>
              <w:t xml:space="preserve">For each unit in the Transaction Projection, the system shall match each fee defined in the property's schedule to the unit's projection rows by checking whether any of the fee's </w:t>
            </w:r>
            <w:r>
              <w:rPr>
                <w:rFonts w:ascii="Courier New" w:hAnsi="Courier New"/>
                <w:sz w:val="16"/>
              </w:rPr>
              <w:t>keywords</w:t>
            </w:r>
            <w:r>
              <w:rPr>
                <w:sz w:val="17"/>
              </w:rPr>
              <w:t xml:space="preserve"> list appears in the </w:t>
            </w:r>
            <w:r>
              <w:rPr>
                <w:rFonts w:ascii="Courier New" w:hAnsi="Courier New"/>
                <w:sz w:val="16"/>
              </w:rPr>
              <w:t>Category</w:t>
            </w:r>
            <w:r>
              <w:rPr>
                <w:sz w:val="17"/>
              </w:rPr>
              <w:t xml:space="preserve"> field (case-insensitive substring match).</w:t>
            </w:r>
          </w:p>
        </w:tc>
      </w:tr>
      <w:tr>
        <w:tc>
          <w:tcPr>
            <w:tcW w:type="dxa" w:w="1080"/>
          </w:tcPr>
          <w:p>
            <w:pPr>
              <w:spacing w:before="40" w:after="40"/>
            </w:pPr>
            <w:r/>
            <w:r>
              <w:rPr>
                <w:sz w:val="17"/>
              </w:rPr>
              <w:t>FR-57</w:t>
            </w:r>
          </w:p>
        </w:tc>
        <w:tc>
          <w:tcPr>
            <w:tcW w:type="dxa" w:w="7920"/>
          </w:tcPr>
          <w:p>
            <w:pPr>
              <w:spacing w:before="40" w:after="40"/>
            </w:pPr>
            <w:r/>
            <w:r>
              <w:rPr>
                <w:sz w:val="17"/>
              </w:rPr>
              <w:t>If no projection row matches a fee's keywords for a given unit, the system shall take no action. Missing charges are the responsibility of the 90% Missing Standard Charge rule, not the Fee Schedule Check.</w:t>
            </w:r>
          </w:p>
        </w:tc>
      </w:tr>
      <w:tr>
        <w:tc>
          <w:tcPr>
            <w:tcW w:type="dxa" w:w="1080"/>
            <w:shd w:val="clear" w:color="auto" w:fill="D6E4F0"/>
          </w:tcPr>
          <w:p>
            <w:pPr>
              <w:spacing w:before="40" w:after="40"/>
            </w:pPr>
            <w:r/>
            <w:r>
              <w:rPr>
                <w:sz w:val="17"/>
              </w:rPr>
              <w:t>FR-58</w:t>
            </w:r>
          </w:p>
        </w:tc>
        <w:tc>
          <w:tcPr>
            <w:tcW w:type="dxa" w:w="7920"/>
            <w:shd w:val="clear" w:color="auto" w:fill="D6E4F0"/>
          </w:tcPr>
          <w:p>
            <w:pPr>
              <w:spacing w:before="40" w:after="40"/>
            </w:pPr>
            <w:r/>
            <w:r>
              <w:rPr>
                <w:sz w:val="17"/>
              </w:rPr>
              <w:t xml:space="preserve">If a matching projection row exists with a positive amount, the system shall compute </w:t>
            </w:r>
            <w:r>
              <w:rPr>
                <w:rFonts w:ascii="Courier New" w:hAnsi="Courier New"/>
                <w:sz w:val="16"/>
              </w:rPr>
              <w:t>variance = abs(actual_amount - scheduled_amount)</w:t>
            </w:r>
            <w:r>
              <w:rPr>
                <w:sz w:val="17"/>
              </w:rPr>
              <w:t xml:space="preserve">. If </w:t>
            </w:r>
            <w:r>
              <w:rPr>
                <w:rFonts w:ascii="Courier New" w:hAnsi="Courier New"/>
                <w:sz w:val="16"/>
              </w:rPr>
              <w:t>variance &gt;= $1.00</w:t>
            </w:r>
            <w:r>
              <w:rPr>
                <w:sz w:val="17"/>
              </w:rPr>
              <w:t xml:space="preserve">, the system shall emit a </w:t>
            </w:r>
            <w:r>
              <w:rPr>
                <w:rFonts w:ascii="Courier New" w:hAnsi="Courier New"/>
                <w:sz w:val="16"/>
              </w:rPr>
              <w:t>Fee Schedule Violation</w:t>
            </w:r>
            <w:r>
              <w:rPr>
                <w:sz w:val="17"/>
              </w:rPr>
              <w:t xml:space="preserve"> flag rated HIGH with the fee name, scheduled amount, actual amount, variance, and the instruction to review the lease addendum.</w:t>
            </w:r>
          </w:p>
        </w:tc>
      </w:tr>
      <w:tr>
        <w:tc>
          <w:tcPr>
            <w:tcW w:type="dxa" w:w="1080"/>
          </w:tcPr>
          <w:p>
            <w:pPr>
              <w:spacing w:before="40" w:after="40"/>
            </w:pPr>
            <w:r/>
            <w:r>
              <w:rPr>
                <w:sz w:val="17"/>
              </w:rPr>
              <w:t>FR-59</w:t>
            </w:r>
          </w:p>
        </w:tc>
        <w:tc>
          <w:tcPr>
            <w:tcW w:type="dxa" w:w="7920"/>
          </w:tcPr>
          <w:p>
            <w:pPr>
              <w:spacing w:before="40" w:after="40"/>
            </w:pPr>
            <w:r/>
            <w:r>
              <w:rPr>
                <w:sz w:val="17"/>
              </w:rPr>
              <w:t xml:space="preserve">For optional per-item fees (e.g., parking at $35/space), a resident may legitimately have multiple units of the same fee (e.g., 3 parking spaces = $105). The system shall skip the violation check when the actual amount is an exact whole-number multiple of the per-unit scheduled rate and the fee is marked </w:t>
            </w:r>
            <w:r>
              <w:rPr>
                <w:rFonts w:ascii="Courier New" w:hAnsi="Courier New"/>
                <w:sz w:val="16"/>
              </w:rPr>
              <w:t>optional: True</w:t>
            </w:r>
            <w:r>
              <w:rPr>
                <w:sz w:val="17"/>
              </w:rPr>
              <w:t xml:space="preserve"> in the schedule.</w:t>
            </w:r>
          </w:p>
        </w:tc>
      </w:tr>
      <w:tr>
        <w:tc>
          <w:tcPr>
            <w:tcW w:type="dxa" w:w="1080"/>
            <w:shd w:val="clear" w:color="auto" w:fill="D6E4F0"/>
          </w:tcPr>
          <w:p>
            <w:pPr>
              <w:spacing w:before="40" w:after="40"/>
            </w:pPr>
            <w:r/>
            <w:r>
              <w:rPr>
                <w:sz w:val="17"/>
              </w:rPr>
              <w:t>FR-60</w:t>
            </w:r>
          </w:p>
        </w:tc>
        <w:tc>
          <w:tcPr>
            <w:tcW w:type="dxa" w:w="7920"/>
            <w:shd w:val="clear" w:color="auto" w:fill="D6E4F0"/>
          </w:tcPr>
          <w:p>
            <w:pPr>
              <w:spacing w:before="40" w:after="40"/>
            </w:pPr>
            <w:r/>
            <w:r>
              <w:rPr>
                <w:sz w:val="17"/>
              </w:rPr>
              <w:t>Concession and credit rows (negative amounts) in the Transaction Projection shall be excluded from all fee schedule comparisons. Only positive-amount rows are evaluated.</w:t>
            </w:r>
          </w:p>
        </w:tc>
      </w:tr>
    </w:tbl>
    <w:p/>
    <w:p>
      <w:pPr>
        <w:pStyle w:val="Heading2"/>
      </w:pPr>
      <w:r>
        <w:rPr>
          <w:color w:val="2E74B5"/>
        </w:rPr>
        <w:t>5.5 Manager Override Audit</w:t>
      </w:r>
    </w:p>
    <w:tbl>
      <w:tblPr>
        <w:tblStyle w:val="TableGrid"/>
        <w:tblW w:type="auto" w:w="0"/>
        <w:tblLook w:firstColumn="1" w:firstRow="1" w:lastColumn="0" w:lastRow="0" w:noHBand="0" w:noVBand="1" w:val="04A0"/>
      </w:tblPr>
      <w:tblGrid>
        <w:gridCol w:w="4500"/>
        <w:gridCol w:w="4500"/>
      </w:tblGrid>
      <w:tr>
        <w:tc>
          <w:tcPr>
            <w:tcW w:type="dxa" w:w="1080"/>
            <w:shd w:val="clear" w:color="auto" w:fill="1F4E79"/>
          </w:tcPr>
          <w:p>
            <w:pPr>
              <w:spacing w:before="60" w:after="60"/>
              <w:jc w:val="center"/>
            </w:pPr>
            <w:r/>
            <w:r>
              <w:rPr>
                <w:b/>
                <w:color w:val="FFFFFF"/>
                <w:sz w:val="18"/>
              </w:rPr>
              <w:t>ID</w:t>
            </w:r>
          </w:p>
        </w:tc>
        <w:tc>
          <w:tcPr>
            <w:tcW w:type="dxa" w:w="7920"/>
            <w:shd w:val="clear" w:color="auto" w:fill="1F4E79"/>
          </w:tcPr>
          <w:p>
            <w:pPr>
              <w:spacing w:before="60" w:after="60"/>
              <w:jc w:val="center"/>
            </w:pPr>
            <w:r/>
            <w:r>
              <w:rPr>
                <w:b/>
                <w:color w:val="FFFFFF"/>
                <w:sz w:val="18"/>
              </w:rPr>
              <w:t>Requirement Description</w:t>
            </w:r>
          </w:p>
        </w:tc>
      </w:tr>
      <w:tr>
        <w:tc>
          <w:tcPr>
            <w:tcW w:type="dxa" w:w="1080"/>
          </w:tcPr>
          <w:p>
            <w:pPr>
              <w:spacing w:before="40" w:after="40"/>
            </w:pPr>
            <w:r/>
            <w:r>
              <w:rPr>
                <w:sz w:val="17"/>
              </w:rPr>
              <w:t>FR-61</w:t>
            </w:r>
          </w:p>
        </w:tc>
        <w:tc>
          <w:tcPr>
            <w:tcW w:type="dxa" w:w="7920"/>
          </w:tcPr>
          <w:p>
            <w:pPr>
              <w:spacing w:before="40" w:after="40"/>
            </w:pPr>
            <w:r/>
            <w:r>
              <w:rPr>
                <w:sz w:val="17"/>
              </w:rPr>
              <w:t xml:space="preserve">The system shall aggregate the override event log by </w:t>
            </w:r>
            <w:r>
              <w:rPr>
                <w:rFonts w:ascii="Courier New" w:hAnsi="Courier New"/>
                <w:sz w:val="16"/>
              </w:rPr>
              <w:t>(Property, Manager_Login)</w:t>
            </w:r>
            <w:r>
              <w:rPr>
                <w:sz w:val="17"/>
              </w:rPr>
              <w:t xml:space="preserve"> to produce a Manager Ranking DataFrame with columns: </w:t>
            </w:r>
            <w:r>
              <w:rPr>
                <w:rFonts w:ascii="Courier New" w:hAnsi="Courier New"/>
                <w:sz w:val="16"/>
              </w:rPr>
              <w:t>Total_Events</w:t>
            </w:r>
            <w:r>
              <w:rPr>
                <w:sz w:val="17"/>
              </w:rPr>
              <w:t xml:space="preserve">, </w:t>
            </w:r>
            <w:r>
              <w:rPr>
                <w:rFonts w:ascii="Courier New" w:hAnsi="Courier New"/>
                <w:sz w:val="16"/>
              </w:rPr>
              <w:t>Reversals</w:t>
            </w:r>
            <w:r>
              <w:rPr>
                <w:sz w:val="17"/>
              </w:rPr>
              <w:t xml:space="preserve">, </w:t>
            </w:r>
            <w:r>
              <w:rPr>
                <w:rFonts w:ascii="Courier New" w:hAnsi="Courier New"/>
                <w:sz w:val="16"/>
              </w:rPr>
              <w:t>Amount_Changes</w:t>
            </w:r>
            <w:r>
              <w:rPr>
                <w:sz w:val="17"/>
              </w:rPr>
              <w:t xml:space="preserve">, and </w:t>
            </w:r>
            <w:r>
              <w:rPr>
                <w:rFonts w:ascii="Courier New" w:hAnsi="Courier New"/>
                <w:sz w:val="16"/>
              </w:rPr>
              <w:t>Total_Impact</w:t>
            </w:r>
            <w:r>
              <w:rPr>
                <w:sz w:val="17"/>
              </w:rPr>
              <w:t xml:space="preserve"> (sum of </w:t>
            </w:r>
            <w:r>
              <w:rPr>
                <w:rFonts w:ascii="Courier New" w:hAnsi="Courier New"/>
                <w:sz w:val="16"/>
              </w:rPr>
              <w:t>Revenue_Impact</w:t>
            </w:r>
            <w:r>
              <w:rPr>
                <w:sz w:val="17"/>
              </w:rPr>
              <w:t xml:space="preserve"> across all events for that manager).</w:t>
            </w:r>
          </w:p>
        </w:tc>
      </w:tr>
      <w:tr>
        <w:tc>
          <w:tcPr>
            <w:tcW w:type="dxa" w:w="1080"/>
            <w:shd w:val="clear" w:color="auto" w:fill="D6E4F0"/>
          </w:tcPr>
          <w:p>
            <w:pPr>
              <w:spacing w:before="40" w:after="40"/>
            </w:pPr>
            <w:r/>
            <w:r>
              <w:rPr>
                <w:sz w:val="17"/>
              </w:rPr>
              <w:t>FR-62</w:t>
            </w:r>
          </w:p>
        </w:tc>
        <w:tc>
          <w:tcPr>
            <w:tcW w:type="dxa" w:w="7920"/>
            <w:shd w:val="clear" w:color="auto" w:fill="D6E4F0"/>
          </w:tcPr>
          <w:p>
            <w:pPr>
              <w:spacing w:before="40" w:after="40"/>
            </w:pPr>
            <w:r/>
            <w:r>
              <w:rPr>
                <w:sz w:val="17"/>
              </w:rPr>
              <w:t xml:space="preserve">The Manager Ranking shall be sorted in ascending order by </w:t>
            </w:r>
            <w:r>
              <w:rPr>
                <w:rFonts w:ascii="Courier New" w:hAnsi="Courier New"/>
                <w:sz w:val="16"/>
              </w:rPr>
              <w:t>Total_Impact</w:t>
            </w:r>
            <w:r>
              <w:rPr>
                <w:sz w:val="17"/>
              </w:rPr>
              <w:t xml:space="preserve"> so that managers with the largest negative revenue impact (most reversals or reductions) appear at the top of the table.</w:t>
            </w:r>
          </w:p>
        </w:tc>
      </w:tr>
      <w:tr>
        <w:tc>
          <w:tcPr>
            <w:tcW w:type="dxa" w:w="1080"/>
          </w:tcPr>
          <w:p>
            <w:pPr>
              <w:spacing w:before="40" w:after="40"/>
            </w:pPr>
            <w:r/>
            <w:r>
              <w:rPr>
                <w:sz w:val="17"/>
              </w:rPr>
              <w:t>FR-63</w:t>
            </w:r>
          </w:p>
        </w:tc>
        <w:tc>
          <w:tcPr>
            <w:tcW w:type="dxa" w:w="7920"/>
          </w:tcPr>
          <w:p>
            <w:pPr>
              <w:spacing w:before="40" w:after="40"/>
            </w:pPr>
            <w:r/>
            <w:r>
              <w:rPr>
                <w:sz w:val="17"/>
              </w:rPr>
              <w:t xml:space="preserve">The system shall return both the Manager Ranking summary DataFrame and the full Override Detail Log (all individual edit events) as separate outputs. The Override Detail Log shall retain all fields: </w:t>
            </w:r>
            <w:r>
              <w:rPr>
                <w:rFonts w:ascii="Courier New" w:hAnsi="Courier New"/>
                <w:sz w:val="16"/>
              </w:rPr>
              <w:t>Property</w:t>
            </w:r>
            <w:r>
              <w:rPr>
                <w:sz w:val="17"/>
              </w:rPr>
              <w:t xml:space="preserve">, </w:t>
            </w:r>
            <w:r>
              <w:rPr>
                <w:rFonts w:ascii="Courier New" w:hAnsi="Courier New"/>
                <w:sz w:val="16"/>
              </w:rPr>
              <w:t>Manager_Login</w:t>
            </w:r>
            <w:r>
              <w:rPr>
                <w:sz w:val="17"/>
              </w:rPr>
              <w:t xml:space="preserve">, </w:t>
            </w:r>
            <w:r>
              <w:rPr>
                <w:rFonts w:ascii="Courier New" w:hAnsi="Courier New"/>
                <w:sz w:val="16"/>
              </w:rPr>
              <w:t>Unit</w:t>
            </w:r>
            <w:r>
              <w:rPr>
                <w:sz w:val="17"/>
              </w:rPr>
              <w:t xml:space="preserve">, </w:t>
            </w:r>
            <w:r>
              <w:rPr>
                <w:rFonts w:ascii="Courier New" w:hAnsi="Courier New"/>
                <w:sz w:val="16"/>
              </w:rPr>
              <w:t>Resident</w:t>
            </w:r>
            <w:r>
              <w:rPr>
                <w:sz w:val="17"/>
              </w:rPr>
              <w:t xml:space="preserve">, </w:t>
            </w:r>
            <w:r>
              <w:rPr>
                <w:rFonts w:ascii="Courier New" w:hAnsi="Courier New"/>
                <w:sz w:val="16"/>
              </w:rPr>
              <w:t>Category</w:t>
            </w:r>
            <w:r>
              <w:rPr>
                <w:sz w:val="17"/>
              </w:rPr>
              <w:t xml:space="preserve">, </w:t>
            </w:r>
            <w:r>
              <w:rPr>
                <w:rFonts w:ascii="Courier New" w:hAnsi="Courier New"/>
                <w:sz w:val="16"/>
              </w:rPr>
              <w:t>Description</w:t>
            </w:r>
            <w:r>
              <w:rPr>
                <w:sz w:val="17"/>
              </w:rPr>
              <w:t xml:space="preserve">, </w:t>
            </w:r>
            <w:r>
              <w:rPr>
                <w:rFonts w:ascii="Courier New" w:hAnsi="Courier New"/>
                <w:sz w:val="16"/>
              </w:rPr>
              <w:t>Original_Amount</w:t>
            </w:r>
            <w:r>
              <w:rPr>
                <w:sz w:val="17"/>
              </w:rPr>
              <w:t xml:space="preserve">, </w:t>
            </w:r>
            <w:r>
              <w:rPr>
                <w:rFonts w:ascii="Courier New" w:hAnsi="Courier New"/>
                <w:sz w:val="16"/>
              </w:rPr>
              <w:t>Edited_Amount</w:t>
            </w:r>
            <w:r>
              <w:rPr>
                <w:sz w:val="17"/>
              </w:rPr>
              <w:t xml:space="preserve">, </w:t>
            </w:r>
            <w:r>
              <w:rPr>
                <w:rFonts w:ascii="Courier New" w:hAnsi="Courier New"/>
                <w:sz w:val="16"/>
              </w:rPr>
              <w:t>Event_Type</w:t>
            </w:r>
            <w:r>
              <w:rPr>
                <w:sz w:val="17"/>
              </w:rPr>
              <w:t xml:space="preserve">, </w:t>
            </w:r>
            <w:r>
              <w:rPr>
                <w:rFonts w:ascii="Courier New" w:hAnsi="Courier New"/>
                <w:sz w:val="16"/>
              </w:rPr>
              <w:t>Revenue_Impact</w:t>
            </w:r>
            <w:r>
              <w:rPr>
                <w:sz w:val="17"/>
              </w:rPr>
              <w:t xml:space="preserve">, </w:t>
            </w:r>
            <w:r>
              <w:rPr>
                <w:rFonts w:ascii="Courier New" w:hAnsi="Courier New"/>
                <w:sz w:val="16"/>
              </w:rPr>
              <w:t>Date</w:t>
            </w:r>
            <w:r>
              <w:rPr>
                <w:sz w:val="17"/>
              </w:rPr>
              <w:t xml:space="preserve">, and </w:t>
            </w:r>
            <w:r>
              <w:rPr>
                <w:rFonts w:ascii="Courier New" w:hAnsi="Courier New"/>
                <w:sz w:val="16"/>
              </w:rPr>
              <w:t>Source_File</w:t>
            </w:r>
            <w:r>
              <w:rPr>
                <w:sz w:val="17"/>
              </w:rPr>
              <w:t>.</w:t>
            </w:r>
          </w:p>
        </w:tc>
      </w:tr>
    </w:tbl>
    <w:p/>
    <w:p>
      <w:pPr>
        <w:pStyle w:val="Heading2"/>
      </w:pPr>
      <w:r>
        <w:rPr>
          <w:color w:val="2E74B5"/>
        </w:rPr>
        <w:t>5.6 Financial Exposure Calculation</w:t>
      </w:r>
    </w:p>
    <w:tbl>
      <w:tblPr>
        <w:tblStyle w:val="TableGrid"/>
        <w:tblW w:type="auto" w:w="0"/>
        <w:tblLook w:firstColumn="1" w:firstRow="1" w:lastColumn="0" w:lastRow="0" w:noHBand="0" w:noVBand="1" w:val="04A0"/>
      </w:tblPr>
      <w:tblGrid>
        <w:gridCol w:w="4500"/>
        <w:gridCol w:w="4500"/>
      </w:tblGrid>
      <w:tr>
        <w:tc>
          <w:tcPr>
            <w:tcW w:type="dxa" w:w="1080"/>
            <w:shd w:val="clear" w:color="auto" w:fill="1F4E79"/>
          </w:tcPr>
          <w:p>
            <w:pPr>
              <w:spacing w:before="60" w:after="60"/>
              <w:jc w:val="center"/>
            </w:pPr>
            <w:r/>
            <w:r>
              <w:rPr>
                <w:b/>
                <w:color w:val="FFFFFF"/>
                <w:sz w:val="18"/>
              </w:rPr>
              <w:t>ID</w:t>
            </w:r>
          </w:p>
        </w:tc>
        <w:tc>
          <w:tcPr>
            <w:tcW w:type="dxa" w:w="7920"/>
            <w:shd w:val="clear" w:color="auto" w:fill="1F4E79"/>
          </w:tcPr>
          <w:p>
            <w:pPr>
              <w:spacing w:before="60" w:after="60"/>
              <w:jc w:val="center"/>
            </w:pPr>
            <w:r/>
            <w:r>
              <w:rPr>
                <w:b/>
                <w:color w:val="FFFFFF"/>
                <w:sz w:val="18"/>
              </w:rPr>
              <w:t>Requirement Description</w:t>
            </w:r>
          </w:p>
        </w:tc>
      </w:tr>
      <w:tr>
        <w:tc>
          <w:tcPr>
            <w:tcW w:type="dxa" w:w="1080"/>
          </w:tcPr>
          <w:p>
            <w:pPr>
              <w:spacing w:before="40" w:after="40"/>
            </w:pPr>
            <w:r/>
            <w:r>
              <w:rPr>
                <w:sz w:val="17"/>
              </w:rPr>
              <w:t>FR-64</w:t>
            </w:r>
          </w:p>
        </w:tc>
        <w:tc>
          <w:tcPr>
            <w:tcW w:type="dxa" w:w="7920"/>
          </w:tcPr>
          <w:p>
            <w:pPr>
              <w:spacing w:before="40" w:after="40"/>
            </w:pPr>
            <w:r/>
            <w:r>
              <w:rPr>
                <w:sz w:val="17"/>
              </w:rPr>
              <w:t xml:space="preserve">The system shall aggregate all flags from all three engines (John's, Daniel's, Fee Schedule) into a single </w:t>
            </w:r>
            <w:r>
              <w:rPr>
                <w:rFonts w:ascii="Courier New" w:hAnsi="Courier New"/>
                <w:sz w:val="16"/>
              </w:rPr>
              <w:t>all_flags</w:t>
            </w:r>
            <w:r>
              <w:rPr>
                <w:sz w:val="17"/>
              </w:rPr>
              <w:t xml:space="preserve"> DataFrame by concatenating the three engine outputs.</w:t>
            </w:r>
          </w:p>
        </w:tc>
      </w:tr>
      <w:tr>
        <w:tc>
          <w:tcPr>
            <w:tcW w:type="dxa" w:w="1080"/>
            <w:shd w:val="clear" w:color="auto" w:fill="D6E4F0"/>
          </w:tcPr>
          <w:p>
            <w:pPr>
              <w:spacing w:before="40" w:after="40"/>
            </w:pPr>
            <w:r/>
            <w:r>
              <w:rPr>
                <w:sz w:val="17"/>
              </w:rPr>
              <w:t>FR-65</w:t>
            </w:r>
          </w:p>
        </w:tc>
        <w:tc>
          <w:tcPr>
            <w:tcW w:type="dxa" w:w="7920"/>
            <w:shd w:val="clear" w:color="auto" w:fill="D6E4F0"/>
          </w:tcPr>
          <w:p>
            <w:pPr>
              <w:spacing w:before="40" w:after="40"/>
            </w:pPr>
            <w:r/>
            <w:r>
              <w:rPr>
                <w:sz w:val="17"/>
              </w:rPr>
              <w:t xml:space="preserve">The system shall compute </w:t>
            </w:r>
            <w:r>
              <w:rPr>
                <w:b/>
                <w:sz w:val="17"/>
              </w:rPr>
              <w:t>Exposure by Property</w:t>
            </w:r>
            <w:r>
              <w:rPr>
                <w:sz w:val="17"/>
              </w:rPr>
              <w:t xml:space="preserve">: a DataFrame grouped by </w:t>
            </w:r>
            <w:r>
              <w:rPr>
                <w:rFonts w:ascii="Courier New" w:hAnsi="Courier New"/>
                <w:sz w:val="16"/>
              </w:rPr>
              <w:t>(Property, Risk_Level)</w:t>
            </w:r>
            <w:r>
              <w:rPr>
                <w:sz w:val="17"/>
              </w:rPr>
              <w:t xml:space="preserve"> showing </w:t>
            </w:r>
            <w:r>
              <w:rPr>
                <w:rFonts w:ascii="Courier New" w:hAnsi="Courier New"/>
                <w:sz w:val="16"/>
              </w:rPr>
              <w:t>Exceptions</w:t>
            </w:r>
            <w:r>
              <w:rPr>
                <w:sz w:val="17"/>
              </w:rPr>
              <w:t xml:space="preserve"> (count) and </w:t>
            </w:r>
            <w:r>
              <w:rPr>
                <w:rFonts w:ascii="Courier New" w:hAnsi="Courier New"/>
                <w:sz w:val="16"/>
              </w:rPr>
              <w:t>Total_Exposure</w:t>
            </w:r>
            <w:r>
              <w:rPr>
                <w:sz w:val="17"/>
              </w:rPr>
              <w:t xml:space="preserve"> (sum of </w:t>
            </w:r>
            <w:r>
              <w:rPr>
                <w:rFonts w:ascii="Courier New" w:hAnsi="Courier New"/>
                <w:sz w:val="16"/>
              </w:rPr>
              <w:t>Amount_Impact</w:t>
            </w:r>
            <w:r>
              <w:rPr>
                <w:sz w:val="17"/>
              </w:rPr>
              <w:t>), sorted descending by exposure.</w:t>
            </w:r>
          </w:p>
        </w:tc>
      </w:tr>
      <w:tr>
        <w:tc>
          <w:tcPr>
            <w:tcW w:type="dxa" w:w="1080"/>
          </w:tcPr>
          <w:p>
            <w:pPr>
              <w:spacing w:before="40" w:after="40"/>
            </w:pPr>
            <w:r/>
            <w:r>
              <w:rPr>
                <w:sz w:val="17"/>
              </w:rPr>
              <w:t>FR-66</w:t>
            </w:r>
          </w:p>
        </w:tc>
        <w:tc>
          <w:tcPr>
            <w:tcW w:type="dxa" w:w="7920"/>
          </w:tcPr>
          <w:p>
            <w:pPr>
              <w:spacing w:before="40" w:after="40"/>
            </w:pPr>
            <w:r/>
            <w:r>
              <w:rPr>
                <w:sz w:val="17"/>
              </w:rPr>
              <w:t xml:space="preserve">The system shall compute </w:t>
            </w:r>
            <w:r>
              <w:rPr>
                <w:b/>
                <w:sz w:val="17"/>
              </w:rPr>
              <w:t>Exposure by Rule</w:t>
            </w:r>
            <w:r>
              <w:rPr>
                <w:sz w:val="17"/>
              </w:rPr>
              <w:t xml:space="preserve">: a DataFrame grouped by </w:t>
            </w:r>
            <w:r>
              <w:rPr>
                <w:rFonts w:ascii="Courier New" w:hAnsi="Courier New"/>
                <w:sz w:val="16"/>
              </w:rPr>
              <w:t>(Rule, Risk_Level)</w:t>
            </w:r>
            <w:r>
              <w:rPr>
                <w:sz w:val="17"/>
              </w:rPr>
              <w:t xml:space="preserve"> showing </w:t>
            </w:r>
            <w:r>
              <w:rPr>
                <w:rFonts w:ascii="Courier New" w:hAnsi="Courier New"/>
                <w:sz w:val="16"/>
              </w:rPr>
              <w:t>Count</w:t>
            </w:r>
            <w:r>
              <w:rPr>
                <w:sz w:val="17"/>
              </w:rPr>
              <w:t xml:space="preserve"> and </w:t>
            </w:r>
            <w:r>
              <w:rPr>
                <w:rFonts w:ascii="Courier New" w:hAnsi="Courier New"/>
                <w:sz w:val="16"/>
              </w:rPr>
              <w:t>Total_Exposure</w:t>
            </w:r>
            <w:r>
              <w:rPr>
                <w:sz w:val="17"/>
              </w:rPr>
              <w:t>, sorted descending by exposure.</w:t>
            </w:r>
          </w:p>
        </w:tc>
      </w:tr>
      <w:tr>
        <w:tc>
          <w:tcPr>
            <w:tcW w:type="dxa" w:w="1080"/>
            <w:shd w:val="clear" w:color="auto" w:fill="D6E4F0"/>
          </w:tcPr>
          <w:p>
            <w:pPr>
              <w:spacing w:before="40" w:after="40"/>
            </w:pPr>
            <w:r/>
            <w:r>
              <w:rPr>
                <w:sz w:val="17"/>
              </w:rPr>
              <w:t>FR-67</w:t>
            </w:r>
          </w:p>
        </w:tc>
        <w:tc>
          <w:tcPr>
            <w:tcW w:type="dxa" w:w="7920"/>
            <w:shd w:val="clear" w:color="auto" w:fill="D6E4F0"/>
          </w:tcPr>
          <w:p>
            <w:pPr>
              <w:spacing w:before="40" w:after="40"/>
            </w:pPr>
            <w:r/>
            <w:r>
              <w:rPr>
                <w:sz w:val="17"/>
              </w:rPr>
              <w:t xml:space="preserve">The system shall compute </w:t>
            </w:r>
            <w:r>
              <w:rPr>
                <w:b/>
                <w:sz w:val="17"/>
              </w:rPr>
              <w:t>Exposure by Risk Level</w:t>
            </w:r>
            <w:r>
              <w:rPr>
                <w:sz w:val="17"/>
              </w:rPr>
              <w:t xml:space="preserve">: a DataFrame grouped by </w:t>
            </w:r>
            <w:r>
              <w:rPr>
                <w:rFonts w:ascii="Courier New" w:hAnsi="Courier New"/>
                <w:sz w:val="16"/>
              </w:rPr>
              <w:t>Risk_Level</w:t>
            </w:r>
            <w:r>
              <w:rPr>
                <w:sz w:val="17"/>
              </w:rPr>
              <w:t xml:space="preserve"> showing </w:t>
            </w:r>
            <w:r>
              <w:rPr>
                <w:rFonts w:ascii="Courier New" w:hAnsi="Courier New"/>
                <w:sz w:val="16"/>
              </w:rPr>
              <w:t>Count</w:t>
            </w:r>
            <w:r>
              <w:rPr>
                <w:sz w:val="17"/>
              </w:rPr>
              <w:t xml:space="preserve"> and </w:t>
            </w:r>
            <w:r>
              <w:rPr>
                <w:rFonts w:ascii="Courier New" w:hAnsi="Courier New"/>
                <w:sz w:val="16"/>
              </w:rPr>
              <w:t>Total_Exposure</w:t>
            </w:r>
            <w:r>
              <w:rPr>
                <w:sz w:val="17"/>
              </w:rPr>
              <w:t>.</w:t>
            </w:r>
          </w:p>
        </w:tc>
      </w:tr>
      <w:tr>
        <w:tc>
          <w:tcPr>
            <w:tcW w:type="dxa" w:w="1080"/>
          </w:tcPr>
          <w:p>
            <w:pPr>
              <w:spacing w:before="40" w:after="40"/>
            </w:pPr>
            <w:r/>
            <w:r>
              <w:rPr>
                <w:sz w:val="17"/>
              </w:rPr>
              <w:t>FR-68</w:t>
            </w:r>
          </w:p>
        </w:tc>
        <w:tc>
          <w:tcPr>
            <w:tcW w:type="dxa" w:w="7920"/>
          </w:tcPr>
          <w:p>
            <w:pPr>
              <w:spacing w:before="40" w:after="40"/>
            </w:pPr>
            <w:r/>
            <w:r>
              <w:rPr>
                <w:sz w:val="17"/>
              </w:rPr>
              <w:t xml:space="preserve">The system shall compute a </w:t>
            </w:r>
            <w:r>
              <w:rPr>
                <w:b/>
                <w:sz w:val="17"/>
              </w:rPr>
              <w:t>Portfolio Totals</w:t>
            </w:r>
            <w:r>
              <w:rPr>
                <w:sz w:val="17"/>
              </w:rPr>
              <w:t xml:space="preserve"> summary row containing: </w:t>
            </w:r>
            <w:r>
              <w:rPr>
                <w:rFonts w:ascii="Courier New" w:hAnsi="Courier New"/>
                <w:sz w:val="16"/>
              </w:rPr>
              <w:t>Total_Units_Audited</w:t>
            </w:r>
            <w:r>
              <w:rPr>
                <w:sz w:val="17"/>
              </w:rPr>
              <w:t xml:space="preserve"> (count of distinct units across all flags), </w:t>
            </w:r>
            <w:r>
              <w:rPr>
                <w:rFonts w:ascii="Courier New" w:hAnsi="Courier New"/>
                <w:sz w:val="16"/>
              </w:rPr>
              <w:t>Total_Exceptions</w:t>
            </w:r>
            <w:r>
              <w:rPr>
                <w:sz w:val="17"/>
              </w:rPr>
              <w:t xml:space="preserve"> (total row count), </w:t>
            </w:r>
            <w:r>
              <w:rPr>
                <w:rFonts w:ascii="Courier New" w:hAnsi="Courier New"/>
                <w:sz w:val="16"/>
              </w:rPr>
              <w:t>Total_Exposure</w:t>
            </w:r>
            <w:r>
              <w:rPr>
                <w:sz w:val="17"/>
              </w:rPr>
              <w:t xml:space="preserve"> (raw sum of all </w:t>
            </w:r>
            <w:r>
              <w:rPr>
                <w:rFonts w:ascii="Courier New" w:hAnsi="Courier New"/>
                <w:sz w:val="16"/>
              </w:rPr>
              <w:t>Amount_Impact</w:t>
            </w:r>
            <w:r>
              <w:rPr>
                <w:sz w:val="17"/>
              </w:rPr>
              <w:t xml:space="preserve"> values), </w:t>
            </w:r>
            <w:r>
              <w:rPr>
                <w:rFonts w:ascii="Courier New" w:hAnsi="Courier New"/>
                <w:sz w:val="16"/>
              </w:rPr>
              <w:t>Deduped_Exposure</w:t>
            </w:r>
            <w:r>
              <w:rPr>
                <w:sz w:val="17"/>
              </w:rPr>
              <w:t xml:space="preserve">, </w:t>
            </w:r>
            <w:r>
              <w:rPr>
                <w:rFonts w:ascii="Courier New" w:hAnsi="Courier New"/>
                <w:sz w:val="16"/>
              </w:rPr>
              <w:t>Critical_Flags</w:t>
            </w:r>
            <w:r>
              <w:rPr>
                <w:sz w:val="17"/>
              </w:rPr>
              <w:t xml:space="preserve">, </w:t>
            </w:r>
            <w:r>
              <w:rPr>
                <w:rFonts w:ascii="Courier New" w:hAnsi="Courier New"/>
                <w:sz w:val="16"/>
              </w:rPr>
              <w:t>High_Flags</w:t>
            </w:r>
            <w:r>
              <w:rPr>
                <w:sz w:val="17"/>
              </w:rPr>
              <w:t xml:space="preserve">, </w:t>
            </w:r>
            <w:r>
              <w:rPr>
                <w:rFonts w:ascii="Courier New" w:hAnsi="Courier New"/>
                <w:sz w:val="16"/>
              </w:rPr>
              <w:t>Medium_Flags</w:t>
            </w:r>
            <w:r>
              <w:rPr>
                <w:sz w:val="17"/>
              </w:rPr>
              <w:t xml:space="preserve">, and </w:t>
            </w:r>
            <w:r>
              <w:rPr>
                <w:rFonts w:ascii="Courier New" w:hAnsi="Courier New"/>
                <w:sz w:val="16"/>
              </w:rPr>
              <w:t>Avg_Flags_Per_Unit</w:t>
            </w:r>
            <w:r>
              <w:rPr>
                <w:sz w:val="17"/>
              </w:rPr>
              <w:t>.</w:t>
            </w:r>
          </w:p>
        </w:tc>
      </w:tr>
      <w:tr>
        <w:tc>
          <w:tcPr>
            <w:tcW w:type="dxa" w:w="1080"/>
            <w:shd w:val="clear" w:color="auto" w:fill="D6E4F0"/>
          </w:tcPr>
          <w:p>
            <w:pPr>
              <w:spacing w:before="40" w:after="40"/>
            </w:pPr>
            <w:r/>
            <w:r>
              <w:rPr>
                <w:sz w:val="17"/>
              </w:rPr>
              <w:t>FR-69</w:t>
            </w:r>
          </w:p>
        </w:tc>
        <w:tc>
          <w:tcPr>
            <w:tcW w:type="dxa" w:w="7920"/>
            <w:shd w:val="clear" w:color="auto" w:fill="D6E4F0"/>
          </w:tcPr>
          <w:p>
            <w:pPr>
              <w:spacing w:before="40" w:after="40"/>
            </w:pPr>
            <w:r/>
            <w:r>
              <w:rPr>
                <w:sz w:val="17"/>
              </w:rPr>
              <w:t xml:space="preserve">The system shall compute </w:t>
            </w:r>
            <w:r>
              <w:rPr>
                <w:b/>
                <w:sz w:val="17"/>
              </w:rPr>
              <w:t>Deduped Exposure</w:t>
            </w:r>
            <w:r>
              <w:rPr>
                <w:sz w:val="17"/>
              </w:rPr>
              <w:t xml:space="preserve"> by taking the maximum </w:t>
            </w:r>
            <w:r>
              <w:rPr>
                <w:rFonts w:ascii="Courier New" w:hAnsi="Courier New"/>
                <w:sz w:val="16"/>
              </w:rPr>
              <w:t>Amount_Impact</w:t>
            </w:r>
            <w:r>
              <w:rPr>
                <w:sz w:val="17"/>
              </w:rPr>
              <w:t xml:space="preserve"> per </w:t>
            </w:r>
            <w:r>
              <w:rPr>
                <w:rFonts w:ascii="Courier New" w:hAnsi="Courier New"/>
                <w:sz w:val="16"/>
              </w:rPr>
              <w:t>(Property, Unit)</w:t>
            </w:r>
            <w:r>
              <w:rPr>
                <w:sz w:val="17"/>
              </w:rPr>
              <w:t xml:space="preserve"> pair across all flags before summing. This prevents double-counting when the same unit is flagged by multiple engines for the same underlying financial event. The deduped figure represents the conservative floor; the raw </w:t>
            </w:r>
            <w:r>
              <w:rPr>
                <w:rFonts w:ascii="Courier New" w:hAnsi="Courier New"/>
                <w:sz w:val="16"/>
              </w:rPr>
              <w:t>Total_Exposure</w:t>
            </w:r>
            <w:r>
              <w:rPr>
                <w:sz w:val="17"/>
              </w:rPr>
              <w:t xml:space="preserve"> is the ceiling.</w:t>
            </w:r>
          </w:p>
        </w:tc>
      </w:tr>
    </w:tbl>
    <w:p/>
    <w:p>
      <w:pPr>
        <w:pStyle w:val="Heading2"/>
      </w:pPr>
      <w:r>
        <w:rPr>
          <w:color w:val="2E74B5"/>
        </w:rPr>
        <w:t>5.7 Excel Export</w:t>
      </w:r>
    </w:p>
    <w:tbl>
      <w:tblPr>
        <w:tblStyle w:val="TableGrid"/>
        <w:tblW w:type="auto" w:w="0"/>
        <w:tblLook w:firstColumn="1" w:firstRow="1" w:lastColumn="0" w:lastRow="0" w:noHBand="0" w:noVBand="1" w:val="04A0"/>
      </w:tblPr>
      <w:tblGrid>
        <w:gridCol w:w="4500"/>
        <w:gridCol w:w="4500"/>
      </w:tblGrid>
      <w:tr>
        <w:tc>
          <w:tcPr>
            <w:tcW w:type="dxa" w:w="1080"/>
            <w:shd w:val="clear" w:color="auto" w:fill="1F4E79"/>
          </w:tcPr>
          <w:p>
            <w:pPr>
              <w:spacing w:before="60" w:after="60"/>
              <w:jc w:val="center"/>
            </w:pPr>
            <w:r/>
            <w:r>
              <w:rPr>
                <w:b/>
                <w:color w:val="FFFFFF"/>
                <w:sz w:val="18"/>
              </w:rPr>
              <w:t>ID</w:t>
            </w:r>
          </w:p>
        </w:tc>
        <w:tc>
          <w:tcPr>
            <w:tcW w:type="dxa" w:w="7920"/>
            <w:shd w:val="clear" w:color="auto" w:fill="1F4E79"/>
          </w:tcPr>
          <w:p>
            <w:pPr>
              <w:spacing w:before="60" w:after="60"/>
              <w:jc w:val="center"/>
            </w:pPr>
            <w:r/>
            <w:r>
              <w:rPr>
                <w:b/>
                <w:color w:val="FFFFFF"/>
                <w:sz w:val="18"/>
              </w:rPr>
              <w:t>Requirement Description</w:t>
            </w:r>
          </w:p>
        </w:tc>
      </w:tr>
      <w:tr>
        <w:tc>
          <w:tcPr>
            <w:tcW w:type="dxa" w:w="1080"/>
          </w:tcPr>
          <w:p>
            <w:pPr>
              <w:spacing w:before="40" w:after="40"/>
            </w:pPr>
            <w:r/>
            <w:r>
              <w:rPr>
                <w:sz w:val="17"/>
              </w:rPr>
              <w:t>FR-70</w:t>
            </w:r>
          </w:p>
        </w:tc>
        <w:tc>
          <w:tcPr>
            <w:tcW w:type="dxa" w:w="7920"/>
          </w:tcPr>
          <w:p>
            <w:pPr>
              <w:spacing w:before="40" w:after="40"/>
            </w:pPr>
            <w:r/>
            <w:r>
              <w:rPr>
                <w:sz w:val="17"/>
              </w:rPr>
              <w:t xml:space="preserve">The system shall write the audit output to a timestamped Excel workbook in the </w:t>
            </w:r>
            <w:r>
              <w:rPr>
                <w:rFonts w:ascii="Courier New" w:hAnsi="Courier New"/>
                <w:sz w:val="16"/>
              </w:rPr>
              <w:t>output/</w:t>
            </w:r>
            <w:r>
              <w:rPr>
                <w:sz w:val="17"/>
              </w:rPr>
              <w:t xml:space="preserve"> directory using the filename format </w:t>
            </w:r>
            <w:r>
              <w:rPr>
                <w:rFonts w:ascii="Courier New" w:hAnsi="Courier New"/>
                <w:sz w:val="16"/>
              </w:rPr>
              <w:t>LNJ_Audit_YYYYMMDD_HHMM.xlsx</w:t>
            </w:r>
            <w:r>
              <w:rPr>
                <w:sz w:val="17"/>
              </w:rPr>
              <w:t xml:space="preserve">. The </w:t>
            </w:r>
            <w:r>
              <w:rPr>
                <w:rFonts w:ascii="Courier New" w:hAnsi="Courier New"/>
                <w:sz w:val="16"/>
              </w:rPr>
              <w:t>output/</w:t>
            </w:r>
            <w:r>
              <w:rPr>
                <w:sz w:val="17"/>
              </w:rPr>
              <w:t xml:space="preserve"> directory shall be created if it does not already exist.</w:t>
            </w:r>
          </w:p>
        </w:tc>
      </w:tr>
      <w:tr>
        <w:tc>
          <w:tcPr>
            <w:tcW w:type="dxa" w:w="1080"/>
            <w:shd w:val="clear" w:color="auto" w:fill="D6E4F0"/>
          </w:tcPr>
          <w:p>
            <w:pPr>
              <w:spacing w:before="40" w:after="40"/>
            </w:pPr>
            <w:r/>
            <w:r>
              <w:rPr>
                <w:sz w:val="17"/>
              </w:rPr>
              <w:t>FR-71</w:t>
            </w:r>
          </w:p>
        </w:tc>
        <w:tc>
          <w:tcPr>
            <w:tcW w:type="dxa" w:w="7920"/>
            <w:shd w:val="clear" w:color="auto" w:fill="D6E4F0"/>
          </w:tcPr>
          <w:p>
            <w:pPr>
              <w:spacing w:before="40" w:after="40"/>
            </w:pPr>
            <w:r/>
            <w:r>
              <w:rPr>
                <w:sz w:val="17"/>
              </w:rPr>
              <w:t xml:space="preserve">The workbook shall contain the following sheets when data exists: </w:t>
            </w:r>
            <w:r>
              <w:rPr>
                <w:rFonts w:ascii="Courier New" w:hAnsi="Courier New"/>
                <w:sz w:val="16"/>
              </w:rPr>
              <w:t>Executive Summary</w:t>
            </w:r>
            <w:r>
              <w:rPr>
                <w:sz w:val="17"/>
              </w:rPr>
              <w:t xml:space="preserve">, </w:t>
            </w:r>
            <w:r>
              <w:rPr>
                <w:rFonts w:ascii="Courier New" w:hAnsi="Courier New"/>
                <w:sz w:val="16"/>
              </w:rPr>
              <w:t>All Exceptions</w:t>
            </w:r>
            <w:r>
              <w:rPr>
                <w:sz w:val="17"/>
              </w:rPr>
              <w:t xml:space="preserve">, </w:t>
            </w:r>
            <w:r>
              <w:rPr>
                <w:rFonts w:ascii="Courier New" w:hAnsi="Courier New"/>
                <w:sz w:val="16"/>
              </w:rPr>
              <w:t>Concession Audit (John)</w:t>
            </w:r>
            <w:r>
              <w:rPr>
                <w:sz w:val="17"/>
              </w:rPr>
              <w:t xml:space="preserve">, </w:t>
            </w:r>
            <w:r>
              <w:rPr>
                <w:rFonts w:ascii="Courier New" w:hAnsi="Courier New"/>
                <w:sz w:val="16"/>
              </w:rPr>
              <w:t>Revenue Integrity (Daniel)</w:t>
            </w:r>
            <w:r>
              <w:rPr>
                <w:sz w:val="17"/>
              </w:rPr>
              <w:t xml:space="preserve">, </w:t>
            </w:r>
            <w:r>
              <w:rPr>
                <w:rFonts w:ascii="Courier New" w:hAnsi="Courier New"/>
                <w:sz w:val="16"/>
              </w:rPr>
              <w:t>Fee Schedule Violations</w:t>
            </w:r>
            <w:r>
              <w:rPr>
                <w:sz w:val="17"/>
              </w:rPr>
              <w:t xml:space="preserve">, </w:t>
            </w:r>
            <w:r>
              <w:rPr>
                <w:rFonts w:ascii="Courier New" w:hAnsi="Courier New"/>
                <w:sz w:val="16"/>
              </w:rPr>
              <w:t>Exposure by Property</w:t>
            </w:r>
            <w:r>
              <w:rPr>
                <w:sz w:val="17"/>
              </w:rPr>
              <w:t xml:space="preserve">, </w:t>
            </w:r>
            <w:r>
              <w:rPr>
                <w:rFonts w:ascii="Courier New" w:hAnsi="Courier New"/>
                <w:sz w:val="16"/>
              </w:rPr>
              <w:t>Exposure by Rule</w:t>
            </w:r>
            <w:r>
              <w:rPr>
                <w:sz w:val="17"/>
              </w:rPr>
              <w:t xml:space="preserve">, </w:t>
            </w:r>
            <w:r>
              <w:rPr>
                <w:rFonts w:ascii="Courier New" w:hAnsi="Courier New"/>
                <w:sz w:val="16"/>
              </w:rPr>
              <w:t>Manager Ranking</w:t>
            </w:r>
            <w:r>
              <w:rPr>
                <w:sz w:val="17"/>
              </w:rPr>
              <w:t xml:space="preserve">, and </w:t>
            </w:r>
            <w:r>
              <w:rPr>
                <w:rFonts w:ascii="Courier New" w:hAnsi="Courier New"/>
                <w:sz w:val="16"/>
              </w:rPr>
              <w:t>Override Detail Log</w:t>
            </w:r>
            <w:r>
              <w:rPr>
                <w:sz w:val="17"/>
              </w:rPr>
              <w:t>. Sheets with empty source DataFrames shall be omitted.</w:t>
            </w:r>
          </w:p>
        </w:tc>
      </w:tr>
      <w:tr>
        <w:tc>
          <w:tcPr>
            <w:tcW w:type="dxa" w:w="1080"/>
          </w:tcPr>
          <w:p>
            <w:pPr>
              <w:spacing w:before="40" w:after="40"/>
            </w:pPr>
            <w:r/>
            <w:r>
              <w:rPr>
                <w:sz w:val="17"/>
              </w:rPr>
              <w:t>FR-72</w:t>
            </w:r>
          </w:p>
        </w:tc>
        <w:tc>
          <w:tcPr>
            <w:tcW w:type="dxa" w:w="7920"/>
          </w:tcPr>
          <w:p>
            <w:pPr>
              <w:spacing w:before="40" w:after="40"/>
            </w:pPr>
            <w:r/>
            <w:r>
              <w:rPr>
                <w:sz w:val="17"/>
              </w:rPr>
              <w:t>All three flag sheets (</w:t>
            </w:r>
            <w:r>
              <w:rPr>
                <w:rFonts w:ascii="Courier New" w:hAnsi="Courier New"/>
                <w:sz w:val="16"/>
              </w:rPr>
              <w:t>All Exceptions</w:t>
            </w:r>
            <w:r>
              <w:rPr>
                <w:sz w:val="17"/>
              </w:rPr>
              <w:t xml:space="preserve">, </w:t>
            </w:r>
            <w:r>
              <w:rPr>
                <w:rFonts w:ascii="Courier New" w:hAnsi="Courier New"/>
                <w:sz w:val="16"/>
              </w:rPr>
              <w:t>Concession Audit (John)</w:t>
            </w:r>
            <w:r>
              <w:rPr>
                <w:sz w:val="17"/>
              </w:rPr>
              <w:t xml:space="preserve">, </w:t>
            </w:r>
            <w:r>
              <w:rPr>
                <w:rFonts w:ascii="Courier New" w:hAnsi="Courier New"/>
                <w:sz w:val="16"/>
              </w:rPr>
              <w:t>Revenue Integrity (Daniel)</w:t>
            </w:r>
            <w:r>
              <w:rPr>
                <w:sz w:val="17"/>
              </w:rPr>
              <w:t xml:space="preserve">, </w:t>
            </w:r>
            <w:r>
              <w:rPr>
                <w:rFonts w:ascii="Courier New" w:hAnsi="Courier New"/>
                <w:sz w:val="16"/>
              </w:rPr>
              <w:t>Fee Schedule Violations</w:t>
            </w:r>
            <w:r>
              <w:rPr>
                <w:sz w:val="17"/>
              </w:rPr>
              <w:t xml:space="preserve">) shall have two resolution workflow columns prepended: </w:t>
            </w:r>
            <w:r>
              <w:rPr>
                <w:rFonts w:ascii="Courier New" w:hAnsi="Courier New"/>
                <w:sz w:val="16"/>
              </w:rPr>
              <w:t>Status</w:t>
            </w:r>
            <w:r>
              <w:rPr>
                <w:sz w:val="17"/>
              </w:rPr>
              <w:t xml:space="preserve"> (defaulting to </w:t>
            </w:r>
            <w:r>
              <w:rPr>
                <w:rFonts w:ascii="Courier New" w:hAnsi="Courier New"/>
                <w:sz w:val="16"/>
              </w:rPr>
              <w:t>"Open"</w:t>
            </w:r>
            <w:r>
              <w:rPr>
                <w:sz w:val="17"/>
              </w:rPr>
              <w:t xml:space="preserve">) and </w:t>
            </w:r>
            <w:r>
              <w:rPr>
                <w:rFonts w:ascii="Courier New" w:hAnsi="Courier New"/>
                <w:sz w:val="16"/>
              </w:rPr>
              <w:t>Notes</w:t>
            </w:r>
            <w:r>
              <w:rPr>
                <w:sz w:val="17"/>
              </w:rPr>
              <w:t xml:space="preserve"> (empty string).</w:t>
            </w:r>
          </w:p>
        </w:tc>
      </w:tr>
      <w:tr>
        <w:tc>
          <w:tcPr>
            <w:tcW w:type="dxa" w:w="1080"/>
            <w:shd w:val="clear" w:color="auto" w:fill="D6E4F0"/>
          </w:tcPr>
          <w:p>
            <w:pPr>
              <w:spacing w:before="40" w:after="40"/>
            </w:pPr>
            <w:r/>
            <w:r>
              <w:rPr>
                <w:sz w:val="17"/>
              </w:rPr>
              <w:t>FR-73</w:t>
            </w:r>
          </w:p>
        </w:tc>
        <w:tc>
          <w:tcPr>
            <w:tcW w:type="dxa" w:w="7920"/>
            <w:shd w:val="clear" w:color="auto" w:fill="D6E4F0"/>
          </w:tcPr>
          <w:p>
            <w:pPr>
              <w:spacing w:before="40" w:after="40"/>
            </w:pPr>
            <w:r/>
            <w:r>
              <w:rPr>
                <w:sz w:val="17"/>
              </w:rPr>
              <w:t xml:space="preserve">The </w:t>
            </w:r>
            <w:r>
              <w:rPr>
                <w:rFonts w:ascii="Courier New" w:hAnsi="Courier New"/>
                <w:sz w:val="16"/>
              </w:rPr>
              <w:t>All Exceptions</w:t>
            </w:r>
            <w:r>
              <w:rPr>
                <w:sz w:val="17"/>
              </w:rPr>
              <w:t xml:space="preserve"> sheet shall be sorted by risk priority (CRITICAL first, then HIGH, then MEDIUM) and within each tier by </w:t>
            </w:r>
            <w:r>
              <w:rPr>
                <w:rFonts w:ascii="Courier New" w:hAnsi="Courier New"/>
                <w:sz w:val="16"/>
              </w:rPr>
              <w:t>Amount_Impact</w:t>
            </w:r>
            <w:r>
              <w:rPr>
                <w:sz w:val="17"/>
              </w:rPr>
              <w:t xml:space="preserve"> descending, so the most financially impactful critical findings appear at the top.</w:t>
            </w:r>
          </w:p>
        </w:tc>
      </w:tr>
      <w:tr>
        <w:tc>
          <w:tcPr>
            <w:tcW w:type="dxa" w:w="1080"/>
          </w:tcPr>
          <w:p>
            <w:pPr>
              <w:spacing w:before="40" w:after="40"/>
            </w:pPr>
            <w:r/>
            <w:r>
              <w:rPr>
                <w:sz w:val="17"/>
              </w:rPr>
              <w:t>FR-74</w:t>
            </w:r>
          </w:p>
        </w:tc>
        <w:tc>
          <w:tcPr>
            <w:tcW w:type="dxa" w:w="7920"/>
          </w:tcPr>
          <w:p>
            <w:pPr>
              <w:spacing w:before="40" w:after="40"/>
            </w:pPr>
            <w:r/>
            <w:r>
              <w:rPr>
                <w:sz w:val="17"/>
              </w:rPr>
              <w:t xml:space="preserve">All flag sheets shall have a dropdown data validation applied to the </w:t>
            </w:r>
            <w:r>
              <w:rPr>
                <w:rFonts w:ascii="Courier New" w:hAnsi="Courier New"/>
                <w:sz w:val="16"/>
              </w:rPr>
              <w:t>Status</w:t>
            </w:r>
            <w:r>
              <w:rPr>
                <w:sz w:val="17"/>
              </w:rPr>
              <w:t xml:space="preserve"> column for every data row, restricted to the values </w:t>
            </w:r>
            <w:r>
              <w:rPr>
                <w:rFonts w:ascii="Courier New" w:hAnsi="Courier New"/>
                <w:sz w:val="16"/>
              </w:rPr>
              <w:t>"Open"</w:t>
            </w:r>
            <w:r>
              <w:rPr>
                <w:sz w:val="17"/>
              </w:rPr>
              <w:t xml:space="preserve">, </w:t>
            </w:r>
            <w:r>
              <w:rPr>
                <w:rFonts w:ascii="Courier New" w:hAnsi="Courier New"/>
                <w:sz w:val="16"/>
              </w:rPr>
              <w:t>"Reviewed"</w:t>
            </w:r>
            <w:r>
              <w:rPr>
                <w:sz w:val="17"/>
              </w:rPr>
              <w:t xml:space="preserve">, </w:t>
            </w:r>
            <w:r>
              <w:rPr>
                <w:rFonts w:ascii="Courier New" w:hAnsi="Courier New"/>
                <w:sz w:val="16"/>
              </w:rPr>
              <w:t>"Cleared"</w:t>
            </w:r>
            <w:r>
              <w:rPr>
                <w:sz w:val="17"/>
              </w:rPr>
              <w:t xml:space="preserve">, and </w:t>
            </w:r>
            <w:r>
              <w:rPr>
                <w:rFonts w:ascii="Courier New" w:hAnsi="Courier New"/>
                <w:sz w:val="16"/>
              </w:rPr>
              <w:t>"Escalated"</w:t>
            </w:r>
            <w:r>
              <w:rPr>
                <w:sz w:val="17"/>
              </w:rPr>
              <w:t xml:space="preserve">. The dropdown arrow shall be visible in Excel (via </w:t>
            </w:r>
            <w:r>
              <w:rPr>
                <w:rFonts w:ascii="Courier New" w:hAnsi="Courier New"/>
                <w:sz w:val="16"/>
              </w:rPr>
              <w:t>showDropDown=False</w:t>
            </w:r>
            <w:r>
              <w:rPr>
                <w:sz w:val="17"/>
              </w:rPr>
              <w:t xml:space="preserve"> in openpyxl's </w:t>
            </w:r>
            <w:r>
              <w:rPr>
                <w:rFonts w:ascii="Courier New" w:hAnsi="Courier New"/>
                <w:sz w:val="16"/>
              </w:rPr>
              <w:t>DataValidation</w:t>
            </w:r>
            <w:r>
              <w:rPr>
                <w:sz w:val="17"/>
              </w:rPr>
              <w:t>).</w:t>
            </w:r>
          </w:p>
        </w:tc>
      </w:tr>
      <w:tr>
        <w:tc>
          <w:tcPr>
            <w:tcW w:type="dxa" w:w="1080"/>
            <w:shd w:val="clear" w:color="auto" w:fill="D6E4F0"/>
          </w:tcPr>
          <w:p>
            <w:pPr>
              <w:spacing w:before="40" w:after="40"/>
            </w:pPr>
            <w:r/>
            <w:r>
              <w:rPr>
                <w:sz w:val="17"/>
              </w:rPr>
              <w:t>FR-75</w:t>
            </w:r>
          </w:p>
        </w:tc>
        <w:tc>
          <w:tcPr>
            <w:tcW w:type="dxa" w:w="7920"/>
            <w:shd w:val="clear" w:color="auto" w:fill="D6E4F0"/>
          </w:tcPr>
          <w:p>
            <w:pPr>
              <w:spacing w:before="40" w:after="40"/>
            </w:pPr>
            <w:r/>
            <w:r>
              <w:rPr>
                <w:sz w:val="17"/>
              </w:rPr>
              <w:t xml:space="preserve">All flag sheets shall apply row background fill colors based on the current </w:t>
            </w:r>
            <w:r>
              <w:rPr>
                <w:rFonts w:ascii="Courier New" w:hAnsi="Courier New"/>
                <w:sz w:val="16"/>
              </w:rPr>
              <w:t>Status</w:t>
            </w:r>
            <w:r>
              <w:rPr>
                <w:sz w:val="17"/>
              </w:rPr>
              <w:t xml:space="preserve"> value: no fill for Open, light blue (</w:t>
            </w:r>
            <w:r>
              <w:rPr>
                <w:rFonts w:ascii="Courier New" w:hAnsi="Courier New"/>
                <w:sz w:val="16"/>
              </w:rPr>
              <w:t>BDD7EE</w:t>
            </w:r>
            <w:r>
              <w:rPr>
                <w:sz w:val="17"/>
              </w:rPr>
              <w:t>) for Reviewed, light green (</w:t>
            </w:r>
            <w:r>
              <w:rPr>
                <w:rFonts w:ascii="Courier New" w:hAnsi="Courier New"/>
                <w:sz w:val="16"/>
              </w:rPr>
              <w:t>C6EFCE</w:t>
            </w:r>
            <w:r>
              <w:rPr>
                <w:sz w:val="17"/>
              </w:rPr>
              <w:t>) for Cleared, and light orange (</w:t>
            </w:r>
            <w:r>
              <w:rPr>
                <w:rFonts w:ascii="Courier New" w:hAnsi="Courier New"/>
                <w:sz w:val="16"/>
              </w:rPr>
              <w:t>FFEB9C</w:t>
            </w:r>
            <w:r>
              <w:rPr>
                <w:sz w:val="17"/>
              </w:rPr>
              <w:t>) for Escalated.</w:t>
            </w:r>
          </w:p>
        </w:tc>
      </w:tr>
      <w:tr>
        <w:tc>
          <w:tcPr>
            <w:tcW w:type="dxa" w:w="1080"/>
          </w:tcPr>
          <w:p>
            <w:pPr>
              <w:spacing w:before="40" w:after="40"/>
            </w:pPr>
            <w:r/>
            <w:r>
              <w:rPr>
                <w:sz w:val="17"/>
              </w:rPr>
              <w:t>FR-76</w:t>
            </w:r>
          </w:p>
        </w:tc>
        <w:tc>
          <w:tcPr>
            <w:tcW w:type="dxa" w:w="7920"/>
          </w:tcPr>
          <w:p>
            <w:pPr>
              <w:spacing w:before="40" w:after="40"/>
            </w:pPr>
            <w:r/>
            <w:r>
              <w:rPr>
                <w:sz w:val="17"/>
              </w:rPr>
              <w:t>All sheets shall have a dark blue header row (</w:t>
            </w:r>
            <w:r>
              <w:rPr>
                <w:rFonts w:ascii="Courier New" w:hAnsi="Courier New"/>
                <w:sz w:val="16"/>
              </w:rPr>
              <w:t>1F4E79</w:t>
            </w:r>
            <w:r>
              <w:rPr>
                <w:sz w:val="17"/>
              </w:rPr>
              <w:t xml:space="preserve"> fill, white bold 11pt font), center-aligned header text, and frozen panes set at row 2 so the header remains visible while scrolling.</w:t>
            </w:r>
          </w:p>
        </w:tc>
      </w:tr>
      <w:tr>
        <w:tc>
          <w:tcPr>
            <w:tcW w:type="dxa" w:w="1080"/>
            <w:shd w:val="clear" w:color="auto" w:fill="D6E4F0"/>
          </w:tcPr>
          <w:p>
            <w:pPr>
              <w:spacing w:before="40" w:after="40"/>
            </w:pPr>
            <w:r/>
            <w:r>
              <w:rPr>
                <w:sz w:val="17"/>
              </w:rPr>
              <w:t>FR-77</w:t>
            </w:r>
          </w:p>
        </w:tc>
        <w:tc>
          <w:tcPr>
            <w:tcW w:type="dxa" w:w="7920"/>
            <w:shd w:val="clear" w:color="auto" w:fill="D6E4F0"/>
          </w:tcPr>
          <w:p>
            <w:pPr>
              <w:spacing w:before="40" w:after="40"/>
            </w:pPr>
            <w:r/>
            <w:r>
              <w:rPr>
                <w:sz w:val="17"/>
              </w:rPr>
              <w:t>The system shall auto-fit column widths across all sheets by sampling up to 200 data rows per column, capping individual cell contribution at 60 characters, and adding a 2-character buffer. Minimum column width shall be 10 characters.</w:t>
            </w:r>
          </w:p>
        </w:tc>
      </w:tr>
      <w:tr>
        <w:tc>
          <w:tcPr>
            <w:tcW w:type="dxa" w:w="1080"/>
          </w:tcPr>
          <w:p>
            <w:pPr>
              <w:spacing w:before="40" w:after="40"/>
            </w:pPr>
            <w:r/>
            <w:r>
              <w:rPr>
                <w:sz w:val="17"/>
              </w:rPr>
              <w:t>FR-78</w:t>
            </w:r>
          </w:p>
        </w:tc>
        <w:tc>
          <w:tcPr>
            <w:tcW w:type="dxa" w:w="7920"/>
          </w:tcPr>
          <w:p>
            <w:pPr>
              <w:spacing w:before="40" w:after="40"/>
            </w:pPr>
            <w:r/>
            <w:r>
              <w:rPr>
                <w:sz w:val="17"/>
              </w:rPr>
              <w:t>A thin bottom border (</w:t>
            </w:r>
            <w:r>
              <w:rPr>
                <w:rFonts w:ascii="Courier New" w:hAnsi="Courier New"/>
                <w:sz w:val="16"/>
              </w:rPr>
              <w:t>CCCCCC</w:t>
            </w:r>
            <w:r>
              <w:rPr>
                <w:sz w:val="17"/>
              </w:rPr>
              <w:t>) shall be applied to every data cell in all flag sheets to improve row readability. Text alignment shall be set to top-vertical with no word wrap on data cells.</w:t>
            </w:r>
          </w:p>
        </w:tc>
      </w:tr>
    </w:tbl>
    <w:p/>
    <w:p>
      <w:pPr>
        <w:pStyle w:val="Heading2"/>
      </w:pPr>
      <w:r>
        <w:rPr>
          <w:color w:val="2E74B5"/>
        </w:rPr>
        <w:t>5.8 Streamlit Dashboard UI</w:t>
      </w:r>
    </w:p>
    <w:tbl>
      <w:tblPr>
        <w:tblStyle w:val="TableGrid"/>
        <w:tblW w:type="auto" w:w="0"/>
        <w:tblLook w:firstColumn="1" w:firstRow="1" w:lastColumn="0" w:lastRow="0" w:noHBand="0" w:noVBand="1" w:val="04A0"/>
      </w:tblPr>
      <w:tblGrid>
        <w:gridCol w:w="4500"/>
        <w:gridCol w:w="4500"/>
      </w:tblGrid>
      <w:tr>
        <w:tc>
          <w:tcPr>
            <w:tcW w:type="dxa" w:w="1080"/>
            <w:shd w:val="clear" w:color="auto" w:fill="1F4E79"/>
          </w:tcPr>
          <w:p>
            <w:pPr>
              <w:spacing w:before="60" w:after="60"/>
              <w:jc w:val="center"/>
            </w:pPr>
            <w:r/>
            <w:r>
              <w:rPr>
                <w:b/>
                <w:color w:val="FFFFFF"/>
                <w:sz w:val="18"/>
              </w:rPr>
              <w:t>ID</w:t>
            </w:r>
          </w:p>
        </w:tc>
        <w:tc>
          <w:tcPr>
            <w:tcW w:type="dxa" w:w="7920"/>
            <w:shd w:val="clear" w:color="auto" w:fill="1F4E79"/>
          </w:tcPr>
          <w:p>
            <w:pPr>
              <w:spacing w:before="60" w:after="60"/>
              <w:jc w:val="center"/>
            </w:pPr>
            <w:r/>
            <w:r>
              <w:rPr>
                <w:b/>
                <w:color w:val="FFFFFF"/>
                <w:sz w:val="18"/>
              </w:rPr>
              <w:t>Requirement Description</w:t>
            </w:r>
          </w:p>
        </w:tc>
      </w:tr>
      <w:tr>
        <w:tc>
          <w:tcPr>
            <w:tcW w:type="dxa" w:w="1080"/>
          </w:tcPr>
          <w:p>
            <w:pPr>
              <w:spacing w:before="40" w:after="40"/>
            </w:pPr>
            <w:r/>
            <w:r>
              <w:rPr>
                <w:sz w:val="17"/>
              </w:rPr>
              <w:t>FR-79</w:t>
            </w:r>
          </w:p>
        </w:tc>
        <w:tc>
          <w:tcPr>
            <w:tcW w:type="dxa" w:w="7920"/>
          </w:tcPr>
          <w:p>
            <w:pPr>
              <w:spacing w:before="40" w:after="40"/>
            </w:pPr>
            <w:r/>
            <w:r>
              <w:rPr>
                <w:sz w:val="17"/>
              </w:rPr>
              <w:t xml:space="preserve">The Streamlit app shall render a sidebar containing: the LiveNjoy property icon, the system title and version, the list of approved concession codes, a </w:t>
            </w:r>
            <w:r>
              <w:rPr>
                <w:b/>
                <w:sz w:val="17"/>
              </w:rPr>
              <w:t>Run Full Forensic Audit</w:t>
            </w:r>
            <w:r>
              <w:rPr>
                <w:sz w:val="17"/>
              </w:rPr>
              <w:t xml:space="preserve"> primary button, and a File Setup Guide explaining which ResMan exports map to which </w:t>
            </w:r>
            <w:r>
              <w:rPr>
                <w:rFonts w:ascii="Courier New" w:hAnsi="Courier New"/>
                <w:sz w:val="16"/>
              </w:rPr>
              <w:t>data/</w:t>
            </w:r>
            <w:r>
              <w:rPr>
                <w:sz w:val="17"/>
              </w:rPr>
              <w:t xml:space="preserve"> subfolders.</w:t>
            </w:r>
          </w:p>
        </w:tc>
      </w:tr>
      <w:tr>
        <w:tc>
          <w:tcPr>
            <w:tcW w:type="dxa" w:w="1080"/>
            <w:shd w:val="clear" w:color="auto" w:fill="D6E4F0"/>
          </w:tcPr>
          <w:p>
            <w:pPr>
              <w:spacing w:before="40" w:after="40"/>
            </w:pPr>
            <w:r/>
            <w:r>
              <w:rPr>
                <w:sz w:val="17"/>
              </w:rPr>
              <w:t>FR-80</w:t>
            </w:r>
          </w:p>
        </w:tc>
        <w:tc>
          <w:tcPr>
            <w:tcW w:type="dxa" w:w="7920"/>
            <w:shd w:val="clear" w:color="auto" w:fill="D6E4F0"/>
          </w:tcPr>
          <w:p>
            <w:pPr>
              <w:spacing w:before="40" w:after="40"/>
            </w:pPr>
            <w:r/>
            <w:r>
              <w:rPr>
                <w:sz w:val="17"/>
              </w:rPr>
              <w:t xml:space="preserve">Clicking </w:t>
            </w:r>
            <w:r>
              <w:rPr>
                <w:b/>
                <w:sz w:val="17"/>
              </w:rPr>
              <w:t>Run Full Forensic Audit</w:t>
            </w:r>
            <w:r>
              <w:rPr>
                <w:sz w:val="17"/>
              </w:rPr>
              <w:t xml:space="preserve"> shall trigger a </w:t>
            </w:r>
            <w:r>
              <w:rPr>
                <w:rFonts w:ascii="Courier New" w:hAnsi="Courier New"/>
                <w:sz w:val="16"/>
              </w:rPr>
              <w:t>st.spinner</w:t>
            </w:r>
            <w:r>
              <w:rPr>
                <w:sz w:val="17"/>
              </w:rPr>
              <w:t xml:space="preserve"> context while </w:t>
            </w:r>
            <w:r>
              <w:rPr>
                <w:rFonts w:ascii="Courier New" w:hAnsi="Courier New"/>
                <w:sz w:val="16"/>
              </w:rPr>
              <w:t>run_full_audit()</w:t>
            </w:r>
            <w:r>
              <w:rPr>
                <w:sz w:val="17"/>
              </w:rPr>
              <w:t xml:space="preserve"> executes. On success, results shall be stored in </w:t>
            </w:r>
            <w:r>
              <w:rPr>
                <w:rFonts w:ascii="Courier New" w:hAnsi="Courier New"/>
                <w:sz w:val="16"/>
              </w:rPr>
              <w:t>st.session_state["results"]</w:t>
            </w:r>
            <w:r>
              <w:rPr>
                <w:sz w:val="17"/>
              </w:rPr>
              <w:t xml:space="preserve">. On failure, an error message shall be displayed and the app shall call </w:t>
            </w:r>
            <w:r>
              <w:rPr>
                <w:rFonts w:ascii="Courier New" w:hAnsi="Courier New"/>
                <w:sz w:val="16"/>
              </w:rPr>
              <w:t>st.stop()</w:t>
            </w:r>
            <w:r>
              <w:rPr>
                <w:sz w:val="17"/>
              </w:rPr>
              <w:t>.</w:t>
            </w:r>
          </w:p>
        </w:tc>
      </w:tr>
      <w:tr>
        <w:tc>
          <w:tcPr>
            <w:tcW w:type="dxa" w:w="1080"/>
          </w:tcPr>
          <w:p>
            <w:pPr>
              <w:spacing w:before="40" w:after="40"/>
            </w:pPr>
            <w:r/>
            <w:r>
              <w:rPr>
                <w:sz w:val="17"/>
              </w:rPr>
              <w:t>FR-81</w:t>
            </w:r>
          </w:p>
        </w:tc>
        <w:tc>
          <w:tcPr>
            <w:tcW w:type="dxa" w:w="7920"/>
          </w:tcPr>
          <w:p>
            <w:pPr>
              <w:spacing w:before="40" w:after="40"/>
            </w:pPr>
            <w:r/>
            <w:r>
              <w:rPr>
                <w:sz w:val="17"/>
              </w:rPr>
              <w:t xml:space="preserve">The app shall display an informational message and stop rendering if no audit results are present in </w:t>
            </w:r>
            <w:r>
              <w:rPr>
                <w:rFonts w:ascii="Courier New" w:hAnsi="Courier New"/>
                <w:sz w:val="16"/>
              </w:rPr>
              <w:t>st.session_state</w:t>
            </w:r>
            <w:r>
              <w:rPr>
                <w:sz w:val="17"/>
              </w:rPr>
              <w:t xml:space="preserve"> (i.e., the button has not yet been clicked).</w:t>
            </w:r>
          </w:p>
        </w:tc>
      </w:tr>
      <w:tr>
        <w:tc>
          <w:tcPr>
            <w:tcW w:type="dxa" w:w="1080"/>
            <w:shd w:val="clear" w:color="auto" w:fill="D6E4F0"/>
          </w:tcPr>
          <w:p>
            <w:pPr>
              <w:spacing w:before="40" w:after="40"/>
            </w:pPr>
            <w:r/>
            <w:r>
              <w:rPr>
                <w:sz w:val="17"/>
              </w:rPr>
              <w:t>FR-82</w:t>
            </w:r>
          </w:p>
        </w:tc>
        <w:tc>
          <w:tcPr>
            <w:tcW w:type="dxa" w:w="7920"/>
            <w:shd w:val="clear" w:color="auto" w:fill="D6E4F0"/>
          </w:tcPr>
          <w:p>
            <w:pPr>
              <w:spacing w:before="40" w:after="40"/>
            </w:pPr>
            <w:r/>
            <w:r>
              <w:rPr>
                <w:sz w:val="17"/>
              </w:rPr>
              <w:t xml:space="preserve">The dashboard shall render seven tabs: </w:t>
            </w:r>
            <w:r>
              <w:rPr>
                <w:b/>
                <w:sz w:val="17"/>
              </w:rPr>
              <w:t>Executive Summary</w:t>
            </w:r>
            <w:r>
              <w:rPr>
                <w:sz w:val="17"/>
              </w:rPr>
              <w:t xml:space="preserve">, </w:t>
            </w:r>
            <w:r>
              <w:rPr>
                <w:b/>
                <w:sz w:val="17"/>
              </w:rPr>
              <w:t>Concession Audit (John)</w:t>
            </w:r>
            <w:r>
              <w:rPr>
                <w:sz w:val="17"/>
              </w:rPr>
              <w:t xml:space="preserve">, </w:t>
            </w:r>
            <w:r>
              <w:rPr>
                <w:b/>
                <w:sz w:val="17"/>
              </w:rPr>
              <w:t>Revenue Integrity (Daniel)</w:t>
            </w:r>
            <w:r>
              <w:rPr>
                <w:sz w:val="17"/>
              </w:rPr>
              <w:t xml:space="preserve">, </w:t>
            </w:r>
            <w:r>
              <w:rPr>
                <w:b/>
                <w:sz w:val="17"/>
              </w:rPr>
              <w:t>Manager Overrides</w:t>
            </w:r>
            <w:r>
              <w:rPr>
                <w:sz w:val="17"/>
              </w:rPr>
              <w:t xml:space="preserve">, </w:t>
            </w:r>
            <w:r>
              <w:rPr>
                <w:b/>
                <w:sz w:val="17"/>
              </w:rPr>
              <w:t>Exposure Drilldowns</w:t>
            </w:r>
            <w:r>
              <w:rPr>
                <w:sz w:val="17"/>
              </w:rPr>
              <w:t xml:space="preserve">, </w:t>
            </w:r>
            <w:r>
              <w:rPr>
                <w:b/>
                <w:sz w:val="17"/>
              </w:rPr>
              <w:t>Risk Matrix</w:t>
            </w:r>
            <w:r>
              <w:rPr>
                <w:sz w:val="17"/>
              </w:rPr>
              <w:t xml:space="preserve">, and </w:t>
            </w:r>
            <w:r>
              <w:rPr>
                <w:b/>
                <w:sz w:val="17"/>
              </w:rPr>
              <w:t>Fee Schedule Check</w:t>
            </w:r>
            <w:r>
              <w:rPr>
                <w:sz w:val="17"/>
              </w:rPr>
              <w:t>.</w:t>
            </w:r>
          </w:p>
        </w:tc>
      </w:tr>
      <w:tr>
        <w:tc>
          <w:tcPr>
            <w:tcW w:type="dxa" w:w="1080"/>
          </w:tcPr>
          <w:p>
            <w:pPr>
              <w:spacing w:before="40" w:after="40"/>
            </w:pPr>
            <w:r/>
            <w:r>
              <w:rPr>
                <w:sz w:val="17"/>
              </w:rPr>
              <w:t>FR-83</w:t>
            </w:r>
          </w:p>
        </w:tc>
        <w:tc>
          <w:tcPr>
            <w:tcW w:type="dxa" w:w="7920"/>
          </w:tcPr>
          <w:p>
            <w:pPr>
              <w:spacing w:before="40" w:after="40"/>
            </w:pPr>
            <w:r/>
            <w:r>
              <w:rPr>
                <w:b/>
                <w:sz w:val="17"/>
              </w:rPr>
              <w:t>Tab 1 — Executive Summary:</w:t>
            </w:r>
            <w:r>
              <w:rPr>
                <w:sz w:val="17"/>
              </w:rPr>
              <w:t xml:space="preserve"> The tab shall display five KPI metric tiles: Units Audited, Total Exceptions, Financial Exposure (deduped), Avg Flags / Unit, and Critical Flags. It shall also display three risk-level counts (CRITICAL, HIGH, MEDIUM) as separate metric tiles.</w:t>
            </w:r>
          </w:p>
        </w:tc>
      </w:tr>
      <w:tr>
        <w:tc>
          <w:tcPr>
            <w:tcW w:type="dxa" w:w="1080"/>
            <w:shd w:val="clear" w:color="auto" w:fill="D6E4F0"/>
          </w:tcPr>
          <w:p>
            <w:pPr>
              <w:spacing w:before="40" w:after="40"/>
            </w:pPr>
            <w:r/>
            <w:r>
              <w:rPr>
                <w:sz w:val="17"/>
              </w:rPr>
              <w:t>FR-84</w:t>
            </w:r>
          </w:p>
        </w:tc>
        <w:tc>
          <w:tcPr>
            <w:tcW w:type="dxa" w:w="7920"/>
            <w:shd w:val="clear" w:color="auto" w:fill="D6E4F0"/>
          </w:tcPr>
          <w:p>
            <w:pPr>
              <w:spacing w:before="40" w:after="40"/>
            </w:pPr>
            <w:r/>
            <w:r>
              <w:rPr>
                <w:b/>
                <w:sz w:val="17"/>
              </w:rPr>
              <w:t>Tab 1 — All Exceptions Grid:</w:t>
            </w:r>
            <w:r>
              <w:rPr>
                <w:sz w:val="17"/>
              </w:rPr>
              <w:t xml:space="preserve"> Below the KPI tiles, the tab shall render the complete </w:t>
            </w:r>
            <w:r>
              <w:rPr>
                <w:rFonts w:ascii="Courier New" w:hAnsi="Courier New"/>
                <w:sz w:val="16"/>
              </w:rPr>
              <w:t>all_flags</w:t>
            </w:r>
            <w:r>
              <w:rPr>
                <w:sz w:val="17"/>
              </w:rPr>
              <w:t xml:space="preserve"> DataFrame with three interactive filter controls: a multiselect for Risk Level (defaulting to all three levels), a selectbox for Property (including "All"), and a selectbox for Rule (including "All"). The displayed row count shall be shown in a caption below the table.</w:t>
            </w:r>
          </w:p>
        </w:tc>
      </w:tr>
      <w:tr>
        <w:tc>
          <w:tcPr>
            <w:tcW w:type="dxa" w:w="1080"/>
          </w:tcPr>
          <w:p>
            <w:pPr>
              <w:spacing w:before="40" w:after="40"/>
            </w:pPr>
            <w:r/>
            <w:r>
              <w:rPr>
                <w:sz w:val="17"/>
              </w:rPr>
              <w:t>FR-85</w:t>
            </w:r>
          </w:p>
        </w:tc>
        <w:tc>
          <w:tcPr>
            <w:tcW w:type="dxa" w:w="7920"/>
          </w:tcPr>
          <w:p>
            <w:pPr>
              <w:spacing w:before="40" w:after="40"/>
            </w:pPr>
            <w:r/>
            <w:r>
              <w:rPr>
                <w:b/>
                <w:sz w:val="17"/>
              </w:rPr>
              <w:t>Tab 2 — Concession Audit:</w:t>
            </w:r>
            <w:r>
              <w:rPr>
                <w:sz w:val="17"/>
              </w:rPr>
              <w:t xml:space="preserve"> The tab shall first display a rule summary table grouped by </w:t>
            </w:r>
            <w:r>
              <w:rPr>
                <w:rFonts w:ascii="Courier New" w:hAnsi="Courier New"/>
                <w:sz w:val="16"/>
              </w:rPr>
              <w:t>(Rule, Risk_Level)</w:t>
            </w:r>
            <w:r>
              <w:rPr>
                <w:sz w:val="17"/>
              </w:rPr>
              <w:t xml:space="preserve"> with count and total exposure columns, then the full unit-level flag table. A caption shall show the raw sum of John's exposure with a note that deduplication is applied in the Executive Summary.</w:t>
            </w:r>
          </w:p>
        </w:tc>
      </w:tr>
      <w:tr>
        <w:tc>
          <w:tcPr>
            <w:tcW w:type="dxa" w:w="1080"/>
            <w:shd w:val="clear" w:color="auto" w:fill="D6E4F0"/>
          </w:tcPr>
          <w:p>
            <w:pPr>
              <w:spacing w:before="40" w:after="40"/>
            </w:pPr>
            <w:r/>
            <w:r>
              <w:rPr>
                <w:sz w:val="17"/>
              </w:rPr>
              <w:t>FR-86</w:t>
            </w:r>
          </w:p>
        </w:tc>
        <w:tc>
          <w:tcPr>
            <w:tcW w:type="dxa" w:w="7920"/>
            <w:shd w:val="clear" w:color="auto" w:fill="D6E4F0"/>
          </w:tcPr>
          <w:p>
            <w:pPr>
              <w:spacing w:before="40" w:after="40"/>
            </w:pPr>
            <w:r/>
            <w:r>
              <w:rPr>
                <w:b/>
                <w:sz w:val="17"/>
              </w:rPr>
              <w:t>Tab 3 — Revenue Integrity:</w:t>
            </w:r>
            <w:r>
              <w:rPr>
                <w:sz w:val="17"/>
              </w:rPr>
              <w:t xml:space="preserve"> The tab shall render two inner sub-tabs: </w:t>
            </w:r>
            <w:r>
              <w:rPr>
                <w:b/>
                <w:sz w:val="17"/>
              </w:rPr>
              <w:t>Stage 1 — Recurring Projection</w:t>
            </w:r>
            <w:r>
              <w:rPr>
                <w:sz w:val="17"/>
              </w:rPr>
              <w:t xml:space="preserve"> and </w:t>
            </w:r>
            <w:r>
              <w:rPr>
                <w:b/>
                <w:sz w:val="17"/>
              </w:rPr>
              <w:t>Stage 2 — Posted Rent Roll</w:t>
            </w:r>
            <w:r>
              <w:rPr>
                <w:sz w:val="17"/>
              </w:rPr>
              <w:t>. Within Stage 1, it shall display sub-sections for Missing Standard Charges (90% Rule), Charge Amount Inconsistencies (variance rules), and Concession Red Flags. Within Stage 2, it shall display sub-sections for Net Rent Integrity Issues and Manual Concession / Invalid Code flags.</w:t>
            </w:r>
          </w:p>
        </w:tc>
      </w:tr>
      <w:tr>
        <w:tc>
          <w:tcPr>
            <w:tcW w:type="dxa" w:w="1080"/>
          </w:tcPr>
          <w:p>
            <w:pPr>
              <w:spacing w:before="40" w:after="40"/>
            </w:pPr>
            <w:r/>
            <w:r>
              <w:rPr>
                <w:sz w:val="17"/>
              </w:rPr>
              <w:t>FR-87</w:t>
            </w:r>
          </w:p>
        </w:tc>
        <w:tc>
          <w:tcPr>
            <w:tcW w:type="dxa" w:w="7920"/>
          </w:tcPr>
          <w:p>
            <w:pPr>
              <w:spacing w:before="40" w:after="40"/>
            </w:pPr>
            <w:r/>
            <w:r>
              <w:rPr>
                <w:b/>
                <w:sz w:val="17"/>
              </w:rPr>
              <w:t>Tab 4 — Manager Overrides:</w:t>
            </w:r>
            <w:r>
              <w:rPr>
                <w:sz w:val="17"/>
              </w:rPr>
              <w:t xml:space="preserve"> The tab shall display the Manager Ranking DataFrame sorted by total revenue impact, followed by the raw Override Detail Log.</w:t>
            </w:r>
          </w:p>
        </w:tc>
      </w:tr>
      <w:tr>
        <w:tc>
          <w:tcPr>
            <w:tcW w:type="dxa" w:w="1080"/>
            <w:shd w:val="clear" w:color="auto" w:fill="D6E4F0"/>
          </w:tcPr>
          <w:p>
            <w:pPr>
              <w:spacing w:before="40" w:after="40"/>
            </w:pPr>
            <w:r/>
            <w:r>
              <w:rPr>
                <w:sz w:val="17"/>
              </w:rPr>
              <w:t>FR-88</w:t>
            </w:r>
          </w:p>
        </w:tc>
        <w:tc>
          <w:tcPr>
            <w:tcW w:type="dxa" w:w="7920"/>
            <w:shd w:val="clear" w:color="auto" w:fill="D6E4F0"/>
          </w:tcPr>
          <w:p>
            <w:pPr>
              <w:spacing w:before="40" w:after="40"/>
            </w:pPr>
            <w:r/>
            <w:r>
              <w:rPr>
                <w:b/>
                <w:sz w:val="17"/>
              </w:rPr>
              <w:t>Tab 5 — Exposure Drilldowns:</w:t>
            </w:r>
            <w:r>
              <w:rPr>
                <w:sz w:val="17"/>
              </w:rPr>
              <w:t xml:space="preserve"> The tab shall display the Exposure by Property, Exposure by Rule, and Exposure by Risk Level summary tables.</w:t>
            </w:r>
          </w:p>
        </w:tc>
      </w:tr>
      <w:tr>
        <w:tc>
          <w:tcPr>
            <w:tcW w:type="dxa" w:w="1080"/>
          </w:tcPr>
          <w:p>
            <w:pPr>
              <w:spacing w:before="40" w:after="40"/>
            </w:pPr>
            <w:r/>
            <w:r>
              <w:rPr>
                <w:sz w:val="17"/>
              </w:rPr>
              <w:t>FR-89</w:t>
            </w:r>
          </w:p>
        </w:tc>
        <w:tc>
          <w:tcPr>
            <w:tcW w:type="dxa" w:w="7920"/>
          </w:tcPr>
          <w:p>
            <w:pPr>
              <w:spacing w:before="40" w:after="40"/>
            </w:pPr>
            <w:r/>
            <w:r>
              <w:rPr>
                <w:b/>
                <w:sz w:val="17"/>
              </w:rPr>
              <w:t>Tab 6 — Risk Matrix:</w:t>
            </w:r>
            <w:r>
              <w:rPr>
                <w:sz w:val="17"/>
              </w:rPr>
              <w:t xml:space="preserve"> The tab shall render a heatmap visualization showing flag severity counts by property, providing a portfolio-level spatial overview of where risk is concentrated.</w:t>
            </w:r>
          </w:p>
        </w:tc>
      </w:tr>
      <w:tr>
        <w:tc>
          <w:tcPr>
            <w:tcW w:type="dxa" w:w="1080"/>
            <w:shd w:val="clear" w:color="auto" w:fill="D6E4F0"/>
          </w:tcPr>
          <w:p>
            <w:pPr>
              <w:spacing w:before="40" w:after="40"/>
            </w:pPr>
            <w:r/>
            <w:r>
              <w:rPr>
                <w:sz w:val="17"/>
              </w:rPr>
              <w:t>FR-90</w:t>
            </w:r>
          </w:p>
        </w:tc>
        <w:tc>
          <w:tcPr>
            <w:tcW w:type="dxa" w:w="7920"/>
            <w:shd w:val="clear" w:color="auto" w:fill="D6E4F0"/>
          </w:tcPr>
          <w:p>
            <w:pPr>
              <w:spacing w:before="40" w:after="40"/>
            </w:pPr>
            <w:r/>
            <w:r>
              <w:rPr>
                <w:b/>
                <w:sz w:val="17"/>
              </w:rPr>
              <w:t>Tab 7 — Fee Schedule Check:</w:t>
            </w:r>
            <w:r>
              <w:rPr>
                <w:sz w:val="17"/>
              </w:rPr>
              <w:t xml:space="preserve"> The tab shall display the Fee Schedule Violations DataFrame from the Fee Schedule Check engine output.</w:t>
            </w:r>
          </w:p>
        </w:tc>
      </w:tr>
      <w:tr>
        <w:tc>
          <w:tcPr>
            <w:tcW w:type="dxa" w:w="1080"/>
          </w:tcPr>
          <w:p>
            <w:pPr>
              <w:spacing w:before="40" w:after="40"/>
            </w:pPr>
            <w:r/>
            <w:r>
              <w:rPr>
                <w:sz w:val="17"/>
              </w:rPr>
              <w:t>FR-91</w:t>
            </w:r>
          </w:p>
        </w:tc>
        <w:tc>
          <w:tcPr>
            <w:tcW w:type="dxa" w:w="7920"/>
          </w:tcPr>
          <w:p>
            <w:pPr>
              <w:spacing w:before="40" w:after="40"/>
            </w:pPr>
            <w:r/>
            <w:r>
              <w:rPr>
                <w:sz w:val="17"/>
              </w:rPr>
              <w:t xml:space="preserve">All DataFrames displayed in the dashboard shall use the </w:t>
            </w:r>
            <w:r>
              <w:rPr>
                <w:rFonts w:ascii="Courier New" w:hAnsi="Courier New"/>
                <w:sz w:val="16"/>
              </w:rPr>
              <w:t>styled_df()</w:t>
            </w:r>
            <w:r>
              <w:rPr>
                <w:sz w:val="17"/>
              </w:rPr>
              <w:t xml:space="preserve"> helper, which applies </w:t>
            </w:r>
            <w:r>
              <w:rPr>
                <w:rFonts w:ascii="Courier New" w:hAnsi="Courier New"/>
                <w:sz w:val="16"/>
              </w:rPr>
              <w:t>color_risk()</w:t>
            </w:r>
            <w:r>
              <w:rPr>
                <w:sz w:val="17"/>
              </w:rPr>
              <w:t xml:space="preserve"> background styling to the </w:t>
            </w:r>
            <w:r>
              <w:rPr>
                <w:rFonts w:ascii="Courier New" w:hAnsi="Courier New"/>
                <w:sz w:val="16"/>
              </w:rPr>
              <w:t>Risk_Level</w:t>
            </w:r>
            <w:r>
              <w:rPr>
                <w:sz w:val="17"/>
              </w:rPr>
              <w:t xml:space="preserve"> column: red (</w:t>
            </w:r>
            <w:r>
              <w:rPr>
                <w:rFonts w:ascii="Courier New" w:hAnsi="Courier New"/>
                <w:sz w:val="16"/>
              </w:rPr>
              <w:t>#FF4B4B</w:t>
            </w:r>
            <w:r>
              <w:rPr>
                <w:sz w:val="17"/>
              </w:rPr>
              <w:t>) for CRITICAL, orange (</w:t>
            </w:r>
            <w:r>
              <w:rPr>
                <w:rFonts w:ascii="Courier New" w:hAnsi="Courier New"/>
                <w:sz w:val="16"/>
              </w:rPr>
              <w:t>#FFA500</w:t>
            </w:r>
            <w:r>
              <w:rPr>
                <w:sz w:val="17"/>
              </w:rPr>
              <w:t>) for HIGH, and gold (</w:t>
            </w:r>
            <w:r>
              <w:rPr>
                <w:rFonts w:ascii="Courier New" w:hAnsi="Courier New"/>
                <w:sz w:val="16"/>
              </w:rPr>
              <w:t>#FFD700</w:t>
            </w:r>
            <w:r>
              <w:rPr>
                <w:sz w:val="17"/>
              </w:rPr>
              <w:t xml:space="preserve">) for MEDIUM, with black text and bold font weight. DataFrames without a </w:t>
            </w:r>
            <w:r>
              <w:rPr>
                <w:rFonts w:ascii="Courier New" w:hAnsi="Courier New"/>
                <w:sz w:val="16"/>
              </w:rPr>
              <w:t>Risk_Level</w:t>
            </w:r>
            <w:r>
              <w:rPr>
                <w:sz w:val="17"/>
              </w:rPr>
              <w:t xml:space="preserve"> column shall be rendered unstyled.</w:t>
            </w:r>
          </w:p>
        </w:tc>
      </w:tr>
      <w:tr>
        <w:tc>
          <w:tcPr>
            <w:tcW w:type="dxa" w:w="1080"/>
            <w:shd w:val="clear" w:color="auto" w:fill="D6E4F0"/>
          </w:tcPr>
          <w:p>
            <w:pPr>
              <w:spacing w:before="40" w:after="40"/>
            </w:pPr>
            <w:r/>
            <w:r>
              <w:rPr>
                <w:sz w:val="17"/>
              </w:rPr>
              <w:t>FR-92</w:t>
            </w:r>
          </w:p>
        </w:tc>
        <w:tc>
          <w:tcPr>
            <w:tcW w:type="dxa" w:w="7920"/>
            <w:shd w:val="clear" w:color="auto" w:fill="D6E4F0"/>
          </w:tcPr>
          <w:p>
            <w:pPr>
              <w:spacing w:before="40" w:after="40"/>
            </w:pPr>
            <w:r/>
            <w:r>
              <w:rPr>
                <w:sz w:val="17"/>
              </w:rPr>
              <w:t xml:space="preserve">All DataFrames shall be rendered with </w:t>
            </w:r>
            <w:r>
              <w:rPr>
                <w:rFonts w:ascii="Courier New" w:hAnsi="Courier New"/>
                <w:sz w:val="16"/>
              </w:rPr>
              <w:t>use_container_width=True</w:t>
            </w:r>
            <w:r>
              <w:rPr>
                <w:sz w:val="17"/>
              </w:rPr>
              <w:t xml:space="preserve"> and </w:t>
            </w:r>
            <w:r>
              <w:rPr>
                <w:rFonts w:ascii="Courier New" w:hAnsi="Courier New"/>
                <w:sz w:val="16"/>
              </w:rPr>
              <w:t>hide_index=True</w:t>
            </w:r>
            <w:r>
              <w:rPr>
                <w:sz w:val="17"/>
              </w:rPr>
              <w:t xml:space="preserve"> to maximize readability and suppress the pandas row index.</w:t>
            </w:r>
          </w:p>
        </w:tc>
      </w:tr>
    </w:tbl>
    <w:p/>
    <w:p>
      <w:pPr>
        <w:pStyle w:val="Heading1"/>
        <w:pageBreakBefore w:val="1"/>
      </w:pPr>
      <w:r>
        <w:rPr>
          <w:color w:val="1F4E79"/>
        </w:rPr>
        <w:t>6. Business Rules (Exception Logic)</w:t>
      </w:r>
    </w:p>
    <w:p>
      <w:pPr>
        <w:spacing w:before="80" w:after="80"/>
        <w:ind w:left="432" w:right="432"/>
        <w:shd w:val="clear" w:color="auto" w:fill="FFF2CC"/>
      </w:pPr>
      <w:r>
        <w:rPr>
          <w:b/>
          <w:color w:val="333333"/>
          <w:sz w:val="19"/>
        </w:rPr>
        <w:t>Severity key:</w:t>
      </w:r>
      <w:r>
        <w:rPr>
          <w:color w:val="333333"/>
          <w:sz w:val="19"/>
        </w:rPr>
        <w:t xml:space="preserve"> </w:t>
      </w:r>
      <w:r>
        <w:rPr>
          <w:b/>
          <w:color w:val="333333"/>
          <w:sz w:val="19"/>
        </w:rPr>
        <w:t>Error</w:t>
      </w:r>
      <w:r>
        <w:rPr>
          <w:color w:val="333333"/>
          <w:sz w:val="19"/>
        </w:rPr>
        <w:t xml:space="preserve"> = definitive policy violation; produces an exception flag record in the audit output and requires corrective action. </w:t>
      </w:r>
      <w:r>
        <w:rPr>
          <w:b/>
          <w:color w:val="333333"/>
          <w:sz w:val="19"/>
        </w:rPr>
        <w:t>Warning</w:t>
      </w:r>
      <w:r>
        <w:rPr>
          <w:color w:val="333333"/>
          <w:sz w:val="19"/>
        </w:rPr>
        <w:t xml:space="preserve"> = data quality guard or soft-logic threshold; either logs a console message without producing a flag record, or produces a flag whose finding may have an acceptable explanation and must be investigated before a classification is made.</w:t>
      </w:r>
    </w:p>
    <w:p>
      <w:pPr>
        <w:pStyle w:val="Heading2"/>
      </w:pPr>
      <w:r>
        <w:rPr>
          <w:color w:val="2E74B5"/>
        </w:rPr>
        <w:t>6.1 Data Ingestion &amp; Quality Guards</w:t>
      </w:r>
    </w:p>
    <w:tbl>
      <w:tblPr>
        <w:tblStyle w:val="TableGrid"/>
        <w:tblW w:type="auto" w:w="0"/>
        <w:tblLook w:firstColumn="1" w:firstRow="1" w:lastColumn="0" w:lastRow="0" w:noHBand="0" w:noVBand="1" w:val="04A0"/>
      </w:tblPr>
      <w:tblGrid>
        <w:gridCol w:w="2250"/>
        <w:gridCol w:w="2250"/>
        <w:gridCol w:w="2250"/>
        <w:gridCol w:w="2250"/>
      </w:tblGrid>
      <w:tr>
        <w:tc>
          <w:tcPr>
            <w:tcW w:type="dxa" w:w="864"/>
            <w:shd w:val="clear" w:color="auto" w:fill="1F4E79"/>
          </w:tcPr>
          <w:p>
            <w:pPr>
              <w:spacing w:before="60" w:after="60"/>
              <w:jc w:val="center"/>
            </w:pPr>
            <w:r/>
            <w:r>
              <w:rPr>
                <w:b/>
                <w:color w:val="FFFFFF"/>
                <w:sz w:val="18"/>
              </w:rPr>
              <w:t>ID</w:t>
            </w:r>
          </w:p>
        </w:tc>
        <w:tc>
          <w:tcPr>
            <w:tcW w:type="dxa" w:w="4104"/>
            <w:shd w:val="clear" w:color="auto" w:fill="1F4E79"/>
          </w:tcPr>
          <w:p>
            <w:pPr>
              <w:spacing w:before="60" w:after="60"/>
              <w:jc w:val="center"/>
            </w:pPr>
            <w:r/>
            <w:r>
              <w:rPr>
                <w:b/>
                <w:color w:val="FFFFFF"/>
                <w:sz w:val="18"/>
              </w:rPr>
              <w:t>Rule</w:t>
            </w:r>
          </w:p>
        </w:tc>
        <w:tc>
          <w:tcPr>
            <w:tcW w:type="dxa" w:w="1152"/>
            <w:shd w:val="clear" w:color="auto" w:fill="1F4E79"/>
          </w:tcPr>
          <w:p>
            <w:pPr>
              <w:spacing w:before="60" w:after="60"/>
              <w:jc w:val="center"/>
            </w:pPr>
            <w:r/>
            <w:r>
              <w:rPr>
                <w:b/>
                <w:color w:val="FFFFFF"/>
                <w:sz w:val="18"/>
              </w:rPr>
              <w:t>Severity</w:t>
            </w:r>
          </w:p>
        </w:tc>
        <w:tc>
          <w:tcPr>
            <w:tcW w:type="dxa" w:w="2808"/>
            <w:shd w:val="clear" w:color="auto" w:fill="1F4E79"/>
          </w:tcPr>
          <w:p>
            <w:pPr>
              <w:spacing w:before="60" w:after="60"/>
              <w:jc w:val="center"/>
            </w:pPr>
            <w:r/>
            <w:r>
              <w:rPr>
                <w:b/>
                <w:color w:val="FFFFFF"/>
                <w:sz w:val="18"/>
              </w:rPr>
              <w:t>Requires</w:t>
            </w:r>
          </w:p>
        </w:tc>
      </w:tr>
      <w:tr>
        <w:tc>
          <w:tcPr>
            <w:tcW w:type="dxa" w:w="864"/>
          </w:tcPr>
          <w:p>
            <w:pPr>
              <w:spacing w:before="40" w:after="40"/>
            </w:pPr>
            <w:r/>
            <w:r>
              <w:rPr>
                <w:sz w:val="17"/>
              </w:rPr>
              <w:t>BR-1</w:t>
            </w:r>
          </w:p>
        </w:tc>
        <w:tc>
          <w:tcPr>
            <w:tcW w:type="dxa" w:w="4104"/>
          </w:tcPr>
          <w:p>
            <w:pPr>
              <w:spacing w:before="40" w:after="40"/>
            </w:pPr>
            <w:r/>
            <w:r>
              <w:rPr>
                <w:sz w:val="17"/>
              </w:rPr>
              <w:t xml:space="preserve">If a configured </w:t>
            </w:r>
            <w:r>
              <w:rPr>
                <w:rFonts w:ascii="Courier New" w:hAnsi="Courier New"/>
                <w:sz w:val="16"/>
              </w:rPr>
              <w:t>data/</w:t>
            </w:r>
            <w:r>
              <w:rPr>
                <w:sz w:val="17"/>
              </w:rPr>
              <w:t xml:space="preserve"> subfolder does not exist on disk, the system shall print </w:t>
            </w:r>
            <w:r>
              <w:rPr>
                <w:rFonts w:ascii="Courier New" w:hAnsi="Courier New"/>
                <w:sz w:val="16"/>
              </w:rPr>
              <w:t>[WARN] Folder missing: &lt;path&gt;</w:t>
            </w:r>
            <w:r>
              <w:rPr>
                <w:sz w:val="17"/>
              </w:rPr>
              <w:t xml:space="preserve"> and return an empty DataFrame. No exception shall be raised and processing of other folders shall continue normally.</w:t>
            </w:r>
          </w:p>
        </w:tc>
        <w:tc>
          <w:tcPr>
            <w:tcW w:type="dxa" w:w="1152"/>
          </w:tcPr>
          <w:p>
            <w:pPr>
              <w:spacing w:before="40" w:after="40"/>
            </w:pPr>
            <w:r/>
            <w:r>
              <w:rPr>
                <w:sz w:val="17"/>
              </w:rPr>
              <w:t>Warning</w:t>
            </w:r>
          </w:p>
        </w:tc>
        <w:tc>
          <w:tcPr>
            <w:tcW w:type="dxa" w:w="2808"/>
          </w:tcPr>
          <w:p>
            <w:pPr>
              <w:spacing w:before="40" w:after="40"/>
            </w:pPr>
            <w:r/>
            <w:r>
              <w:rPr>
                <w:sz w:val="17"/>
              </w:rPr>
              <w:t xml:space="preserve">Configured </w:t>
            </w:r>
            <w:r>
              <w:rPr>
                <w:rFonts w:ascii="Courier New" w:hAnsi="Courier New"/>
                <w:sz w:val="16"/>
              </w:rPr>
              <w:t>DIRS</w:t>
            </w:r>
            <w:r>
              <w:rPr>
                <w:sz w:val="17"/>
              </w:rPr>
              <w:t xml:space="preserve"> path entry; file system access</w:t>
            </w:r>
          </w:p>
        </w:tc>
      </w:tr>
      <w:tr>
        <w:tc>
          <w:tcPr>
            <w:tcW w:type="dxa" w:w="864"/>
            <w:shd w:val="clear" w:color="auto" w:fill="D6E4F0"/>
          </w:tcPr>
          <w:p>
            <w:pPr>
              <w:spacing w:before="40" w:after="40"/>
            </w:pPr>
            <w:r/>
            <w:r>
              <w:rPr>
                <w:sz w:val="17"/>
              </w:rPr>
              <w:t>BR-2</w:t>
            </w:r>
          </w:p>
        </w:tc>
        <w:tc>
          <w:tcPr>
            <w:tcW w:type="dxa" w:w="4104"/>
            <w:shd w:val="clear" w:color="auto" w:fill="D6E4F0"/>
          </w:tcPr>
          <w:p>
            <w:pPr>
              <w:spacing w:before="40" w:after="40"/>
            </w:pPr>
            <w:r/>
            <w:r>
              <w:rPr>
                <w:sz w:val="17"/>
              </w:rPr>
              <w:t xml:space="preserve">If a configured </w:t>
            </w:r>
            <w:r>
              <w:rPr>
                <w:rFonts w:ascii="Courier New" w:hAnsi="Courier New"/>
                <w:sz w:val="16"/>
              </w:rPr>
              <w:t>data/</w:t>
            </w:r>
            <w:r>
              <w:rPr>
                <w:sz w:val="17"/>
              </w:rPr>
              <w:t xml:space="preserve"> subfolder exists but contains no </w:t>
            </w:r>
            <w:r>
              <w:rPr>
                <w:rFonts w:ascii="Courier New" w:hAnsi="Courier New"/>
                <w:sz w:val="16"/>
              </w:rPr>
              <w:t>.csv</w:t>
            </w:r>
            <w:r>
              <w:rPr>
                <w:sz w:val="17"/>
              </w:rPr>
              <w:t xml:space="preserve"> files, the system shall print </w:t>
            </w:r>
            <w:r>
              <w:rPr>
                <w:rFonts w:ascii="Courier New" w:hAnsi="Courier New"/>
                <w:sz w:val="16"/>
              </w:rPr>
              <w:t>[INFO] No CSVs in: &lt;path&gt;</w:t>
            </w:r>
            <w:r>
              <w:rPr>
                <w:sz w:val="17"/>
              </w:rPr>
              <w:t xml:space="preserve"> and return an empty DataFrame.</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rFonts w:ascii="Courier New" w:hAnsi="Courier New"/>
                <w:sz w:val="16"/>
              </w:rPr>
              <w:t>data/</w:t>
            </w:r>
            <w:r>
              <w:rPr>
                <w:sz w:val="17"/>
              </w:rPr>
              <w:t xml:space="preserve"> subfolder present; </w:t>
            </w:r>
            <w:r>
              <w:rPr>
                <w:rFonts w:ascii="Courier New" w:hAnsi="Courier New"/>
                <w:sz w:val="16"/>
              </w:rPr>
              <w:t>.csv</w:t>
            </w:r>
            <w:r>
              <w:rPr>
                <w:sz w:val="17"/>
              </w:rPr>
              <w:t xml:space="preserve"> file extension</w:t>
            </w:r>
          </w:p>
        </w:tc>
      </w:tr>
      <w:tr>
        <w:tc>
          <w:tcPr>
            <w:tcW w:type="dxa" w:w="864"/>
          </w:tcPr>
          <w:p>
            <w:pPr>
              <w:spacing w:before="40" w:after="40"/>
            </w:pPr>
            <w:r/>
            <w:r>
              <w:rPr>
                <w:sz w:val="17"/>
              </w:rPr>
              <w:t>BR-3</w:t>
            </w:r>
          </w:p>
        </w:tc>
        <w:tc>
          <w:tcPr>
            <w:tcW w:type="dxa" w:w="4104"/>
          </w:tcPr>
          <w:p>
            <w:pPr>
              <w:spacing w:before="40" w:after="40"/>
            </w:pPr>
            <w:r/>
            <w:r>
              <w:rPr>
                <w:sz w:val="17"/>
              </w:rPr>
              <w:t xml:space="preserve">Every CSV file shall be decoded by attempting UTF-8-sig first, CP1252 second, and Latin-1 third. If all three encodings fail with </w:t>
            </w:r>
            <w:r>
              <w:rPr>
                <w:rFonts w:ascii="Courier New" w:hAnsi="Courier New"/>
                <w:sz w:val="16"/>
              </w:rPr>
              <w:t>UnicodeDecodeError</w:t>
            </w:r>
            <w:r>
              <w:rPr>
                <w:sz w:val="17"/>
              </w:rPr>
              <w:t xml:space="preserve">, the system shall raise </w:t>
            </w:r>
            <w:r>
              <w:rPr>
                <w:rFonts w:ascii="Courier New" w:hAnsi="Courier New"/>
                <w:sz w:val="16"/>
              </w:rPr>
              <w:t>ValueError</w:t>
            </w:r>
            <w:r>
              <w:rPr>
                <w:sz w:val="17"/>
              </w:rPr>
              <w:t xml:space="preserve"> identifying the unreadable file.</w:t>
            </w:r>
          </w:p>
        </w:tc>
        <w:tc>
          <w:tcPr>
            <w:tcW w:type="dxa" w:w="1152"/>
          </w:tcPr>
          <w:p>
            <w:pPr>
              <w:spacing w:before="40" w:after="40"/>
            </w:pPr>
            <w:r/>
            <w:r>
              <w:rPr>
                <w:sz w:val="17"/>
              </w:rPr>
              <w:t>Warning</w:t>
            </w:r>
          </w:p>
        </w:tc>
        <w:tc>
          <w:tcPr>
            <w:tcW w:type="dxa" w:w="2808"/>
          </w:tcPr>
          <w:p>
            <w:pPr>
              <w:spacing w:before="40" w:after="40"/>
            </w:pPr>
            <w:r/>
            <w:r>
              <w:rPr>
                <w:sz w:val="17"/>
              </w:rPr>
              <w:t>CSV file on disk; one of three supported encodings</w:t>
            </w:r>
          </w:p>
        </w:tc>
      </w:tr>
      <w:tr>
        <w:tc>
          <w:tcPr>
            <w:tcW w:type="dxa" w:w="864"/>
            <w:shd w:val="clear" w:color="auto" w:fill="D6E4F0"/>
          </w:tcPr>
          <w:p>
            <w:pPr>
              <w:spacing w:before="40" w:after="40"/>
            </w:pPr>
            <w:r/>
            <w:r>
              <w:rPr>
                <w:sz w:val="17"/>
              </w:rPr>
              <w:t>BR-4</w:t>
            </w:r>
          </w:p>
        </w:tc>
        <w:tc>
          <w:tcPr>
            <w:tcW w:type="dxa" w:w="4104"/>
            <w:shd w:val="clear" w:color="auto" w:fill="D6E4F0"/>
          </w:tcPr>
          <w:p>
            <w:pPr>
              <w:spacing w:before="40" w:after="40"/>
            </w:pPr>
            <w:r/>
            <w:r>
              <w:rPr>
                <w:sz w:val="17"/>
              </w:rPr>
              <w:t xml:space="preserve">Every per-file loader is wrapped in a </w:t>
            </w:r>
            <w:r>
              <w:rPr>
                <w:rFonts w:ascii="Courier New" w:hAnsi="Courier New"/>
                <w:sz w:val="16"/>
              </w:rPr>
              <w:t>try/except Exception</w:t>
            </w:r>
            <w:r>
              <w:rPr>
                <w:sz w:val="17"/>
              </w:rPr>
              <w:t xml:space="preserve"> block. If any single file raises an unhandled exception during parsing, the system shall print </w:t>
            </w:r>
            <w:r>
              <w:rPr>
                <w:rFonts w:ascii="Courier New" w:hAnsi="Courier New"/>
                <w:sz w:val="16"/>
              </w:rPr>
              <w:t>[ERROR] &lt;filename&gt;: &lt;message&gt;</w:t>
            </w:r>
            <w:r>
              <w:rPr>
                <w:sz w:val="17"/>
              </w:rPr>
              <w:t xml:space="preserve"> and skip that file, allowing the remaining files to load normally.</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Valid CSV structure; parseable content</w:t>
            </w:r>
          </w:p>
        </w:tc>
      </w:tr>
      <w:tr>
        <w:tc>
          <w:tcPr>
            <w:tcW w:type="dxa" w:w="864"/>
          </w:tcPr>
          <w:p>
            <w:pPr>
              <w:spacing w:before="40" w:after="40"/>
            </w:pPr>
            <w:r/>
            <w:r>
              <w:rPr>
                <w:sz w:val="17"/>
              </w:rPr>
              <w:t>BR-5</w:t>
            </w:r>
          </w:p>
        </w:tc>
        <w:tc>
          <w:tcPr>
            <w:tcW w:type="dxa" w:w="4104"/>
          </w:tcPr>
          <w:p>
            <w:pPr>
              <w:spacing w:before="40" w:after="40"/>
            </w:pPr>
            <w:r/>
            <w:r>
              <w:rPr>
                <w:sz w:val="17"/>
              </w:rPr>
              <w:t>Any value in a currency field (</w:t>
            </w:r>
            <w:r>
              <w:rPr>
                <w:rFonts w:ascii="Courier New" w:hAnsi="Courier New"/>
                <w:sz w:val="16"/>
              </w:rPr>
              <w:t>Amount</w:t>
            </w:r>
            <w:r>
              <w:rPr>
                <w:sz w:val="17"/>
              </w:rPr>
              <w:t xml:space="preserve">, </w:t>
            </w:r>
            <w:r>
              <w:rPr>
                <w:rFonts w:ascii="Courier New" w:hAnsi="Courier New"/>
                <w:sz w:val="16"/>
              </w:rPr>
              <w:t>Market Rent</w:t>
            </w:r>
            <w:r>
              <w:rPr>
                <w:sz w:val="17"/>
              </w:rPr>
              <w:t xml:space="preserve">, </w:t>
            </w:r>
            <w:r>
              <w:rPr>
                <w:rFonts w:ascii="Courier New" w:hAnsi="Courier New"/>
                <w:sz w:val="16"/>
              </w:rPr>
              <w:t>Rec. Conc.</w:t>
            </w:r>
            <w:r>
              <w:rPr>
                <w:sz w:val="17"/>
              </w:rPr>
              <w:t xml:space="preserve">, etc.) that cannot be cast to float after stripping </w:t>
            </w:r>
            <w:r>
              <w:rPr>
                <w:rFonts w:ascii="Courier New" w:hAnsi="Courier New"/>
                <w:sz w:val="16"/>
              </w:rPr>
              <w:t>$</w:t>
            </w:r>
            <w:r>
              <w:rPr>
                <w:sz w:val="17"/>
              </w:rPr>
              <w:t xml:space="preserve">, </w:t>
            </w:r>
            <w:r>
              <w:rPr>
                <w:rFonts w:ascii="Courier New" w:hAnsi="Courier New"/>
                <w:sz w:val="16"/>
              </w:rPr>
              <w:t>,</w:t>
            </w:r>
            <w:r>
              <w:rPr>
                <w:sz w:val="17"/>
              </w:rPr>
              <w:t xml:space="preserve">, </w:t>
            </w:r>
            <w:r>
              <w:rPr>
                <w:rFonts w:ascii="Courier New" w:hAnsi="Courier New"/>
                <w:sz w:val="16"/>
              </w:rPr>
              <w:t>"</w:t>
            </w:r>
            <w:r>
              <w:rPr>
                <w:sz w:val="17"/>
              </w:rPr>
              <w:t xml:space="preserve">, and whitespace shall be silently coerced to </w:t>
            </w:r>
            <w:r>
              <w:rPr>
                <w:rFonts w:ascii="Courier New" w:hAnsi="Courier New"/>
                <w:sz w:val="16"/>
              </w:rPr>
              <w:t>0.0</w:t>
            </w:r>
            <w:r>
              <w:rPr>
                <w:sz w:val="17"/>
              </w:rPr>
              <w:t xml:space="preserve">. The rule applies universally via </w:t>
            </w:r>
            <w:r>
              <w:rPr>
                <w:rFonts w:ascii="Courier New" w:hAnsi="Courier New"/>
                <w:sz w:val="16"/>
              </w:rPr>
              <w:t>clean_currency()</w:t>
            </w:r>
            <w:r>
              <w:rPr>
                <w:sz w:val="17"/>
              </w:rPr>
              <w:t>.</w:t>
            </w:r>
          </w:p>
        </w:tc>
        <w:tc>
          <w:tcPr>
            <w:tcW w:type="dxa" w:w="1152"/>
          </w:tcPr>
          <w:p>
            <w:pPr>
              <w:spacing w:before="40" w:after="40"/>
            </w:pPr>
            <w:r/>
            <w:r>
              <w:rPr>
                <w:sz w:val="17"/>
              </w:rPr>
              <w:t>Warning</w:t>
            </w:r>
          </w:p>
        </w:tc>
        <w:tc>
          <w:tcPr>
            <w:tcW w:type="dxa" w:w="2808"/>
          </w:tcPr>
          <w:p>
            <w:pPr>
              <w:spacing w:before="40" w:after="40"/>
            </w:pPr>
            <w:r/>
            <w:r>
              <w:rPr>
                <w:sz w:val="17"/>
              </w:rPr>
              <w:t>String-typed currency column present</w:t>
            </w:r>
          </w:p>
        </w:tc>
      </w:tr>
      <w:tr>
        <w:tc>
          <w:tcPr>
            <w:tcW w:type="dxa" w:w="864"/>
            <w:shd w:val="clear" w:color="auto" w:fill="D6E4F0"/>
          </w:tcPr>
          <w:p>
            <w:pPr>
              <w:spacing w:before="40" w:after="40"/>
            </w:pPr>
            <w:r/>
            <w:r>
              <w:rPr>
                <w:sz w:val="17"/>
              </w:rPr>
              <w:t>BR-6</w:t>
            </w:r>
          </w:p>
        </w:tc>
        <w:tc>
          <w:tcPr>
            <w:tcW w:type="dxa" w:w="4104"/>
            <w:shd w:val="clear" w:color="auto" w:fill="D6E4F0"/>
          </w:tcPr>
          <w:p>
            <w:pPr>
              <w:spacing w:before="40" w:after="40"/>
            </w:pPr>
            <w:r/>
            <w:r>
              <w:rPr>
                <w:sz w:val="17"/>
              </w:rPr>
              <w:t xml:space="preserve">Any value in a date field that cannot be parsed by </w:t>
            </w:r>
            <w:r>
              <w:rPr>
                <w:rFonts w:ascii="Courier New" w:hAnsi="Courier New"/>
                <w:sz w:val="16"/>
              </w:rPr>
              <w:t>pd.to_datetime</w:t>
            </w:r>
            <w:r>
              <w:rPr>
                <w:sz w:val="17"/>
              </w:rPr>
              <w:t xml:space="preserve"> shall be set to </w:t>
            </w:r>
            <w:r>
              <w:rPr>
                <w:rFonts w:ascii="Courier New" w:hAnsi="Courier New"/>
                <w:sz w:val="16"/>
              </w:rPr>
              <w:t>None</w:t>
            </w:r>
            <w:r>
              <w:rPr>
                <w:sz w:val="17"/>
              </w:rPr>
              <w:t xml:space="preserve">. The rule applies universally via </w:t>
            </w:r>
            <w:r>
              <w:rPr>
                <w:rFonts w:ascii="Courier New" w:hAnsi="Courier New"/>
                <w:sz w:val="16"/>
              </w:rPr>
              <w:t>parse_date()</w:t>
            </w:r>
            <w:r>
              <w:rPr>
                <w:sz w:val="17"/>
              </w:rPr>
              <w:t xml:space="preserve">. Downstream comparisons involving </w:t>
            </w:r>
            <w:r>
              <w:rPr>
                <w:rFonts w:ascii="Courier New" w:hAnsi="Courier New"/>
                <w:sz w:val="16"/>
              </w:rPr>
              <w:t>None</w:t>
            </w:r>
            <w:r>
              <w:rPr>
                <w:sz w:val="17"/>
              </w:rPr>
              <w:t xml:space="preserve"> dates shall be skipped using </w:t>
            </w:r>
            <w:r>
              <w:rPr>
                <w:rFonts w:ascii="Courier New" w:hAnsi="Courier New"/>
                <w:sz w:val="16"/>
              </w:rPr>
              <w:t>pd.notna()</w:t>
            </w:r>
            <w:r>
              <w:rPr>
                <w:sz w:val="17"/>
              </w:rPr>
              <w:t xml:space="preserve"> guards.</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String-typed date column present</w:t>
            </w:r>
          </w:p>
        </w:tc>
      </w:tr>
      <w:tr>
        <w:tc>
          <w:tcPr>
            <w:tcW w:type="dxa" w:w="864"/>
          </w:tcPr>
          <w:p>
            <w:pPr>
              <w:spacing w:before="40" w:after="40"/>
            </w:pPr>
            <w:r/>
            <w:r>
              <w:rPr>
                <w:sz w:val="17"/>
              </w:rPr>
              <w:t>BR-7</w:t>
            </w:r>
          </w:p>
        </w:tc>
        <w:tc>
          <w:tcPr>
            <w:tcW w:type="dxa" w:w="4104"/>
          </w:tcPr>
          <w:p>
            <w:pPr>
              <w:spacing w:before="40" w:after="40"/>
            </w:pPr>
            <w:r/>
            <w:r>
              <w:rPr>
                <w:sz w:val="17"/>
              </w:rPr>
              <w:t xml:space="preserve">A unit number that is blank or </w:t>
            </w:r>
            <w:r>
              <w:rPr>
                <w:rFonts w:ascii="Courier New" w:hAnsi="Courier New"/>
                <w:sz w:val="16"/>
              </w:rPr>
              <w:t>"nan"</w:t>
            </w:r>
            <w:r>
              <w:rPr>
                <w:sz w:val="17"/>
              </w:rPr>
              <w:t xml:space="preserve"> after stripping shall be stored as </w:t>
            </w:r>
            <w:r>
              <w:rPr>
                <w:rFonts w:ascii="Courier New" w:hAnsi="Courier New"/>
                <w:sz w:val="16"/>
              </w:rPr>
              <w:t>"UNKNOWN"</w:t>
            </w:r>
            <w:r>
              <w:rPr>
                <w:sz w:val="17"/>
              </w:rPr>
              <w:t xml:space="preserve">. A unit number that resolves to an empty string after stripping leading zeros shall be stored as </w:t>
            </w:r>
            <w:r>
              <w:rPr>
                <w:rFonts w:ascii="Courier New" w:hAnsi="Courier New"/>
                <w:sz w:val="16"/>
              </w:rPr>
              <w:t>"0"</w:t>
            </w:r>
            <w:r>
              <w:rPr>
                <w:sz w:val="17"/>
              </w:rPr>
              <w:t>.</w:t>
            </w:r>
          </w:p>
        </w:tc>
        <w:tc>
          <w:tcPr>
            <w:tcW w:type="dxa" w:w="1152"/>
          </w:tcPr>
          <w:p>
            <w:pPr>
              <w:spacing w:before="40" w:after="40"/>
            </w:pPr>
            <w:r/>
            <w:r>
              <w:rPr>
                <w:sz w:val="17"/>
              </w:rPr>
              <w:t>Warning</w:t>
            </w:r>
          </w:p>
        </w:tc>
        <w:tc>
          <w:tcPr>
            <w:tcW w:type="dxa" w:w="2808"/>
          </w:tcPr>
          <w:p>
            <w:pPr>
              <w:spacing w:before="40" w:after="40"/>
            </w:pPr>
            <w:r/>
            <w:r>
              <w:rPr>
                <w:sz w:val="17"/>
              </w:rPr>
              <w:t>Unit column present in raw CSV</w:t>
            </w:r>
          </w:p>
        </w:tc>
      </w:tr>
      <w:tr>
        <w:tc>
          <w:tcPr>
            <w:tcW w:type="dxa" w:w="864"/>
            <w:shd w:val="clear" w:color="auto" w:fill="D6E4F0"/>
          </w:tcPr>
          <w:p>
            <w:pPr>
              <w:spacing w:before="40" w:after="40"/>
            </w:pPr>
            <w:r/>
            <w:r>
              <w:rPr>
                <w:sz w:val="17"/>
              </w:rPr>
              <w:t>BR-8</w:t>
            </w:r>
          </w:p>
        </w:tc>
        <w:tc>
          <w:tcPr>
            <w:tcW w:type="dxa" w:w="4104"/>
            <w:shd w:val="clear" w:color="auto" w:fill="D6E4F0"/>
          </w:tcPr>
          <w:p>
            <w:pPr>
              <w:spacing w:before="40" w:after="40"/>
            </w:pPr>
            <w:r/>
            <w:r>
              <w:rPr>
                <w:sz w:val="17"/>
              </w:rPr>
              <w:t xml:space="preserve">In the Transaction List loader, ResMan section headers (e.g., </w:t>
            </w:r>
            <w:r>
              <w:rPr>
                <w:rFonts w:ascii="Courier New" w:hAnsi="Courier New"/>
                <w:sz w:val="16"/>
              </w:rPr>
              <w:t>"Credit - Concession - Rent"</w:t>
            </w:r>
            <w:r>
              <w:rPr>
                <w:sz w:val="17"/>
              </w:rPr>
              <w:t xml:space="preserve">, </w:t>
            </w:r>
            <w:r>
              <w:rPr>
                <w:rFonts w:ascii="Courier New" w:hAnsi="Courier New"/>
                <w:sz w:val="16"/>
              </w:rPr>
              <w:t>"Payment - Payment"</w:t>
            </w:r>
            <w:r>
              <w:rPr>
                <w:sz w:val="17"/>
              </w:rPr>
              <w:t xml:space="preserve">) that appear in the first column shall be forward-filled into a </w:t>
            </w:r>
            <w:r>
              <w:rPr>
                <w:rFonts w:ascii="Courier New" w:hAnsi="Courier New"/>
                <w:sz w:val="16"/>
              </w:rPr>
              <w:t>_section</w:t>
            </w:r>
            <w:r>
              <w:rPr>
                <w:sz w:val="17"/>
              </w:rPr>
              <w:t xml:space="preserve"> field via </w:t>
            </w:r>
            <w:r>
              <w:rPr>
                <w:rFonts w:ascii="Courier New" w:hAnsi="Courier New"/>
                <w:sz w:val="16"/>
              </w:rPr>
              <w:t>ffill()</w:t>
            </w:r>
            <w:r>
              <w:rPr>
                <w:sz w:val="17"/>
              </w:rPr>
              <w:t>. All non-</w:t>
            </w:r>
            <w:r>
              <w:rPr>
                <w:rFonts w:ascii="Courier New" w:hAnsi="Courier New"/>
                <w:sz w:val="16"/>
              </w:rPr>
              <w:t>"Credit - "</w:t>
            </w:r>
            <w:r>
              <w:rPr>
                <w:sz w:val="17"/>
              </w:rPr>
              <w:t xml:space="preserve"> section types — including Payment, Deposit, and Charge sections — must be captured by the forward-fill pattern so they correctly reset the section label and prevent Payment or Deposit rows from inheriting a prior Credit section label.</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Multi-section ResMan Transaction List CSV</w:t>
            </w:r>
          </w:p>
        </w:tc>
      </w:tr>
      <w:tr>
        <w:tc>
          <w:tcPr>
            <w:tcW w:type="dxa" w:w="864"/>
          </w:tcPr>
          <w:p>
            <w:pPr>
              <w:spacing w:before="40" w:after="40"/>
            </w:pPr>
            <w:r/>
            <w:r>
              <w:rPr>
                <w:sz w:val="17"/>
              </w:rPr>
              <w:t>BR-9</w:t>
            </w:r>
          </w:p>
        </w:tc>
        <w:tc>
          <w:tcPr>
            <w:tcW w:type="dxa" w:w="4104"/>
          </w:tcPr>
          <w:p>
            <w:pPr>
              <w:spacing w:before="40" w:after="40"/>
            </w:pPr>
            <w:r/>
            <w:r>
              <w:rPr>
                <w:sz w:val="17"/>
              </w:rPr>
              <w:t xml:space="preserve">The </w:t>
            </w:r>
            <w:r>
              <w:rPr>
                <w:rFonts w:ascii="Courier New" w:hAnsi="Courier New"/>
                <w:sz w:val="16"/>
              </w:rPr>
              <w:t>"Credit - Renters Insurance Premium Credit"</w:t>
            </w:r>
            <w:r>
              <w:rPr>
                <w:sz w:val="17"/>
              </w:rPr>
              <w:t xml:space="preserve"> section shall be explicitly excluded from the Transaction List even though it begins with </w:t>
            </w:r>
            <w:r>
              <w:rPr>
                <w:rFonts w:ascii="Courier New" w:hAnsi="Courier New"/>
                <w:sz w:val="16"/>
              </w:rPr>
              <w:t>"Credit - "</w:t>
            </w:r>
            <w:r>
              <w:rPr>
                <w:sz w:val="17"/>
              </w:rPr>
              <w:t>. These rows represent resident insurance payment activity, not concessions, and shall never appear in the engine inputs.</w:t>
            </w:r>
          </w:p>
        </w:tc>
        <w:tc>
          <w:tcPr>
            <w:tcW w:type="dxa" w:w="1152"/>
          </w:tcPr>
          <w:p>
            <w:pPr>
              <w:spacing w:before="40" w:after="40"/>
            </w:pPr>
            <w:r/>
            <w:r>
              <w:rPr>
                <w:sz w:val="17"/>
              </w:rPr>
              <w:t>Warning</w:t>
            </w:r>
          </w:p>
        </w:tc>
        <w:tc>
          <w:tcPr>
            <w:tcW w:type="dxa" w:w="2808"/>
          </w:tcPr>
          <w:p>
            <w:pPr>
              <w:spacing w:before="40" w:after="40"/>
            </w:pPr>
            <w:r/>
            <w:r>
              <w:rPr>
                <w:sz w:val="17"/>
              </w:rPr>
              <w:t>Transaction List containing insurance credit rows</w:t>
            </w:r>
          </w:p>
        </w:tc>
      </w:tr>
      <w:tr>
        <w:tc>
          <w:tcPr>
            <w:tcW w:type="dxa" w:w="864"/>
            <w:shd w:val="clear" w:color="auto" w:fill="D6E4F0"/>
          </w:tcPr>
          <w:p>
            <w:pPr>
              <w:spacing w:before="40" w:after="40"/>
            </w:pPr>
            <w:r/>
            <w:r>
              <w:rPr>
                <w:sz w:val="17"/>
              </w:rPr>
              <w:t>BR-10</w:t>
            </w:r>
          </w:p>
        </w:tc>
        <w:tc>
          <w:tcPr>
            <w:tcW w:type="dxa" w:w="4104"/>
            <w:shd w:val="clear" w:color="auto" w:fill="D6E4F0"/>
          </w:tcPr>
          <w:p>
            <w:pPr>
              <w:spacing w:before="40" w:after="40"/>
            </w:pPr>
            <w:r/>
            <w:r>
              <w:rPr>
                <w:sz w:val="17"/>
              </w:rPr>
              <w:t xml:space="preserve">In all loaders, only rows where the </w:t>
            </w:r>
            <w:r>
              <w:rPr>
                <w:rFonts w:ascii="Courier New" w:hAnsi="Courier New"/>
                <w:sz w:val="16"/>
              </w:rPr>
              <w:t>Unit</w:t>
            </w:r>
            <w:r>
              <w:rPr>
                <w:sz w:val="17"/>
              </w:rPr>
              <w:t xml:space="preserve"> column is a purely numeric string (matches </w:t>
            </w:r>
            <w:r>
              <w:rPr>
                <w:rFonts w:ascii="Courier New" w:hAnsi="Courier New"/>
                <w:sz w:val="16"/>
              </w:rPr>
              <w:t>r"^\d+$"</w:t>
            </w:r>
            <w:r>
              <w:rPr>
                <w:sz w:val="17"/>
              </w:rPr>
              <w:t>) shall be retained as data rows. All other rows (section headers, totals, blank rows) shall be discarded.</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Mixed header/data row format in ResMan export</w:t>
            </w:r>
          </w:p>
        </w:tc>
      </w:tr>
      <w:tr>
        <w:tc>
          <w:tcPr>
            <w:tcW w:type="dxa" w:w="864"/>
          </w:tcPr>
          <w:p>
            <w:pPr>
              <w:spacing w:before="40" w:after="40"/>
            </w:pPr>
            <w:r/>
            <w:r>
              <w:rPr>
                <w:sz w:val="17"/>
              </w:rPr>
              <w:t>BR-11</w:t>
            </w:r>
          </w:p>
        </w:tc>
        <w:tc>
          <w:tcPr>
            <w:tcW w:type="dxa" w:w="4104"/>
          </w:tcPr>
          <w:p>
            <w:pPr>
              <w:spacing w:before="40" w:after="40"/>
            </w:pPr>
            <w:r/>
            <w:r>
              <w:rPr>
                <w:sz w:val="17"/>
              </w:rPr>
              <w:t xml:space="preserve">In the Transaction Projection loader, if the string </w:t>
            </w:r>
            <w:r>
              <w:rPr>
                <w:rFonts w:ascii="Courier New" w:hAnsi="Courier New"/>
                <w:sz w:val="16"/>
              </w:rPr>
              <w:t>"Recurring Transactions by Unit"</w:t>
            </w:r>
            <w:r>
              <w:rPr>
                <w:sz w:val="17"/>
              </w:rPr>
              <w:t xml:space="preserve"> is not found as a section marker in the file, the system shall print </w:t>
            </w:r>
            <w:r>
              <w:rPr>
                <w:rFonts w:ascii="Courier New" w:hAnsi="Courier New"/>
                <w:sz w:val="16"/>
              </w:rPr>
              <w:t>[WARN]</w:t>
            </w:r>
            <w:r>
              <w:rPr>
                <w:sz w:val="17"/>
              </w:rPr>
              <w:t xml:space="preserve"> and skip that file entirely. If the section is found but no column header matches </w:t>
            </w:r>
            <w:r>
              <w:rPr>
                <w:rFonts w:ascii="Courier New" w:hAnsi="Courier New"/>
                <w:sz w:val="16"/>
              </w:rPr>
              <w:t>AUDIT_MONTH</w:t>
            </w:r>
            <w:r>
              <w:rPr>
                <w:sz w:val="17"/>
              </w:rPr>
              <w:t xml:space="preserve"> (case-insensitive), the system shall fall back to column index 3 as the amount column.</w:t>
            </w:r>
          </w:p>
        </w:tc>
        <w:tc>
          <w:tcPr>
            <w:tcW w:type="dxa" w:w="1152"/>
          </w:tcPr>
          <w:p>
            <w:pPr>
              <w:spacing w:before="40" w:after="40"/>
            </w:pPr>
            <w:r/>
            <w:r>
              <w:rPr>
                <w:sz w:val="17"/>
              </w:rPr>
              <w:t>Warning</w:t>
            </w:r>
          </w:p>
        </w:tc>
        <w:tc>
          <w:tcPr>
            <w:tcW w:type="dxa" w:w="2808"/>
          </w:tcPr>
          <w:p>
            <w:pPr>
              <w:spacing w:before="40" w:after="40"/>
            </w:pPr>
            <w:r/>
            <w:r>
              <w:rPr>
                <w:sz w:val="17"/>
              </w:rPr>
              <w:t xml:space="preserve">Transaction Projection CSV; correct </w:t>
            </w:r>
            <w:r>
              <w:rPr>
                <w:rFonts w:ascii="Courier New" w:hAnsi="Courier New"/>
                <w:sz w:val="16"/>
              </w:rPr>
              <w:t>AUDIT_MONTH</w:t>
            </w:r>
            <w:r>
              <w:rPr>
                <w:sz w:val="17"/>
              </w:rPr>
              <w:t xml:space="preserve"> value set</w:t>
            </w:r>
          </w:p>
        </w:tc>
      </w:tr>
      <w:tr>
        <w:tc>
          <w:tcPr>
            <w:tcW w:type="dxa" w:w="864"/>
            <w:shd w:val="clear" w:color="auto" w:fill="D6E4F0"/>
          </w:tcPr>
          <w:p>
            <w:pPr>
              <w:spacing w:before="40" w:after="40"/>
            </w:pPr>
            <w:r/>
            <w:r>
              <w:rPr>
                <w:sz w:val="17"/>
              </w:rPr>
              <w:t>BR-12</w:t>
            </w:r>
          </w:p>
        </w:tc>
        <w:tc>
          <w:tcPr>
            <w:tcW w:type="dxa" w:w="4104"/>
            <w:shd w:val="clear" w:color="auto" w:fill="D6E4F0"/>
          </w:tcPr>
          <w:p>
            <w:pPr>
              <w:spacing w:before="40" w:after="40"/>
            </w:pPr>
            <w:r/>
            <w:r>
              <w:rPr>
                <w:sz w:val="17"/>
              </w:rPr>
              <w:t xml:space="preserve">In the Market Rent Schedule loader, if a file does not have at least 8 columns after skipping header rows, the system shall print </w:t>
            </w:r>
            <w:r>
              <w:rPr>
                <w:rFonts w:ascii="Courier New" w:hAnsi="Courier New"/>
                <w:sz w:val="16"/>
              </w:rPr>
              <w:t>[WARN]</w:t>
            </w:r>
            <w:r>
              <w:rPr>
                <w:sz w:val="17"/>
              </w:rPr>
              <w:t xml:space="preserve"> and skip that file. The </w:t>
            </w:r>
            <w:r>
              <w:rPr>
                <w:rFonts w:ascii="Courier New" w:hAnsi="Courier New"/>
                <w:sz w:val="16"/>
              </w:rPr>
              <w:t>"Total Rent"</w:t>
            </w:r>
            <w:r>
              <w:rPr>
                <w:sz w:val="17"/>
              </w:rPr>
              <w:t xml:space="preserve"> value (index 7) must exist as a column.</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Market Rent Schedule CSV with ≥ 8 columns</w:t>
            </w:r>
          </w:p>
        </w:tc>
      </w:tr>
      <w:tr>
        <w:tc>
          <w:tcPr>
            <w:tcW w:type="dxa" w:w="864"/>
          </w:tcPr>
          <w:p>
            <w:pPr>
              <w:spacing w:before="40" w:after="40"/>
            </w:pPr>
            <w:r/>
            <w:r>
              <w:rPr>
                <w:sz w:val="17"/>
              </w:rPr>
              <w:t>BR-13</w:t>
            </w:r>
          </w:p>
        </w:tc>
        <w:tc>
          <w:tcPr>
            <w:tcW w:type="dxa" w:w="4104"/>
          </w:tcPr>
          <w:p>
            <w:pPr>
              <w:spacing w:before="40" w:after="40"/>
            </w:pPr>
            <w:r/>
            <w:r>
              <w:rPr>
                <w:sz w:val="17"/>
              </w:rPr>
              <w:t xml:space="preserve">The Resident Activity loader shall discard the </w:t>
            </w:r>
            <w:r>
              <w:rPr>
                <w:rFonts w:ascii="Courier New" w:hAnsi="Courier New"/>
                <w:sz w:val="16"/>
              </w:rPr>
              <w:t>"Adjusted Lease End Date"</w:t>
            </w:r>
            <w:r>
              <w:rPr>
                <w:sz w:val="17"/>
              </w:rPr>
              <w:t xml:space="preserve"> overflow header row before processing data rows. This row is emitted by ResMan as a secondary header and must not be treated as a resident record.</w:t>
            </w:r>
          </w:p>
        </w:tc>
        <w:tc>
          <w:tcPr>
            <w:tcW w:type="dxa" w:w="1152"/>
          </w:tcPr>
          <w:p>
            <w:pPr>
              <w:spacing w:before="40" w:after="40"/>
            </w:pPr>
            <w:r/>
            <w:r>
              <w:rPr>
                <w:sz w:val="17"/>
              </w:rPr>
              <w:t>Warning</w:t>
            </w:r>
          </w:p>
        </w:tc>
        <w:tc>
          <w:tcPr>
            <w:tcW w:type="dxa" w:w="2808"/>
          </w:tcPr>
          <w:p>
            <w:pPr>
              <w:spacing w:before="40" w:after="40"/>
            </w:pPr>
            <w:r/>
            <w:r>
              <w:rPr>
                <w:sz w:val="17"/>
              </w:rPr>
              <w:t>Resident Activity CSV with overflow header row</w:t>
            </w:r>
          </w:p>
        </w:tc>
      </w:tr>
      <w:tr>
        <w:tc>
          <w:tcPr>
            <w:tcW w:type="dxa" w:w="864"/>
            <w:shd w:val="clear" w:color="auto" w:fill="D6E4F0"/>
          </w:tcPr>
          <w:p>
            <w:pPr>
              <w:spacing w:before="40" w:after="40"/>
            </w:pPr>
            <w:r/>
            <w:r>
              <w:rPr>
                <w:sz w:val="17"/>
              </w:rPr>
              <w:t>BR-14</w:t>
            </w:r>
          </w:p>
        </w:tc>
        <w:tc>
          <w:tcPr>
            <w:tcW w:type="dxa" w:w="4104"/>
            <w:shd w:val="clear" w:color="auto" w:fill="D6E4F0"/>
          </w:tcPr>
          <w:p>
            <w:pPr>
              <w:spacing w:before="40" w:after="40"/>
            </w:pPr>
            <w:r/>
            <w:r>
              <w:rPr>
                <w:sz w:val="17"/>
              </w:rPr>
              <w:t xml:space="preserve">In the Rent Roll loader, any row where </w:t>
            </w:r>
            <w:r>
              <w:rPr>
                <w:rFonts w:ascii="Courier New" w:hAnsi="Courier New"/>
                <w:sz w:val="16"/>
              </w:rPr>
              <w:t>col[18]</w:t>
            </w:r>
            <w:r>
              <w:rPr>
                <w:sz w:val="17"/>
              </w:rPr>
              <w:t xml:space="preserve"> (Description) equals </w:t>
            </w:r>
            <w:r>
              <w:rPr>
                <w:rFonts w:ascii="Courier New" w:hAnsi="Courier New"/>
                <w:sz w:val="16"/>
              </w:rPr>
              <w:t>"Total"</w:t>
            </w:r>
            <w:r>
              <w:rPr>
                <w:sz w:val="17"/>
              </w:rPr>
              <w:t xml:space="preserve"> shall be skipped. This row is a ResMan-generated subtotal row and does not represent a chargeable line item.</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Rent Roll CSV with ResMan Total rows</w:t>
            </w:r>
          </w:p>
        </w:tc>
      </w:tr>
      <w:tr>
        <w:tc>
          <w:tcPr>
            <w:tcW w:type="dxa" w:w="864"/>
          </w:tcPr>
          <w:p>
            <w:pPr>
              <w:spacing w:before="40" w:after="40"/>
            </w:pPr>
            <w:r/>
            <w:r>
              <w:rPr>
                <w:sz w:val="17"/>
              </w:rPr>
              <w:t>BR-15</w:t>
            </w:r>
          </w:p>
        </w:tc>
        <w:tc>
          <w:tcPr>
            <w:tcW w:type="dxa" w:w="4104"/>
          </w:tcPr>
          <w:p>
            <w:pPr>
              <w:spacing w:before="40" w:after="40"/>
            </w:pPr>
            <w:r/>
            <w:r>
              <w:rPr>
                <w:sz w:val="17"/>
              </w:rPr>
              <w:t xml:space="preserve">In the Edited Transactions by User loader, a reversal event shall only be recorded when </w:t>
            </w:r>
            <w:r>
              <w:rPr>
                <w:rFonts w:ascii="Courier New" w:hAnsi="Courier New"/>
                <w:sz w:val="16"/>
              </w:rPr>
              <w:t>Original_Amount != 0.0</w:t>
            </w:r>
            <w:r>
              <w:rPr>
                <w:sz w:val="17"/>
              </w:rPr>
              <w:t>. Reversals of $0 transactions carry no revenue impact and shall be discarded.</w:t>
            </w:r>
          </w:p>
        </w:tc>
        <w:tc>
          <w:tcPr>
            <w:tcW w:type="dxa" w:w="1152"/>
          </w:tcPr>
          <w:p>
            <w:pPr>
              <w:spacing w:before="40" w:after="40"/>
            </w:pPr>
            <w:r/>
            <w:r>
              <w:rPr>
                <w:sz w:val="17"/>
              </w:rPr>
              <w:t>Warning</w:t>
            </w:r>
          </w:p>
        </w:tc>
        <w:tc>
          <w:tcPr>
            <w:tcW w:type="dxa" w:w="2808"/>
          </w:tcPr>
          <w:p>
            <w:pPr>
              <w:spacing w:before="40" w:after="40"/>
            </w:pPr>
            <w:r/>
            <w:r>
              <w:rPr>
                <w:sz w:val="17"/>
              </w:rPr>
              <w:t xml:space="preserve">Edited Transactions CSV; </w:t>
            </w:r>
            <w:r>
              <w:rPr>
                <w:rFonts w:ascii="Courier New" w:hAnsi="Courier New"/>
                <w:sz w:val="16"/>
              </w:rPr>
              <w:t>Reversal Date</w:t>
            </w:r>
            <w:r>
              <w:rPr>
                <w:sz w:val="17"/>
              </w:rPr>
              <w:t xml:space="preserve"> populated; </w:t>
            </w:r>
            <w:r>
              <w:rPr>
                <w:rFonts w:ascii="Courier New" w:hAnsi="Courier New"/>
                <w:sz w:val="16"/>
              </w:rPr>
              <w:t>Amount</w:t>
            </w:r>
            <w:r>
              <w:rPr>
                <w:sz w:val="17"/>
              </w:rPr>
              <w:t xml:space="preserve"> field parseable</w:t>
            </w:r>
          </w:p>
        </w:tc>
      </w:tr>
    </w:tbl>
    <w:p/>
    <w:p>
      <w:pPr>
        <w:pStyle w:val="Heading2"/>
      </w:pPr>
      <w:r>
        <w:rPr>
          <w:color w:val="2E74B5"/>
        </w:rPr>
        <w:t>6.2 John's Concession Audit Engine</w:t>
      </w:r>
    </w:p>
    <w:tbl>
      <w:tblPr>
        <w:tblStyle w:val="TableGrid"/>
        <w:tblW w:type="auto" w:w="0"/>
        <w:tblLook w:firstColumn="1" w:firstRow="1" w:lastColumn="0" w:lastRow="0" w:noHBand="0" w:noVBand="1" w:val="04A0"/>
      </w:tblPr>
      <w:tblGrid>
        <w:gridCol w:w="2250"/>
        <w:gridCol w:w="2250"/>
        <w:gridCol w:w="2250"/>
        <w:gridCol w:w="2250"/>
      </w:tblGrid>
      <w:tr>
        <w:tc>
          <w:tcPr>
            <w:tcW w:type="dxa" w:w="864"/>
            <w:shd w:val="clear" w:color="auto" w:fill="1F4E79"/>
          </w:tcPr>
          <w:p>
            <w:pPr>
              <w:spacing w:before="60" w:after="60"/>
              <w:jc w:val="center"/>
            </w:pPr>
            <w:r/>
            <w:r>
              <w:rPr>
                <w:b/>
                <w:color w:val="FFFFFF"/>
                <w:sz w:val="18"/>
              </w:rPr>
              <w:t>ID</w:t>
            </w:r>
          </w:p>
        </w:tc>
        <w:tc>
          <w:tcPr>
            <w:tcW w:type="dxa" w:w="4104"/>
            <w:shd w:val="clear" w:color="auto" w:fill="1F4E79"/>
          </w:tcPr>
          <w:p>
            <w:pPr>
              <w:spacing w:before="60" w:after="60"/>
              <w:jc w:val="center"/>
            </w:pPr>
            <w:r/>
            <w:r>
              <w:rPr>
                <w:b/>
                <w:color w:val="FFFFFF"/>
                <w:sz w:val="18"/>
              </w:rPr>
              <w:t>Rule</w:t>
            </w:r>
          </w:p>
        </w:tc>
        <w:tc>
          <w:tcPr>
            <w:tcW w:type="dxa" w:w="1152"/>
            <w:shd w:val="clear" w:color="auto" w:fill="1F4E79"/>
          </w:tcPr>
          <w:p>
            <w:pPr>
              <w:spacing w:before="60" w:after="60"/>
              <w:jc w:val="center"/>
            </w:pPr>
            <w:r/>
            <w:r>
              <w:rPr>
                <w:b/>
                <w:color w:val="FFFFFF"/>
                <w:sz w:val="18"/>
              </w:rPr>
              <w:t>Severity</w:t>
            </w:r>
          </w:p>
        </w:tc>
        <w:tc>
          <w:tcPr>
            <w:tcW w:type="dxa" w:w="2808"/>
            <w:shd w:val="clear" w:color="auto" w:fill="1F4E79"/>
          </w:tcPr>
          <w:p>
            <w:pPr>
              <w:spacing w:before="60" w:after="60"/>
              <w:jc w:val="center"/>
            </w:pPr>
            <w:r/>
            <w:r>
              <w:rPr>
                <w:b/>
                <w:color w:val="FFFFFF"/>
                <w:sz w:val="18"/>
              </w:rPr>
              <w:t>Requires</w:t>
            </w:r>
          </w:p>
        </w:tc>
      </w:tr>
      <w:tr>
        <w:tc>
          <w:tcPr>
            <w:tcW w:type="dxa" w:w="864"/>
          </w:tcPr>
          <w:p>
            <w:pPr>
              <w:spacing w:before="40" w:after="40"/>
            </w:pPr>
            <w:r/>
            <w:r>
              <w:rPr>
                <w:sz w:val="17"/>
              </w:rPr>
              <w:t>BR-16</w:t>
            </w:r>
          </w:p>
        </w:tc>
        <w:tc>
          <w:tcPr>
            <w:tcW w:type="dxa" w:w="4104"/>
          </w:tcPr>
          <w:p>
            <w:pPr>
              <w:spacing w:before="40" w:after="40"/>
            </w:pPr>
            <w:r/>
            <w:r>
              <w:rPr>
                <w:b/>
                <w:sz w:val="17"/>
              </w:rPr>
              <w:t>Engine Entry Guard:</w:t>
            </w:r>
            <w:r>
              <w:rPr>
                <w:sz w:val="17"/>
              </w:rPr>
              <w:t xml:space="preserve"> John's Engine shall be skipped entirely — with </w:t>
            </w:r>
            <w:r>
              <w:rPr>
                <w:rFonts w:ascii="Courier New" w:hAnsi="Courier New"/>
                <w:sz w:val="16"/>
              </w:rPr>
              <w:t>[SKIP]</w:t>
            </w:r>
            <w:r>
              <w:rPr>
                <w:sz w:val="17"/>
              </w:rPr>
              <w:t xml:space="preserve"> printed — only when </w:t>
            </w:r>
            <w:r>
              <w:rPr>
                <w:b/>
                <w:sz w:val="17"/>
              </w:rPr>
              <w:t>both</w:t>
            </w:r>
            <w:r>
              <w:rPr>
                <w:sz w:val="17"/>
              </w:rPr>
              <w:t xml:space="preserve"> the Transaction List DataFrame and the Rent Roll DataFrame are empty. This dual-empty condition is the only valid reason to skip the engine.</w:t>
            </w:r>
          </w:p>
        </w:tc>
        <w:tc>
          <w:tcPr>
            <w:tcW w:type="dxa" w:w="1152"/>
          </w:tcPr>
          <w:p>
            <w:pPr>
              <w:spacing w:before="40" w:after="40"/>
            </w:pPr>
            <w:r/>
            <w:r>
              <w:rPr>
                <w:sz w:val="17"/>
              </w:rPr>
              <w:t>Warning</w:t>
            </w:r>
          </w:p>
        </w:tc>
        <w:tc>
          <w:tcPr>
            <w:tcW w:type="dxa" w:w="2808"/>
          </w:tcPr>
          <w:p>
            <w:pPr>
              <w:spacing w:before="40" w:after="40"/>
            </w:pPr>
            <w:r/>
            <w:r>
              <w:rPr>
                <w:rFonts w:ascii="Courier New" w:hAnsi="Courier New"/>
                <w:sz w:val="16"/>
              </w:rPr>
              <w:t>df_trans</w:t>
            </w:r>
            <w:r>
              <w:rPr>
                <w:sz w:val="17"/>
              </w:rPr>
              <w:t xml:space="preserve"> and </w:t>
            </w:r>
            <w:r>
              <w:rPr>
                <w:rFonts w:ascii="Courier New" w:hAnsi="Courier New"/>
                <w:sz w:val="16"/>
              </w:rPr>
              <w:t>df_rent_roll</w:t>
            </w:r>
            <w:r>
              <w:rPr>
                <w:sz w:val="17"/>
              </w:rPr>
              <w:t xml:space="preserve"> both empty</w:t>
            </w:r>
          </w:p>
        </w:tc>
      </w:tr>
      <w:tr>
        <w:tc>
          <w:tcPr>
            <w:tcW w:type="dxa" w:w="864"/>
            <w:shd w:val="clear" w:color="auto" w:fill="D6E4F0"/>
          </w:tcPr>
          <w:p>
            <w:pPr>
              <w:spacing w:before="40" w:after="40"/>
            </w:pPr>
            <w:r/>
            <w:r>
              <w:rPr>
                <w:sz w:val="17"/>
              </w:rPr>
              <w:t>BR-17</w:t>
            </w:r>
          </w:p>
        </w:tc>
        <w:tc>
          <w:tcPr>
            <w:tcW w:type="dxa" w:w="4104"/>
            <w:shd w:val="clear" w:color="auto" w:fill="D6E4F0"/>
          </w:tcPr>
          <w:p>
            <w:pPr>
              <w:spacing w:before="40" w:after="40"/>
            </w:pPr>
            <w:r/>
            <w:r>
              <w:rPr>
                <w:b/>
                <w:sz w:val="17"/>
              </w:rPr>
              <w:t>TX-Empty Guard:</w:t>
            </w:r>
            <w:r>
              <w:rPr>
                <w:sz w:val="17"/>
              </w:rPr>
              <w:t xml:space="preserve"> If the Transaction List is empty but the Rent Roll is not, rules R1–R3 (which require Transaction List rows) shall be skipped with a </w:t>
            </w:r>
            <w:r>
              <w:rPr>
                <w:rFonts w:ascii="Courier New" w:hAnsi="Courier New"/>
                <w:sz w:val="16"/>
              </w:rPr>
              <w:t>[WARN]</w:t>
            </w:r>
            <w:r>
              <w:rPr>
                <w:sz w:val="17"/>
              </w:rPr>
              <w:t xml:space="preserve"> message. Rule R7 (Not Properly Posted) shall still execute because it operates entirely from the Rent Roll side.</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rFonts w:ascii="Courier New" w:hAnsi="Courier New"/>
                <w:sz w:val="16"/>
              </w:rPr>
              <w:t>df_trans</w:t>
            </w:r>
            <w:r>
              <w:rPr>
                <w:sz w:val="17"/>
              </w:rPr>
              <w:t xml:space="preserve"> empty; </w:t>
            </w:r>
            <w:r>
              <w:rPr>
                <w:rFonts w:ascii="Courier New" w:hAnsi="Courier New"/>
                <w:sz w:val="16"/>
              </w:rPr>
              <w:t>df_rent_roll</w:t>
            </w:r>
            <w:r>
              <w:rPr>
                <w:sz w:val="17"/>
              </w:rPr>
              <w:t xml:space="preserve"> non-empty</w:t>
            </w:r>
          </w:p>
        </w:tc>
      </w:tr>
      <w:tr>
        <w:tc>
          <w:tcPr>
            <w:tcW w:type="dxa" w:w="864"/>
          </w:tcPr>
          <w:p>
            <w:pPr>
              <w:spacing w:before="40" w:after="40"/>
            </w:pPr>
            <w:r/>
            <w:r>
              <w:rPr>
                <w:sz w:val="17"/>
              </w:rPr>
              <w:t>BR-18</w:t>
            </w:r>
          </w:p>
        </w:tc>
        <w:tc>
          <w:tcPr>
            <w:tcW w:type="dxa" w:w="4104"/>
          </w:tcPr>
          <w:p>
            <w:pPr>
              <w:spacing w:before="40" w:after="40"/>
            </w:pPr>
            <w:r/>
            <w:r>
              <w:rPr>
                <w:b/>
                <w:sz w:val="17"/>
              </w:rPr>
              <w:t>Net Credit Computation:</w:t>
            </w:r>
            <w:r>
              <w:rPr>
                <w:sz w:val="17"/>
              </w:rPr>
              <w:t xml:space="preserve"> The posted credit for a unit is computed as the </w:t>
            </w:r>
            <w:r>
              <w:rPr>
                <w:b/>
                <w:sz w:val="17"/>
              </w:rPr>
              <w:t>net sum</w:t>
            </w:r>
            <w:r>
              <w:rPr>
                <w:sz w:val="17"/>
              </w:rPr>
              <w:t xml:space="preserve"> of all Transaction List rows for that unit — positive original credits plus negative reversal rows. A unit whose concession was posted and then fully reversed shall have a net posted amount of </w:t>
            </w:r>
            <w:r>
              <w:rPr>
                <w:rFonts w:ascii="Courier New" w:hAnsi="Courier New"/>
                <w:sz w:val="16"/>
              </w:rPr>
              <w:t>$0</w:t>
            </w:r>
            <w:r>
              <w:rPr>
                <w:sz w:val="17"/>
              </w:rPr>
              <w:t>, not the gross positive total. This net figure is used in R6 and R7 comparisons.</w:t>
            </w:r>
          </w:p>
        </w:tc>
        <w:tc>
          <w:tcPr>
            <w:tcW w:type="dxa" w:w="1152"/>
          </w:tcPr>
          <w:p>
            <w:pPr>
              <w:spacing w:before="40" w:after="40"/>
            </w:pPr>
            <w:r/>
            <w:r>
              <w:rPr>
                <w:sz w:val="17"/>
              </w:rPr>
              <w:t>Error</w:t>
            </w:r>
          </w:p>
        </w:tc>
        <w:tc>
          <w:tcPr>
            <w:tcW w:type="dxa" w:w="2808"/>
          </w:tcPr>
          <w:p>
            <w:pPr>
              <w:spacing w:before="40" w:after="40"/>
            </w:pPr>
            <w:r/>
            <w:r>
              <w:rPr>
                <w:sz w:val="17"/>
              </w:rPr>
              <w:t>Transaction List with both original and reversal rows for same unit</w:t>
            </w:r>
          </w:p>
        </w:tc>
      </w:tr>
      <w:tr>
        <w:tc>
          <w:tcPr>
            <w:tcW w:type="dxa" w:w="864"/>
            <w:shd w:val="clear" w:color="auto" w:fill="D6E4F0"/>
          </w:tcPr>
          <w:p>
            <w:pPr>
              <w:spacing w:before="40" w:after="40"/>
            </w:pPr>
            <w:r/>
            <w:r>
              <w:rPr>
                <w:sz w:val="17"/>
              </w:rPr>
              <w:t>BR-19</w:t>
            </w:r>
          </w:p>
        </w:tc>
        <w:tc>
          <w:tcPr>
            <w:tcW w:type="dxa" w:w="4104"/>
            <w:shd w:val="clear" w:color="auto" w:fill="D6E4F0"/>
          </w:tcPr>
          <w:p>
            <w:pPr>
              <w:spacing w:before="40" w:after="40"/>
            </w:pPr>
            <w:r/>
            <w:r>
              <w:rPr>
                <w:b/>
                <w:sz w:val="17"/>
              </w:rPr>
              <w:t>R1 — Post-Term Credit:</w:t>
            </w:r>
            <w:r>
              <w:rPr>
                <w:sz w:val="17"/>
              </w:rPr>
              <w:t xml:space="preserve"> A credit row shall be flagged if its </w:t>
            </w:r>
            <w:r>
              <w:rPr>
                <w:rFonts w:ascii="Courier New" w:hAnsi="Courier New"/>
                <w:sz w:val="16"/>
              </w:rPr>
              <w:t>Date</w:t>
            </w:r>
            <w:r>
              <w:rPr>
                <w:sz w:val="17"/>
              </w:rPr>
              <w:t xml:space="preserve"> is strictly after the </w:t>
            </w:r>
            <w:r>
              <w:rPr>
                <w:rFonts w:ascii="Courier New" w:hAnsi="Courier New"/>
                <w:sz w:val="16"/>
              </w:rPr>
              <w:t>Lease_End</w:t>
            </w:r>
            <w:r>
              <w:rPr>
                <w:sz w:val="17"/>
              </w:rPr>
              <w:t xml:space="preserve"> date found for the same </w:t>
            </w:r>
            <w:r>
              <w:rPr>
                <w:rFonts w:ascii="Courier New" w:hAnsi="Courier New"/>
                <w:sz w:val="16"/>
              </w:rPr>
              <w:t>(Property, Unit)</w:t>
            </w:r>
            <w:r>
              <w:rPr>
                <w:sz w:val="17"/>
              </w:rPr>
              <w:t xml:space="preserve"> in the New &amp; Renewed Leases lookup (sorted by Lease Start descending to use the most recent lease). Both the credit </w:t>
            </w:r>
            <w:r>
              <w:rPr>
                <w:rFonts w:ascii="Courier New" w:hAnsi="Courier New"/>
                <w:sz w:val="16"/>
              </w:rPr>
              <w:t>Date</w:t>
            </w:r>
            <w:r>
              <w:rPr>
                <w:sz w:val="17"/>
              </w:rPr>
              <w:t xml:space="preserve"> and the </w:t>
            </w:r>
            <w:r>
              <w:rPr>
                <w:rFonts w:ascii="Courier New" w:hAnsi="Courier New"/>
                <w:sz w:val="16"/>
              </w:rPr>
              <w:t>Lease_End</w:t>
            </w:r>
            <w:r>
              <w:rPr>
                <w:sz w:val="17"/>
              </w:rPr>
              <w:t xml:space="preserve"> must be non-null for the comparison to occur. Risk: HIGH.</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sz w:val="17"/>
              </w:rPr>
              <w:t xml:space="preserve">Transaction List credit row with non-null </w:t>
            </w:r>
            <w:r>
              <w:rPr>
                <w:rFonts w:ascii="Courier New" w:hAnsi="Courier New"/>
                <w:sz w:val="16"/>
              </w:rPr>
              <w:t>Date</w:t>
            </w:r>
            <w:r>
              <w:rPr>
                <w:sz w:val="17"/>
              </w:rPr>
              <w:t xml:space="preserve">; New &amp; Renewed Leases record with non-null </w:t>
            </w:r>
            <w:r>
              <w:rPr>
                <w:rFonts w:ascii="Courier New" w:hAnsi="Courier New"/>
                <w:sz w:val="16"/>
              </w:rPr>
              <w:t>Lease_End</w:t>
            </w:r>
            <w:r>
              <w:rPr>
                <w:sz w:val="17"/>
              </w:rPr>
              <w:t xml:space="preserve"> for same </w:t>
            </w:r>
            <w:r>
              <w:rPr>
                <w:rFonts w:ascii="Courier New" w:hAnsi="Courier New"/>
                <w:sz w:val="16"/>
              </w:rPr>
              <w:t>(Property, Unit)</w:t>
            </w:r>
          </w:p>
        </w:tc>
      </w:tr>
      <w:tr>
        <w:tc>
          <w:tcPr>
            <w:tcW w:type="dxa" w:w="864"/>
          </w:tcPr>
          <w:p>
            <w:pPr>
              <w:spacing w:before="40" w:after="40"/>
            </w:pPr>
            <w:r/>
            <w:r>
              <w:rPr>
                <w:sz w:val="17"/>
              </w:rPr>
              <w:t>BR-20</w:t>
            </w:r>
          </w:p>
        </w:tc>
        <w:tc>
          <w:tcPr>
            <w:tcW w:type="dxa" w:w="4104"/>
          </w:tcPr>
          <w:p>
            <w:pPr>
              <w:spacing w:before="40" w:after="40"/>
            </w:pPr>
            <w:r/>
            <w:r>
              <w:rPr>
                <w:b/>
                <w:sz w:val="17"/>
              </w:rPr>
              <w:t>R2 — Missing Lease:</w:t>
            </w:r>
            <w:r>
              <w:rPr>
                <w:sz w:val="17"/>
              </w:rPr>
              <w:t xml:space="preserve"> A unit with a net-positive credit posted (</w:t>
            </w:r>
            <w:r>
              <w:rPr>
                <w:rFonts w:ascii="Courier New" w:hAnsi="Courier New"/>
                <w:sz w:val="16"/>
              </w:rPr>
              <w:t>net_actual &gt; 0</w:t>
            </w:r>
            <w:r>
              <w:rPr>
                <w:sz w:val="17"/>
              </w:rPr>
              <w:t xml:space="preserve">) shall be flagged if its Rent Roll </w:t>
            </w:r>
            <w:r>
              <w:rPr>
                <w:rFonts w:ascii="Courier New" w:hAnsi="Courier New"/>
                <w:sz w:val="16"/>
              </w:rPr>
              <w:t>Lease_End</w:t>
            </w:r>
            <w:r>
              <w:rPr>
                <w:sz w:val="17"/>
              </w:rPr>
              <w:t xml:space="preserve"> is a date that is strictly before today's normalized date. A </w:t>
            </w:r>
            <w:r>
              <w:rPr>
                <w:rFonts w:ascii="Courier New" w:hAnsi="Courier New"/>
                <w:sz w:val="16"/>
              </w:rPr>
              <w:t>Lease_End</w:t>
            </w:r>
            <w:r>
              <w:rPr>
                <w:sz w:val="17"/>
              </w:rPr>
              <w:t xml:space="preserve"> that is </w:t>
            </w:r>
            <w:r>
              <w:rPr>
                <w:rFonts w:ascii="Courier New" w:hAnsi="Courier New"/>
                <w:sz w:val="16"/>
              </w:rPr>
              <w:t>None</w:t>
            </w:r>
            <w:r>
              <w:rPr>
                <w:sz w:val="17"/>
              </w:rPr>
              <w:t xml:space="preserve">, </w:t>
            </w:r>
            <w:r>
              <w:rPr>
                <w:rFonts w:ascii="Courier New" w:hAnsi="Courier New"/>
                <w:sz w:val="16"/>
              </w:rPr>
              <w:t>NaN</w:t>
            </w:r>
            <w:r>
              <w:rPr>
                <w:sz w:val="17"/>
              </w:rPr>
              <w:t>, or in the future is treated as an active lease and shall not trigger this rule. Risk: HIGH.</w:t>
            </w:r>
          </w:p>
        </w:tc>
        <w:tc>
          <w:tcPr>
            <w:tcW w:type="dxa" w:w="1152"/>
          </w:tcPr>
          <w:p>
            <w:pPr>
              <w:spacing w:before="40" w:after="40"/>
            </w:pPr>
            <w:r/>
            <w:r>
              <w:rPr>
                <w:sz w:val="17"/>
              </w:rPr>
              <w:t>Error</w:t>
            </w:r>
          </w:p>
        </w:tc>
        <w:tc>
          <w:tcPr>
            <w:tcW w:type="dxa" w:w="2808"/>
          </w:tcPr>
          <w:p>
            <w:pPr>
              <w:spacing w:before="40" w:after="40"/>
            </w:pPr>
            <w:r/>
            <w:r>
              <w:rPr>
                <w:sz w:val="17"/>
              </w:rPr>
              <w:t xml:space="preserve">Transaction List net-positive credit; Rent Roll record with </w:t>
            </w:r>
            <w:r>
              <w:rPr>
                <w:rFonts w:ascii="Courier New" w:hAnsi="Courier New"/>
                <w:sz w:val="16"/>
              </w:rPr>
              <w:t>Lease_End</w:t>
            </w:r>
            <w:r>
              <w:rPr>
                <w:sz w:val="17"/>
              </w:rPr>
              <w:t xml:space="preserve"> &lt; today</w:t>
            </w:r>
          </w:p>
        </w:tc>
      </w:tr>
      <w:tr>
        <w:tc>
          <w:tcPr>
            <w:tcW w:type="dxa" w:w="864"/>
            <w:shd w:val="clear" w:color="auto" w:fill="D6E4F0"/>
          </w:tcPr>
          <w:p>
            <w:pPr>
              <w:spacing w:before="40" w:after="40"/>
            </w:pPr>
            <w:r/>
            <w:r>
              <w:rPr>
                <w:sz w:val="17"/>
              </w:rPr>
              <w:t>BR-21</w:t>
            </w:r>
          </w:p>
        </w:tc>
        <w:tc>
          <w:tcPr>
            <w:tcW w:type="dxa" w:w="4104"/>
            <w:shd w:val="clear" w:color="auto" w:fill="D6E4F0"/>
          </w:tcPr>
          <w:p>
            <w:pPr>
              <w:spacing w:before="40" w:after="40"/>
            </w:pPr>
            <w:r/>
            <w:r>
              <w:rPr>
                <w:b/>
                <w:sz w:val="17"/>
              </w:rPr>
              <w:t>R3 — Large Credit Threshold:</w:t>
            </w:r>
            <w:r>
              <w:rPr>
                <w:sz w:val="17"/>
              </w:rPr>
              <w:t xml:space="preserve"> Every individual non-reversal Transaction List credit row where </w:t>
            </w:r>
            <w:r>
              <w:rPr>
                <w:rFonts w:ascii="Courier New" w:hAnsi="Courier New"/>
                <w:sz w:val="16"/>
              </w:rPr>
              <w:t>Amount &gt;= $700</w:t>
            </w:r>
            <w:r>
              <w:rPr>
                <w:sz w:val="17"/>
              </w:rPr>
              <w:t xml:space="preserve"> (</w:t>
            </w:r>
            <w:r>
              <w:rPr>
                <w:rFonts w:ascii="Courier New" w:hAnsi="Courier New"/>
                <w:sz w:val="16"/>
              </w:rPr>
              <w:t>CONCESSION_CRITICAL_AMT</w:t>
            </w:r>
            <w:r>
              <w:rPr>
                <w:sz w:val="17"/>
              </w:rPr>
              <w:t>) shall produce a separate flag. This check operates on individual row amounts, not net totals, so that each discrete large credit is captured. Risk: HIGH. Note: multi-month recurring full-offset scenarios that implicitly produce large amounts are separately captured at CRITICAL by the NER engine.</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sz w:val="17"/>
              </w:rPr>
              <w:t xml:space="preserve">Transaction List row with </w:t>
            </w:r>
            <w:r>
              <w:rPr>
                <w:rFonts w:ascii="Courier New" w:hAnsi="Courier New"/>
                <w:sz w:val="16"/>
              </w:rPr>
              <w:t>Amount &gt;= 700</w:t>
            </w:r>
            <w:r>
              <w:rPr>
                <w:sz w:val="17"/>
              </w:rPr>
              <w:t xml:space="preserve"> and </w:t>
            </w:r>
            <w:r>
              <w:rPr>
                <w:rFonts w:ascii="Courier New" w:hAnsi="Courier New"/>
                <w:sz w:val="16"/>
              </w:rPr>
              <w:t>Is_Reversal = False</w:t>
            </w:r>
          </w:p>
        </w:tc>
      </w:tr>
      <w:tr>
        <w:tc>
          <w:tcPr>
            <w:tcW w:type="dxa" w:w="864"/>
          </w:tcPr>
          <w:p>
            <w:pPr>
              <w:spacing w:before="40" w:after="40"/>
            </w:pPr>
            <w:r/>
            <w:r>
              <w:rPr>
                <w:sz w:val="17"/>
              </w:rPr>
              <w:t>BR-22</w:t>
            </w:r>
          </w:p>
        </w:tc>
        <w:tc>
          <w:tcPr>
            <w:tcW w:type="dxa" w:w="4104"/>
          </w:tcPr>
          <w:p>
            <w:pPr>
              <w:spacing w:before="40" w:after="40"/>
            </w:pPr>
            <w:r/>
            <w:r>
              <w:rPr>
                <w:b/>
                <w:sz w:val="17"/>
              </w:rPr>
              <w:t>R4 — Non-Standard Description: DISABLED</w:t>
            </w:r>
            <w:r>
              <w:rPr>
                <w:sz w:val="17"/>
              </w:rPr>
              <w:t xml:space="preserve"> (March 10, 2026). John confirmed that ResMan </w:t>
            </w:r>
            <w:r>
              <w:rPr>
                <w:rFonts w:ascii="Courier New" w:hAnsi="Courier New"/>
                <w:sz w:val="16"/>
              </w:rPr>
              <w:t>Description</w:t>
            </w:r>
            <w:r>
              <w:rPr>
                <w:sz w:val="17"/>
              </w:rPr>
              <w:t xml:space="preserve"> values are freeform identifiers with no enforced standard rule. The approved codes (</w:t>
            </w:r>
            <w:r>
              <w:rPr>
                <w:rFonts w:ascii="Courier New" w:hAnsi="Courier New"/>
                <w:sz w:val="16"/>
              </w:rPr>
              <w:t>CONR</w:t>
            </w:r>
            <w:r>
              <w:rPr>
                <w:sz w:val="17"/>
              </w:rPr>
              <w:t xml:space="preserve">, </w:t>
            </w:r>
            <w:r>
              <w:rPr>
                <w:rFonts w:ascii="Courier New" w:hAnsi="Courier New"/>
                <w:sz w:val="16"/>
              </w:rPr>
              <w:t>CRTCO</w:t>
            </w:r>
            <w:r>
              <w:rPr>
                <w:sz w:val="17"/>
              </w:rPr>
              <w:t xml:space="preserve">, </w:t>
            </w:r>
            <w:r>
              <w:rPr>
                <w:rFonts w:ascii="Courier New" w:hAnsi="Courier New"/>
                <w:sz w:val="16"/>
              </w:rPr>
              <w:t>EMPL</w:t>
            </w:r>
            <w:r>
              <w:rPr>
                <w:sz w:val="17"/>
              </w:rPr>
              <w:t xml:space="preserve">, </w:t>
            </w:r>
            <w:r>
              <w:rPr>
                <w:rFonts w:ascii="Courier New" w:hAnsi="Courier New"/>
                <w:sz w:val="16"/>
              </w:rPr>
              <w:t>MCCR</w:t>
            </w:r>
            <w:r>
              <w:rPr>
                <w:sz w:val="17"/>
              </w:rPr>
              <w:t xml:space="preserve">, </w:t>
            </w:r>
            <w:r>
              <w:rPr>
                <w:rFonts w:ascii="Courier New" w:hAnsi="Courier New"/>
                <w:sz w:val="16"/>
              </w:rPr>
              <w:t>RRFee</w:t>
            </w:r>
            <w:r>
              <w:rPr>
                <w:sz w:val="17"/>
              </w:rPr>
              <w:t>) exist in a separate column not present in CSV exports. This rule generated false positives and was permanently disabled. No flags are produced.</w:t>
            </w:r>
          </w:p>
        </w:tc>
        <w:tc>
          <w:tcPr>
            <w:tcW w:type="dxa" w:w="1152"/>
          </w:tcPr>
          <w:p>
            <w:pPr>
              <w:spacing w:before="40" w:after="40"/>
            </w:pPr>
            <w:r/>
            <w:r>
              <w:rPr>
                <w:sz w:val="17"/>
              </w:rPr>
              <w:t>N/A</w:t>
            </w:r>
          </w:p>
        </w:tc>
        <w:tc>
          <w:tcPr>
            <w:tcW w:type="dxa" w:w="2808"/>
          </w:tcPr>
          <w:p>
            <w:pPr>
              <w:spacing w:before="40" w:after="40"/>
            </w:pPr>
            <w:r/>
            <w:r>
              <w:rPr>
                <w:sz w:val="17"/>
              </w:rPr>
              <w:t>N/A — rule is disabled</w:t>
            </w:r>
          </w:p>
        </w:tc>
      </w:tr>
      <w:tr>
        <w:tc>
          <w:tcPr>
            <w:tcW w:type="dxa" w:w="864"/>
            <w:shd w:val="clear" w:color="auto" w:fill="D6E4F0"/>
          </w:tcPr>
          <w:p>
            <w:pPr>
              <w:spacing w:before="40" w:after="40"/>
            </w:pPr>
            <w:r/>
            <w:r>
              <w:rPr>
                <w:sz w:val="17"/>
              </w:rPr>
              <w:t>BR-23</w:t>
            </w:r>
          </w:p>
        </w:tc>
        <w:tc>
          <w:tcPr>
            <w:tcW w:type="dxa" w:w="4104"/>
            <w:shd w:val="clear" w:color="auto" w:fill="D6E4F0"/>
          </w:tcPr>
          <w:p>
            <w:pPr>
              <w:spacing w:before="40" w:after="40"/>
            </w:pPr>
            <w:r/>
            <w:r>
              <w:rPr>
                <w:b/>
                <w:sz w:val="17"/>
              </w:rPr>
              <w:t>R5 — Missing Addendum: DISABLED</w:t>
            </w:r>
            <w:r>
              <w:rPr>
                <w:sz w:val="17"/>
              </w:rPr>
              <w:t xml:space="preserve"> (April 30, 2026). Lease addenda are stored as PDFs in ResMan's Documents section, which is not accessible from CSV exports. The presence of a Rent Roll concession row is not a reliable proxy for addendum existence — all flagged addenda were confirmed to exist on manual review. This rule generated only false positives and was permanently disabled.</w:t>
            </w:r>
          </w:p>
        </w:tc>
        <w:tc>
          <w:tcPr>
            <w:tcW w:type="dxa" w:w="1152"/>
            <w:shd w:val="clear" w:color="auto" w:fill="D6E4F0"/>
          </w:tcPr>
          <w:p>
            <w:pPr>
              <w:spacing w:before="40" w:after="40"/>
            </w:pPr>
            <w:r/>
            <w:r>
              <w:rPr>
                <w:sz w:val="17"/>
              </w:rPr>
              <w:t>N/A</w:t>
            </w:r>
          </w:p>
        </w:tc>
        <w:tc>
          <w:tcPr>
            <w:tcW w:type="dxa" w:w="2808"/>
            <w:shd w:val="clear" w:color="auto" w:fill="D6E4F0"/>
          </w:tcPr>
          <w:p>
            <w:pPr>
              <w:spacing w:before="40" w:after="40"/>
            </w:pPr>
            <w:r/>
            <w:r>
              <w:rPr>
                <w:sz w:val="17"/>
              </w:rPr>
              <w:t>N/A — rule is disabled</w:t>
            </w:r>
          </w:p>
        </w:tc>
      </w:tr>
      <w:tr>
        <w:tc>
          <w:tcPr>
            <w:tcW w:type="dxa" w:w="864"/>
          </w:tcPr>
          <w:p>
            <w:pPr>
              <w:spacing w:before="40" w:after="40"/>
            </w:pPr>
            <w:r/>
            <w:r>
              <w:rPr>
                <w:sz w:val="17"/>
              </w:rPr>
              <w:t>BR-24</w:t>
            </w:r>
          </w:p>
        </w:tc>
        <w:tc>
          <w:tcPr>
            <w:tcW w:type="dxa" w:w="4104"/>
          </w:tcPr>
          <w:p>
            <w:pPr>
              <w:spacing w:before="40" w:after="40"/>
            </w:pPr>
            <w:r/>
            <w:r>
              <w:rPr>
                <w:b/>
                <w:sz w:val="17"/>
              </w:rPr>
              <w:t>R6 — Concession Amount Mismatch:</w:t>
            </w:r>
            <w:r>
              <w:rPr>
                <w:sz w:val="17"/>
              </w:rPr>
              <w:t xml:space="preserve"> A mismatch flag is produced when a unit appears in </w:t>
            </w:r>
            <w:r>
              <w:rPr>
                <w:b/>
                <w:sz w:val="17"/>
              </w:rPr>
              <w:t>both</w:t>
            </w:r>
            <w:r>
              <w:rPr>
                <w:sz w:val="17"/>
              </w:rPr>
              <w:t xml:space="preserve"> the Rent Roll concession lookup and the Transaction List net-credit lookup, and the absolute dollar delta between the two amounts exceeds </w:t>
            </w:r>
            <w:r>
              <w:rPr>
                <w:b/>
                <w:sz w:val="17"/>
              </w:rPr>
              <w:t>both</w:t>
            </w:r>
            <w:r>
              <w:rPr>
                <w:sz w:val="17"/>
              </w:rPr>
              <w:t xml:space="preserve"> </w:t>
            </w:r>
            <w:r>
              <w:rPr>
                <w:rFonts w:ascii="Courier New" w:hAnsi="Courier New"/>
                <w:sz w:val="16"/>
              </w:rPr>
              <w:t>$10</w:t>
            </w:r>
            <w:r>
              <w:rPr>
                <w:sz w:val="17"/>
              </w:rPr>
              <w:t xml:space="preserve"> AND </w:t>
            </w:r>
            <w:r>
              <w:rPr>
                <w:rFonts w:ascii="Courier New" w:hAnsi="Courier New"/>
                <w:sz w:val="16"/>
              </w:rPr>
              <w:t>10%</w:t>
            </w:r>
            <w:r>
              <w:rPr>
                <w:sz w:val="17"/>
              </w:rPr>
              <w:t xml:space="preserve"> of the Rent Roll approved amount (</w:t>
            </w:r>
            <w:r>
              <w:rPr>
                <w:rFonts w:ascii="Courier New" w:hAnsi="Courier New"/>
                <w:sz w:val="16"/>
              </w:rPr>
              <w:t>delta &gt; 10 AND pct_diff &gt; 0.10</w:t>
            </w:r>
            <w:r>
              <w:rPr>
                <w:sz w:val="17"/>
              </w:rPr>
              <w:t>). Both conditions must be true simultaneously; a large dollar delta with a small percentage, or a large percentage with a small dollar amount, shall not trigger the rule. Risk: HIGH.</w:t>
            </w:r>
          </w:p>
        </w:tc>
        <w:tc>
          <w:tcPr>
            <w:tcW w:type="dxa" w:w="1152"/>
          </w:tcPr>
          <w:p>
            <w:pPr>
              <w:spacing w:before="40" w:after="40"/>
            </w:pPr>
            <w:r/>
            <w:r>
              <w:rPr>
                <w:sz w:val="17"/>
              </w:rPr>
              <w:t>Error</w:t>
            </w:r>
          </w:p>
        </w:tc>
        <w:tc>
          <w:tcPr>
            <w:tcW w:type="dxa" w:w="2808"/>
          </w:tcPr>
          <w:p>
            <w:pPr>
              <w:spacing w:before="40" w:after="40"/>
            </w:pPr>
            <w:r/>
            <w:r>
              <w:rPr>
                <w:sz w:val="17"/>
              </w:rPr>
              <w:t xml:space="preserve">Rent Roll concession row (negative amount + keyword); Transaction List net credit &gt; 0 for same </w:t>
            </w:r>
            <w:r>
              <w:rPr>
                <w:rFonts w:ascii="Courier New" w:hAnsi="Courier New"/>
                <w:sz w:val="16"/>
              </w:rPr>
              <w:t>(Property, Unit)</w:t>
            </w:r>
            <w:r>
              <w:rPr>
                <w:sz w:val="17"/>
              </w:rPr>
              <w:t xml:space="preserve">; both </w:t>
            </w:r>
            <w:r>
              <w:rPr>
                <w:rFonts w:ascii="Courier New" w:hAnsi="Courier New"/>
                <w:sz w:val="16"/>
              </w:rPr>
              <w:t>approved_amt</w:t>
            </w:r>
            <w:r>
              <w:rPr>
                <w:sz w:val="17"/>
              </w:rPr>
              <w:t xml:space="preserve"> and </w:t>
            </w:r>
            <w:r>
              <w:rPr>
                <w:rFonts w:ascii="Courier New" w:hAnsi="Courier New"/>
                <w:sz w:val="16"/>
              </w:rPr>
              <w:t>posted_amt</w:t>
            </w:r>
            <w:r>
              <w:rPr>
                <w:sz w:val="17"/>
              </w:rPr>
              <w:t xml:space="preserve"> derivable</w:t>
            </w:r>
          </w:p>
        </w:tc>
      </w:tr>
      <w:tr>
        <w:tc>
          <w:tcPr>
            <w:tcW w:type="dxa" w:w="864"/>
            <w:shd w:val="clear" w:color="auto" w:fill="D6E4F0"/>
          </w:tcPr>
          <w:p>
            <w:pPr>
              <w:spacing w:before="40" w:after="40"/>
            </w:pPr>
            <w:r/>
            <w:r>
              <w:rPr>
                <w:sz w:val="17"/>
              </w:rPr>
              <w:t>BR-25</w:t>
            </w:r>
          </w:p>
        </w:tc>
        <w:tc>
          <w:tcPr>
            <w:tcW w:type="dxa" w:w="4104"/>
            <w:shd w:val="clear" w:color="auto" w:fill="D6E4F0"/>
          </w:tcPr>
          <w:p>
            <w:pPr>
              <w:spacing w:before="40" w:after="40"/>
            </w:pPr>
            <w:r/>
            <w:r>
              <w:rPr>
                <w:b/>
                <w:sz w:val="17"/>
              </w:rPr>
              <w:t>R6 — All-Reversed Credit Detail:</w:t>
            </w:r>
            <w:r>
              <w:rPr>
                <w:sz w:val="17"/>
              </w:rPr>
              <w:t xml:space="preserve"> When a unit's net posted amount is </w:t>
            </w:r>
            <w:r>
              <w:rPr>
                <w:rFonts w:ascii="Courier New" w:hAnsi="Courier New"/>
                <w:sz w:val="16"/>
              </w:rPr>
              <w:t>$0</w:t>
            </w:r>
            <w:r>
              <w:rPr>
                <w:sz w:val="17"/>
              </w:rPr>
              <w:t xml:space="preserve"> because all credits were reversed, the R6 detail message shall explicitly state "all posted credits were reversed — net posted: $0" and direct reviewers to confirm whether the non-posting was intentional. This case still triggers R6 because the Rent Roll shows an approved setup of </w:t>
            </w:r>
            <w:r>
              <w:rPr>
                <w:rFonts w:ascii="Courier New" w:hAnsi="Courier New"/>
                <w:sz w:val="16"/>
              </w:rPr>
              <w:t>&gt; $0</w:t>
            </w:r>
            <w:r>
              <w:rPr>
                <w:sz w:val="17"/>
              </w:rPr>
              <w:t xml:space="preserve"> but nothing was effectively posted.</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sz w:val="17"/>
              </w:rPr>
              <w:t>Rent Roll concession &gt; 0; Transaction List credits summing to net $0 after reversals; delta &gt; $10 and &gt; 10%</w:t>
            </w:r>
          </w:p>
        </w:tc>
      </w:tr>
      <w:tr>
        <w:tc>
          <w:tcPr>
            <w:tcW w:type="dxa" w:w="864"/>
          </w:tcPr>
          <w:p>
            <w:pPr>
              <w:spacing w:before="40" w:after="40"/>
            </w:pPr>
            <w:r/>
            <w:r>
              <w:rPr>
                <w:sz w:val="17"/>
              </w:rPr>
              <w:t>BR-26</w:t>
            </w:r>
          </w:p>
        </w:tc>
        <w:tc>
          <w:tcPr>
            <w:tcW w:type="dxa" w:w="4104"/>
          </w:tcPr>
          <w:p>
            <w:pPr>
              <w:spacing w:before="40" w:after="40"/>
            </w:pPr>
            <w:r/>
            <w:r>
              <w:rPr>
                <w:b/>
                <w:sz w:val="17"/>
              </w:rPr>
              <w:t>R7 — Not Properly Posted:</w:t>
            </w:r>
            <w:r>
              <w:rPr>
                <w:sz w:val="17"/>
              </w:rPr>
              <w:t xml:space="preserve"> A flag is produced when a unit appears in the Rent Roll concession lookup but </w:t>
            </w:r>
            <w:r>
              <w:rPr>
                <w:b/>
                <w:sz w:val="17"/>
              </w:rPr>
              <w:t>not</w:t>
            </w:r>
            <w:r>
              <w:rPr>
                <w:sz w:val="17"/>
              </w:rPr>
              <w:t xml:space="preserve"> in the Transaction List net-credit lookup (i.e., </w:t>
            </w:r>
            <w:r>
              <w:rPr>
                <w:rFonts w:ascii="Courier New" w:hAnsi="Courier New"/>
                <w:sz w:val="16"/>
              </w:rPr>
              <w:t>in_rr = True</w:t>
            </w:r>
            <w:r>
              <w:rPr>
                <w:sz w:val="17"/>
              </w:rPr>
              <w:t xml:space="preserve"> and </w:t>
            </w:r>
            <w:r>
              <w:rPr>
                <w:rFonts w:ascii="Courier New" w:hAnsi="Courier New"/>
                <w:sz w:val="16"/>
              </w:rPr>
              <w:t>in_tx = False</w:t>
            </w:r>
            <w:r>
              <w:rPr>
                <w:sz w:val="17"/>
              </w:rPr>
              <w:t>). The flag detail shall include the Rent Roll concession description and instruct reviewers to confirm whether this is a missed posting, a proration event, or an NTV situation. Risk: HIGH.</w:t>
            </w:r>
          </w:p>
        </w:tc>
        <w:tc>
          <w:tcPr>
            <w:tcW w:type="dxa" w:w="1152"/>
          </w:tcPr>
          <w:p>
            <w:pPr>
              <w:spacing w:before="40" w:after="40"/>
            </w:pPr>
            <w:r/>
            <w:r>
              <w:rPr>
                <w:sz w:val="17"/>
              </w:rPr>
              <w:t>Error</w:t>
            </w:r>
          </w:p>
        </w:tc>
        <w:tc>
          <w:tcPr>
            <w:tcW w:type="dxa" w:w="2808"/>
          </w:tcPr>
          <w:p>
            <w:pPr>
              <w:spacing w:before="40" w:after="40"/>
            </w:pPr>
            <w:r/>
            <w:r>
              <w:rPr>
                <w:sz w:val="17"/>
              </w:rPr>
              <w:t xml:space="preserve">Rent Roll concession row for </w:t>
            </w:r>
            <w:r>
              <w:rPr>
                <w:rFonts w:ascii="Courier New" w:hAnsi="Courier New"/>
                <w:sz w:val="16"/>
              </w:rPr>
              <w:t>(Property, Unit)</w:t>
            </w:r>
            <w:r>
              <w:rPr>
                <w:sz w:val="17"/>
              </w:rPr>
              <w:t xml:space="preserve"> with no corresponding Transaction List net credit</w:t>
            </w:r>
          </w:p>
        </w:tc>
      </w:tr>
    </w:tbl>
    <w:p/>
    <w:p>
      <w:pPr>
        <w:pStyle w:val="Heading2"/>
      </w:pPr>
      <w:r>
        <w:rPr>
          <w:color w:val="2E74B5"/>
        </w:rPr>
        <w:t>6.3 Daniel's Engine — Stage 1: Recurring Projection Audit</w:t>
      </w:r>
    </w:p>
    <w:tbl>
      <w:tblPr>
        <w:tblStyle w:val="TableGrid"/>
        <w:tblW w:type="auto" w:w="0"/>
        <w:tblLook w:firstColumn="1" w:firstRow="1" w:lastColumn="0" w:lastRow="0" w:noHBand="0" w:noVBand="1" w:val="04A0"/>
      </w:tblPr>
      <w:tblGrid>
        <w:gridCol w:w="2250"/>
        <w:gridCol w:w="2250"/>
        <w:gridCol w:w="2250"/>
        <w:gridCol w:w="2250"/>
      </w:tblGrid>
      <w:tr>
        <w:tc>
          <w:tcPr>
            <w:tcW w:type="dxa" w:w="864"/>
            <w:shd w:val="clear" w:color="auto" w:fill="1F4E79"/>
          </w:tcPr>
          <w:p>
            <w:pPr>
              <w:spacing w:before="60" w:after="60"/>
              <w:jc w:val="center"/>
            </w:pPr>
            <w:r/>
            <w:r>
              <w:rPr>
                <w:b/>
                <w:color w:val="FFFFFF"/>
                <w:sz w:val="18"/>
              </w:rPr>
              <w:t>ID</w:t>
            </w:r>
          </w:p>
        </w:tc>
        <w:tc>
          <w:tcPr>
            <w:tcW w:type="dxa" w:w="4104"/>
            <w:shd w:val="clear" w:color="auto" w:fill="1F4E79"/>
          </w:tcPr>
          <w:p>
            <w:pPr>
              <w:spacing w:before="60" w:after="60"/>
              <w:jc w:val="center"/>
            </w:pPr>
            <w:r/>
            <w:r>
              <w:rPr>
                <w:b/>
                <w:color w:val="FFFFFF"/>
                <w:sz w:val="18"/>
              </w:rPr>
              <w:t>Rule</w:t>
            </w:r>
          </w:p>
        </w:tc>
        <w:tc>
          <w:tcPr>
            <w:tcW w:type="dxa" w:w="1152"/>
            <w:shd w:val="clear" w:color="auto" w:fill="1F4E79"/>
          </w:tcPr>
          <w:p>
            <w:pPr>
              <w:spacing w:before="60" w:after="60"/>
              <w:jc w:val="center"/>
            </w:pPr>
            <w:r/>
            <w:r>
              <w:rPr>
                <w:b/>
                <w:color w:val="FFFFFF"/>
                <w:sz w:val="18"/>
              </w:rPr>
              <w:t>Severity</w:t>
            </w:r>
          </w:p>
        </w:tc>
        <w:tc>
          <w:tcPr>
            <w:tcW w:type="dxa" w:w="2808"/>
            <w:shd w:val="clear" w:color="auto" w:fill="1F4E79"/>
          </w:tcPr>
          <w:p>
            <w:pPr>
              <w:spacing w:before="60" w:after="60"/>
              <w:jc w:val="center"/>
            </w:pPr>
            <w:r/>
            <w:r>
              <w:rPr>
                <w:b/>
                <w:color w:val="FFFFFF"/>
                <w:sz w:val="18"/>
              </w:rPr>
              <w:t>Requires</w:t>
            </w:r>
          </w:p>
        </w:tc>
      </w:tr>
      <w:tr>
        <w:tc>
          <w:tcPr>
            <w:tcW w:type="dxa" w:w="864"/>
          </w:tcPr>
          <w:p>
            <w:pPr>
              <w:spacing w:before="40" w:after="40"/>
            </w:pPr>
            <w:r/>
            <w:r>
              <w:rPr>
                <w:sz w:val="17"/>
              </w:rPr>
              <w:t>BR-27</w:t>
            </w:r>
          </w:p>
        </w:tc>
        <w:tc>
          <w:tcPr>
            <w:tcW w:type="dxa" w:w="4104"/>
          </w:tcPr>
          <w:p>
            <w:pPr>
              <w:spacing w:before="40" w:after="40"/>
            </w:pPr>
            <w:r/>
            <w:r>
              <w:rPr>
                <w:b/>
                <w:sz w:val="17"/>
              </w:rPr>
              <w:t>90% Rule — Standard Charge Classification:</w:t>
            </w:r>
            <w:r>
              <w:rPr>
                <w:sz w:val="17"/>
              </w:rPr>
              <w:t xml:space="preserve"> A charge category is classified as a standard charge for a property when the count of units with a </w:t>
            </w:r>
            <w:r>
              <w:rPr>
                <w:b/>
                <w:sz w:val="17"/>
              </w:rPr>
              <w:t>positive</w:t>
            </w:r>
            <w:r>
              <w:rPr>
                <w:sz w:val="17"/>
              </w:rPr>
              <w:t xml:space="preserve"> amount for that category divided by the total distinct unit count for that property is </w:t>
            </w:r>
            <w:r>
              <w:rPr>
                <w:rFonts w:ascii="Courier New" w:hAnsi="Courier New"/>
                <w:sz w:val="16"/>
              </w:rPr>
              <w:t>≥ 0.90</w:t>
            </w:r>
            <w:r>
              <w:rPr>
                <w:sz w:val="17"/>
              </w:rPr>
              <w:t xml:space="preserve"> (</w:t>
            </w:r>
            <w:r>
              <w:rPr>
                <w:rFonts w:ascii="Courier New" w:hAnsi="Courier New"/>
                <w:sz w:val="16"/>
              </w:rPr>
              <w:t>STANDARD_CHARGE_THRESHOLD</w:t>
            </w:r>
            <w:r>
              <w:rPr>
                <w:sz w:val="17"/>
              </w:rPr>
              <w:t>). The 90% threshold is evaluated per property independently; a charge standard at one property is not assumed standard at another.</w:t>
            </w:r>
          </w:p>
        </w:tc>
        <w:tc>
          <w:tcPr>
            <w:tcW w:type="dxa" w:w="1152"/>
          </w:tcPr>
          <w:p>
            <w:pPr>
              <w:spacing w:before="40" w:after="40"/>
            </w:pPr>
            <w:r/>
            <w:r>
              <w:rPr>
                <w:sz w:val="17"/>
              </w:rPr>
              <w:t>Error</w:t>
            </w:r>
          </w:p>
        </w:tc>
        <w:tc>
          <w:tcPr>
            <w:tcW w:type="dxa" w:w="2808"/>
          </w:tcPr>
          <w:p>
            <w:pPr>
              <w:spacing w:before="40" w:after="40"/>
            </w:pPr>
            <w:r/>
            <w:r>
              <w:rPr>
                <w:sz w:val="17"/>
              </w:rPr>
              <w:t>Transaction Projection DataFrame; at least 1 unit with positive amount for the category</w:t>
            </w:r>
          </w:p>
        </w:tc>
      </w:tr>
      <w:tr>
        <w:tc>
          <w:tcPr>
            <w:tcW w:type="dxa" w:w="864"/>
            <w:shd w:val="clear" w:color="auto" w:fill="D6E4F0"/>
          </w:tcPr>
          <w:p>
            <w:pPr>
              <w:spacing w:before="40" w:after="40"/>
            </w:pPr>
            <w:r/>
            <w:r>
              <w:rPr>
                <w:sz w:val="17"/>
              </w:rPr>
              <w:t>BR-28</w:t>
            </w:r>
          </w:p>
        </w:tc>
        <w:tc>
          <w:tcPr>
            <w:tcW w:type="dxa" w:w="4104"/>
            <w:shd w:val="clear" w:color="auto" w:fill="D6E4F0"/>
          </w:tcPr>
          <w:p>
            <w:pPr>
              <w:spacing w:before="40" w:after="40"/>
            </w:pPr>
            <w:r/>
            <w:r>
              <w:rPr>
                <w:b/>
                <w:sz w:val="17"/>
              </w:rPr>
              <w:t>90% Rule — Optional Charge Exemption:</w:t>
            </w:r>
            <w:r>
              <w:rPr>
                <w:sz w:val="17"/>
              </w:rPr>
              <w:t xml:space="preserve"> Any category whose name contains one of these keywords shall be permanently excluded from the 90% Rule: </w:t>
            </w:r>
            <w:r>
              <w:rPr>
                <w:rFonts w:ascii="Courier New" w:hAnsi="Courier New"/>
                <w:sz w:val="16"/>
              </w:rPr>
              <w:t>"carport"</w:t>
            </w:r>
            <w:r>
              <w:rPr>
                <w:sz w:val="17"/>
              </w:rPr>
              <w:t xml:space="preserve">, </w:t>
            </w:r>
            <w:r>
              <w:rPr>
                <w:rFonts w:ascii="Courier New" w:hAnsi="Courier New"/>
                <w:sz w:val="16"/>
              </w:rPr>
              <w:t>"parking"</w:t>
            </w:r>
            <w:r>
              <w:rPr>
                <w:sz w:val="17"/>
              </w:rPr>
              <w:t xml:space="preserve">, </w:t>
            </w:r>
            <w:r>
              <w:rPr>
                <w:rFonts w:ascii="Courier New" w:hAnsi="Courier New"/>
                <w:sz w:val="16"/>
              </w:rPr>
              <w:t>"pet rent"</w:t>
            </w:r>
            <w:r>
              <w:rPr>
                <w:sz w:val="17"/>
              </w:rPr>
              <w:t xml:space="preserve">, </w:t>
            </w:r>
            <w:r>
              <w:rPr>
                <w:rFonts w:ascii="Courier New" w:hAnsi="Courier New"/>
                <w:sz w:val="16"/>
              </w:rPr>
              <w:t>"pet fee"</w:t>
            </w:r>
            <w:r>
              <w:rPr>
                <w:sz w:val="17"/>
              </w:rPr>
              <w:t xml:space="preserve">, </w:t>
            </w:r>
            <w:r>
              <w:rPr>
                <w:rFonts w:ascii="Courier New" w:hAnsi="Courier New"/>
                <w:sz w:val="16"/>
              </w:rPr>
              <w:t>"washer"</w:t>
            </w:r>
            <w:r>
              <w:rPr>
                <w:sz w:val="17"/>
              </w:rPr>
              <w:t xml:space="preserve">, </w:t>
            </w:r>
            <w:r>
              <w:rPr>
                <w:rFonts w:ascii="Courier New" w:hAnsi="Courier New"/>
                <w:sz w:val="16"/>
              </w:rPr>
              <w:t>"dryer"</w:t>
            </w:r>
            <w:r>
              <w:rPr>
                <w:sz w:val="17"/>
              </w:rPr>
              <w:t xml:space="preserve">, </w:t>
            </w:r>
            <w:r>
              <w:rPr>
                <w:rFonts w:ascii="Courier New" w:hAnsi="Courier New"/>
                <w:sz w:val="16"/>
              </w:rPr>
              <w:t>"first floor"</w:t>
            </w:r>
            <w:r>
              <w:rPr>
                <w:sz w:val="17"/>
              </w:rPr>
              <w:t xml:space="preserve">, </w:t>
            </w:r>
            <w:r>
              <w:rPr>
                <w:rFonts w:ascii="Courier New" w:hAnsi="Courier New"/>
                <w:sz w:val="16"/>
              </w:rPr>
              <w:t>"1st floor"</w:t>
            </w:r>
            <w:r>
              <w:rPr>
                <w:sz w:val="17"/>
              </w:rPr>
              <w:t>. These are unit-specific add-ons per Daniel Twito and are not expected portfolio-wide.</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 xml:space="preserve">Category name matching any </w:t>
            </w:r>
            <w:r>
              <w:rPr>
                <w:rFonts w:ascii="Courier New" w:hAnsi="Courier New"/>
                <w:sz w:val="16"/>
              </w:rPr>
              <w:t>OPTIONAL_CHARGE_KEYWORDS</w:t>
            </w:r>
            <w:r>
              <w:rPr>
                <w:sz w:val="17"/>
              </w:rPr>
              <w:t xml:space="preserve"> entry</w:t>
            </w:r>
          </w:p>
        </w:tc>
      </w:tr>
      <w:tr>
        <w:tc>
          <w:tcPr>
            <w:tcW w:type="dxa" w:w="864"/>
          </w:tcPr>
          <w:p>
            <w:pPr>
              <w:spacing w:before="40" w:after="40"/>
            </w:pPr>
            <w:r/>
            <w:r>
              <w:rPr>
                <w:sz w:val="17"/>
              </w:rPr>
              <w:t>BR-29</w:t>
            </w:r>
          </w:p>
        </w:tc>
        <w:tc>
          <w:tcPr>
            <w:tcW w:type="dxa" w:w="4104"/>
          </w:tcPr>
          <w:p>
            <w:pPr>
              <w:spacing w:before="40" w:after="40"/>
            </w:pPr>
            <w:r/>
            <w:r>
              <w:rPr>
                <w:b/>
                <w:sz w:val="17"/>
              </w:rPr>
              <w:t>90% Rule — Missing Unit Flag:</w:t>
            </w:r>
            <w:r>
              <w:rPr>
                <w:sz w:val="17"/>
              </w:rPr>
              <w:t xml:space="preserve"> Every unit in the property that lacks a positive amount for a standard charge category shall receive a separate </w:t>
            </w:r>
            <w:r>
              <w:rPr>
                <w:rFonts w:ascii="Courier New" w:hAnsi="Courier New"/>
                <w:sz w:val="16"/>
              </w:rPr>
              <w:t>Missing Standard Charge</w:t>
            </w:r>
            <w:r>
              <w:rPr>
                <w:sz w:val="17"/>
              </w:rPr>
              <w:t xml:space="preserve"> flag. The </w:t>
            </w:r>
            <w:r>
              <w:rPr>
                <w:rFonts w:ascii="Courier New" w:hAnsi="Courier New"/>
                <w:sz w:val="16"/>
              </w:rPr>
              <w:t>Amount_Impact</w:t>
            </w:r>
            <w:r>
              <w:rPr>
                <w:sz w:val="17"/>
              </w:rPr>
              <w:t xml:space="preserve"> is set to the statistical mode amount for that charge at the property, representing the monthly revenue at risk. Risk: HIGH.</w:t>
            </w:r>
          </w:p>
        </w:tc>
        <w:tc>
          <w:tcPr>
            <w:tcW w:type="dxa" w:w="1152"/>
          </w:tcPr>
          <w:p>
            <w:pPr>
              <w:spacing w:before="40" w:after="40"/>
            </w:pPr>
            <w:r/>
            <w:r>
              <w:rPr>
                <w:sz w:val="17"/>
              </w:rPr>
              <w:t>Error</w:t>
            </w:r>
          </w:p>
        </w:tc>
        <w:tc>
          <w:tcPr>
            <w:tcW w:type="dxa" w:w="2808"/>
          </w:tcPr>
          <w:p>
            <w:pPr>
              <w:spacing w:before="40" w:after="40"/>
            </w:pPr>
            <w:r/>
            <w:r>
              <w:rPr>
                <w:sz w:val="17"/>
              </w:rPr>
              <w:t>Property with ≥ 1 unit missing a category that is standard at 90%+ of other units</w:t>
            </w:r>
          </w:p>
        </w:tc>
      </w:tr>
      <w:tr>
        <w:tc>
          <w:tcPr>
            <w:tcW w:type="dxa" w:w="864"/>
            <w:shd w:val="clear" w:color="auto" w:fill="D6E4F0"/>
          </w:tcPr>
          <w:p>
            <w:pPr>
              <w:spacing w:before="40" w:after="40"/>
            </w:pPr>
            <w:r/>
            <w:r>
              <w:rPr>
                <w:sz w:val="17"/>
              </w:rPr>
              <w:t>BR-30</w:t>
            </w:r>
          </w:p>
        </w:tc>
        <w:tc>
          <w:tcPr>
            <w:tcW w:type="dxa" w:w="4104"/>
            <w:shd w:val="clear" w:color="auto" w:fill="D6E4F0"/>
          </w:tcPr>
          <w:p>
            <w:pPr>
              <w:spacing w:before="40" w:after="40"/>
            </w:pPr>
            <w:r/>
            <w:r>
              <w:rPr>
                <w:b/>
                <w:sz w:val="17"/>
              </w:rPr>
              <w:t>Amount Variance — Grouping Scope:</w:t>
            </w:r>
            <w:r>
              <w:rPr>
                <w:sz w:val="17"/>
              </w:rPr>
              <w:t xml:space="preserve"> Amount consistency is evaluated within each </w:t>
            </w:r>
            <w:r>
              <w:rPr>
                <w:rFonts w:ascii="Courier New" w:hAnsi="Courier New"/>
                <w:sz w:val="16"/>
              </w:rPr>
              <w:t>(Property, Unit_Type, Category)</w:t>
            </w:r>
            <w:r>
              <w:rPr>
                <w:sz w:val="17"/>
              </w:rPr>
              <w:t xml:space="preserve"> group. Comparing within the same unit type prevents false positives when 1BR and 2BR units legitimately have different charge amounts for the same category. Groups with fewer than 3 active (positive-amount) rows are excluded from variance analysis to avoid statistical noise on small populations.</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rFonts w:ascii="Courier New" w:hAnsi="Courier New"/>
                <w:sz w:val="16"/>
              </w:rPr>
              <w:t>(Property, Unit_Type, Category)</w:t>
            </w:r>
            <w:r>
              <w:rPr>
                <w:sz w:val="17"/>
              </w:rPr>
              <w:t xml:space="preserve"> group with ≥ 3 positive-amount rows</w:t>
            </w:r>
          </w:p>
        </w:tc>
      </w:tr>
      <w:tr>
        <w:tc>
          <w:tcPr>
            <w:tcW w:type="dxa" w:w="864"/>
          </w:tcPr>
          <w:p>
            <w:pPr>
              <w:spacing w:before="40" w:after="40"/>
            </w:pPr>
            <w:r/>
            <w:r>
              <w:rPr>
                <w:sz w:val="17"/>
              </w:rPr>
              <w:t>BR-31</w:t>
            </w:r>
          </w:p>
        </w:tc>
        <w:tc>
          <w:tcPr>
            <w:tcW w:type="dxa" w:w="4104"/>
          </w:tcPr>
          <w:p>
            <w:pPr>
              <w:spacing w:before="40" w:after="40"/>
            </w:pPr>
            <w:r/>
            <w:r>
              <w:rPr>
                <w:b/>
                <w:sz w:val="17"/>
              </w:rPr>
              <w:t>Amount Variance — Mode as Baseline:</w:t>
            </w:r>
            <w:r>
              <w:rPr>
                <w:sz w:val="17"/>
              </w:rPr>
              <w:t xml:space="preserve"> The baseline expected amount for a </w:t>
            </w:r>
            <w:r>
              <w:rPr>
                <w:rFonts w:ascii="Courier New" w:hAnsi="Courier New"/>
                <w:sz w:val="16"/>
              </w:rPr>
              <w:t>(Property, Unit_Type, Category)</w:t>
            </w:r>
            <w:r>
              <w:rPr>
                <w:sz w:val="17"/>
              </w:rPr>
              <w:t xml:space="preserve"> group is the statistical mode of all positive-amount rows in that group. If the mode is </w:t>
            </w:r>
            <w:r>
              <w:rPr>
                <w:rFonts w:ascii="Courier New" w:hAnsi="Courier New"/>
                <w:sz w:val="16"/>
              </w:rPr>
              <w:t>$0</w:t>
            </w:r>
            <w:r>
              <w:rPr>
                <w:sz w:val="17"/>
              </w:rPr>
              <w:t xml:space="preserve"> or the mode computation yields an empty result, the group is skipped.</w:t>
            </w:r>
          </w:p>
        </w:tc>
        <w:tc>
          <w:tcPr>
            <w:tcW w:type="dxa" w:w="1152"/>
          </w:tcPr>
          <w:p>
            <w:pPr>
              <w:spacing w:before="40" w:after="40"/>
            </w:pPr>
            <w:r/>
            <w:r>
              <w:rPr>
                <w:sz w:val="17"/>
              </w:rPr>
              <w:t>Warning</w:t>
            </w:r>
          </w:p>
        </w:tc>
        <w:tc>
          <w:tcPr>
            <w:tcW w:type="dxa" w:w="2808"/>
          </w:tcPr>
          <w:p>
            <w:pPr>
              <w:spacing w:before="40" w:after="40"/>
            </w:pPr>
            <w:r/>
            <w:r>
              <w:rPr>
                <w:sz w:val="17"/>
              </w:rPr>
              <w:t>≥ 3 positive-amount rows in group; mode not $0</w:t>
            </w:r>
          </w:p>
        </w:tc>
      </w:tr>
      <w:tr>
        <w:tc>
          <w:tcPr>
            <w:tcW w:type="dxa" w:w="864"/>
            <w:shd w:val="clear" w:color="auto" w:fill="D6E4F0"/>
          </w:tcPr>
          <w:p>
            <w:pPr>
              <w:spacing w:before="40" w:after="40"/>
            </w:pPr>
            <w:r/>
            <w:r>
              <w:rPr>
                <w:sz w:val="17"/>
              </w:rPr>
              <w:t>BR-32</w:t>
            </w:r>
          </w:p>
        </w:tc>
        <w:tc>
          <w:tcPr>
            <w:tcW w:type="dxa" w:w="4104"/>
            <w:shd w:val="clear" w:color="auto" w:fill="D6E4F0"/>
          </w:tcPr>
          <w:p>
            <w:pPr>
              <w:spacing w:before="40" w:after="40"/>
            </w:pPr>
            <w:r/>
            <w:r>
              <w:rPr>
                <w:b/>
                <w:sz w:val="17"/>
              </w:rPr>
              <w:t>Major Charge Amount Variance:</w:t>
            </w:r>
            <w:r>
              <w:rPr>
                <w:sz w:val="17"/>
              </w:rPr>
              <w:t xml:space="preserve"> A unit's charge amount is flagged as a Major variance when </w:t>
            </w:r>
            <w:r>
              <w:rPr>
                <w:rFonts w:ascii="Courier New" w:hAnsi="Courier New"/>
                <w:sz w:val="16"/>
              </w:rPr>
              <w:t>abs(actual - mode) &gt;= $5.00</w:t>
            </w:r>
            <w:r>
              <w:rPr>
                <w:sz w:val="17"/>
              </w:rPr>
              <w:t xml:space="preserve"> AND the percentage deviation </w:t>
            </w:r>
            <w:r>
              <w:rPr>
                <w:rFonts w:ascii="Courier New" w:hAnsi="Courier New"/>
                <w:sz w:val="16"/>
              </w:rPr>
              <w:t>(delta / mode) &gt;= 20%</w:t>
            </w:r>
            <w:r>
              <w:rPr>
                <w:sz w:val="17"/>
              </w:rPr>
              <w:t>. Both conditions must be true simultaneously. Risk: HIGH.</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rFonts w:ascii="Courier New" w:hAnsi="Courier New"/>
                <w:sz w:val="16"/>
              </w:rPr>
              <w:t>(Property, Unit_Type, Category)</w:t>
            </w:r>
            <w:r>
              <w:rPr>
                <w:sz w:val="17"/>
              </w:rPr>
              <w:t xml:space="preserve"> group meeting sample size minimum; charge is not in </w:t>
            </w:r>
            <w:r>
              <w:rPr>
                <w:rFonts w:ascii="Courier New" w:hAnsi="Courier New"/>
                <w:sz w:val="16"/>
              </w:rPr>
              <w:t>RENT_KEYWORDS</w:t>
            </w:r>
            <w:r>
              <w:rPr>
                <w:sz w:val="17"/>
              </w:rPr>
              <w:t xml:space="preserve"> or </w:t>
            </w:r>
            <w:r>
              <w:rPr>
                <w:rFonts w:ascii="Courier New" w:hAnsi="Courier New"/>
                <w:sz w:val="16"/>
              </w:rPr>
              <w:t>OPTIONAL_CHARGE_KEYWORDS</w:t>
            </w:r>
          </w:p>
        </w:tc>
      </w:tr>
      <w:tr>
        <w:tc>
          <w:tcPr>
            <w:tcW w:type="dxa" w:w="864"/>
          </w:tcPr>
          <w:p>
            <w:pPr>
              <w:spacing w:before="40" w:after="40"/>
            </w:pPr>
            <w:r/>
            <w:r>
              <w:rPr>
                <w:sz w:val="17"/>
              </w:rPr>
              <w:t>BR-33</w:t>
            </w:r>
          </w:p>
        </w:tc>
        <w:tc>
          <w:tcPr>
            <w:tcW w:type="dxa" w:w="4104"/>
          </w:tcPr>
          <w:p>
            <w:pPr>
              <w:spacing w:before="40" w:after="40"/>
            </w:pPr>
            <w:r/>
            <w:r>
              <w:rPr>
                <w:b/>
                <w:sz w:val="17"/>
              </w:rPr>
              <w:t>Minor Charge Amount Variance:</w:t>
            </w:r>
            <w:r>
              <w:rPr>
                <w:sz w:val="17"/>
              </w:rPr>
              <w:t xml:space="preserve"> A unit's charge amount is flagged as a Minor variance when </w:t>
            </w:r>
            <w:r>
              <w:rPr>
                <w:rFonts w:ascii="Courier New" w:hAnsi="Courier New"/>
                <w:sz w:val="16"/>
              </w:rPr>
              <w:t>abs(actual - mode) &gt;= $1.00</w:t>
            </w:r>
            <w:r>
              <w:rPr>
                <w:sz w:val="17"/>
              </w:rPr>
              <w:t xml:space="preserve"> and the variance does not also satisfy both thresholds for Major (i.e., is not simultaneously ≥ $5 and ≥ 20%). Risk: MEDIUM.</w:t>
            </w:r>
          </w:p>
        </w:tc>
        <w:tc>
          <w:tcPr>
            <w:tcW w:type="dxa" w:w="1152"/>
          </w:tcPr>
          <w:p>
            <w:pPr>
              <w:spacing w:before="40" w:after="40"/>
            </w:pPr>
            <w:r/>
            <w:r>
              <w:rPr>
                <w:sz w:val="17"/>
              </w:rPr>
              <w:t>Warning</w:t>
            </w:r>
          </w:p>
        </w:tc>
        <w:tc>
          <w:tcPr>
            <w:tcW w:type="dxa" w:w="2808"/>
          </w:tcPr>
          <w:p>
            <w:pPr>
              <w:spacing w:before="40" w:after="40"/>
            </w:pPr>
            <w:r/>
            <w:r>
              <w:rPr>
                <w:sz w:val="17"/>
              </w:rPr>
              <w:t>Same conditions as BR-32</w:t>
            </w:r>
          </w:p>
        </w:tc>
      </w:tr>
      <w:tr>
        <w:tc>
          <w:tcPr>
            <w:tcW w:type="dxa" w:w="864"/>
            <w:shd w:val="clear" w:color="auto" w:fill="D6E4F0"/>
          </w:tcPr>
          <w:p>
            <w:pPr>
              <w:spacing w:before="40" w:after="40"/>
            </w:pPr>
            <w:r/>
            <w:r>
              <w:rPr>
                <w:sz w:val="17"/>
              </w:rPr>
              <w:t>BR-34</w:t>
            </w:r>
          </w:p>
        </w:tc>
        <w:tc>
          <w:tcPr>
            <w:tcW w:type="dxa" w:w="4104"/>
            <w:shd w:val="clear" w:color="auto" w:fill="D6E4F0"/>
          </w:tcPr>
          <w:p>
            <w:pPr>
              <w:spacing w:before="40" w:after="40"/>
            </w:pPr>
            <w:r/>
            <w:r>
              <w:rPr>
                <w:b/>
                <w:sz w:val="17"/>
              </w:rPr>
              <w:t>Rent Exclusion from Variance:</w:t>
            </w:r>
            <w:r>
              <w:rPr>
                <w:sz w:val="17"/>
              </w:rPr>
              <w:t xml:space="preserve"> Any category whose lowercased name is exactly </w:t>
            </w:r>
            <w:r>
              <w:rPr>
                <w:rFonts w:ascii="Courier New" w:hAnsi="Courier New"/>
                <w:sz w:val="16"/>
              </w:rPr>
              <w:t>"rent"</w:t>
            </w:r>
            <w:r>
              <w:rPr>
                <w:sz w:val="17"/>
              </w:rPr>
              <w:t xml:space="preserve"> shall be excluded from both Major and Minor variance checks. Rent amounts legitimately differ between units of the same type due to individually negotiated lease rates. Rent discrepancies are fully captured by Stage 2's Posted vs Recurring Mismatch rule.</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 xml:space="preserve">Category name exactly </w:t>
            </w:r>
            <w:r>
              <w:rPr>
                <w:rFonts w:ascii="Courier New" w:hAnsi="Courier New"/>
                <w:sz w:val="16"/>
              </w:rPr>
              <w:t>"rent"</w:t>
            </w:r>
            <w:r>
              <w:rPr>
                <w:sz w:val="17"/>
              </w:rPr>
              <w:t xml:space="preserve"> (case-insensitive)</w:t>
            </w:r>
          </w:p>
        </w:tc>
      </w:tr>
      <w:tr>
        <w:tc>
          <w:tcPr>
            <w:tcW w:type="dxa" w:w="864"/>
          </w:tcPr>
          <w:p>
            <w:pPr>
              <w:spacing w:before="40" w:after="40"/>
            </w:pPr>
            <w:r/>
            <w:r>
              <w:rPr>
                <w:sz w:val="17"/>
              </w:rPr>
              <w:t>BR-35</w:t>
            </w:r>
          </w:p>
        </w:tc>
        <w:tc>
          <w:tcPr>
            <w:tcW w:type="dxa" w:w="4104"/>
          </w:tcPr>
          <w:p>
            <w:pPr>
              <w:spacing w:before="40" w:after="40"/>
            </w:pPr>
            <w:r/>
            <w:r>
              <w:rPr>
                <w:b/>
                <w:sz w:val="17"/>
              </w:rPr>
              <w:t>Recurring Concession &gt; $700:</w:t>
            </w:r>
            <w:r>
              <w:rPr>
                <w:sz w:val="17"/>
              </w:rPr>
              <w:t xml:space="preserve"> A concession row in the Transaction Projection for the audit month where </w:t>
            </w:r>
            <w:r>
              <w:rPr>
                <w:rFonts w:ascii="Courier New" w:hAnsi="Courier New"/>
                <w:sz w:val="16"/>
              </w:rPr>
              <w:t>abs(Amount) &gt; $700</w:t>
            </w:r>
            <w:r>
              <w:rPr>
                <w:sz w:val="17"/>
              </w:rPr>
              <w:t xml:space="preserve"> (</w:t>
            </w:r>
            <w:r>
              <w:rPr>
                <w:rFonts w:ascii="Courier New" w:hAnsi="Courier New"/>
                <w:sz w:val="16"/>
              </w:rPr>
              <w:t>CONCESSION_CRITICAL_AMT</w:t>
            </w:r>
            <w:r>
              <w:rPr>
                <w:sz w:val="17"/>
              </w:rPr>
              <w:t xml:space="preserve">) shall produce a flag. Concession rows are identified by keyword match against the </w:t>
            </w:r>
            <w:r>
              <w:rPr>
                <w:rFonts w:ascii="Courier New" w:hAnsi="Courier New"/>
                <w:sz w:val="16"/>
              </w:rPr>
              <w:t>Category</w:t>
            </w:r>
            <w:r>
              <w:rPr>
                <w:sz w:val="17"/>
              </w:rPr>
              <w:t xml:space="preserve"> field: </w:t>
            </w:r>
            <w:r>
              <w:rPr>
                <w:rFonts w:ascii="Courier New" w:hAnsi="Courier New"/>
                <w:sz w:val="16"/>
              </w:rPr>
              <w:t>"concession"</w:t>
            </w:r>
            <w:r>
              <w:rPr>
                <w:sz w:val="17"/>
              </w:rPr>
              <w:t xml:space="preserve">, </w:t>
            </w:r>
            <w:r>
              <w:rPr>
                <w:rFonts w:ascii="Courier New" w:hAnsi="Courier New"/>
                <w:sz w:val="16"/>
              </w:rPr>
              <w:t>"conr"</w:t>
            </w:r>
            <w:r>
              <w:rPr>
                <w:sz w:val="17"/>
              </w:rPr>
              <w:t xml:space="preserve">, </w:t>
            </w:r>
            <w:r>
              <w:rPr>
                <w:rFonts w:ascii="Courier New" w:hAnsi="Courier New"/>
                <w:sz w:val="16"/>
              </w:rPr>
              <w:t>"crtco"</w:t>
            </w:r>
            <w:r>
              <w:rPr>
                <w:sz w:val="17"/>
              </w:rPr>
              <w:t xml:space="preserve">, </w:t>
            </w:r>
            <w:r>
              <w:rPr>
                <w:rFonts w:ascii="Courier New" w:hAnsi="Courier New"/>
                <w:sz w:val="16"/>
              </w:rPr>
              <w:t>"empl"</w:t>
            </w:r>
            <w:r>
              <w:rPr>
                <w:sz w:val="17"/>
              </w:rPr>
              <w:t xml:space="preserve">, </w:t>
            </w:r>
            <w:r>
              <w:rPr>
                <w:rFonts w:ascii="Courier New" w:hAnsi="Courier New"/>
                <w:sz w:val="16"/>
              </w:rPr>
              <w:t>"mccr"</w:t>
            </w:r>
            <w:r>
              <w:rPr>
                <w:sz w:val="17"/>
              </w:rPr>
              <w:t xml:space="preserve">, </w:t>
            </w:r>
            <w:r>
              <w:rPr>
                <w:rFonts w:ascii="Courier New" w:hAnsi="Courier New"/>
                <w:sz w:val="16"/>
              </w:rPr>
              <w:t>"rrfee"</w:t>
            </w:r>
            <w:r>
              <w:rPr>
                <w:sz w:val="17"/>
              </w:rPr>
              <w:t xml:space="preserve">, </w:t>
            </w:r>
            <w:r>
              <w:rPr>
                <w:rFonts w:ascii="Courier New" w:hAnsi="Courier New"/>
                <w:sz w:val="16"/>
              </w:rPr>
              <w:t>"employee unit"</w:t>
            </w:r>
            <w:r>
              <w:rPr>
                <w:sz w:val="17"/>
              </w:rPr>
              <w:t xml:space="preserve">, </w:t>
            </w:r>
            <w:r>
              <w:rPr>
                <w:rFonts w:ascii="Courier New" w:hAnsi="Courier New"/>
                <w:sz w:val="16"/>
              </w:rPr>
              <w:t>"resident referral"</w:t>
            </w:r>
            <w:r>
              <w:rPr>
                <w:sz w:val="17"/>
              </w:rPr>
              <w:t xml:space="preserve">, </w:t>
            </w:r>
            <w:r>
              <w:rPr>
                <w:rFonts w:ascii="Courier New" w:hAnsi="Courier New"/>
                <w:sz w:val="16"/>
              </w:rPr>
              <w:t>"courtesy officer"</w:t>
            </w:r>
            <w:r>
              <w:rPr>
                <w:sz w:val="17"/>
              </w:rPr>
              <w:t xml:space="preserve">. Concession amounts are stored negative in the projection; </w:t>
            </w:r>
            <w:r>
              <w:rPr>
                <w:rFonts w:ascii="Courier New" w:hAnsi="Courier New"/>
                <w:sz w:val="16"/>
              </w:rPr>
              <w:t>abs()</w:t>
            </w:r>
            <w:r>
              <w:rPr>
                <w:sz w:val="17"/>
              </w:rPr>
              <w:t xml:space="preserve"> is applied before all threshold comparisons. Risk: HIGH.</w:t>
            </w:r>
          </w:p>
        </w:tc>
        <w:tc>
          <w:tcPr>
            <w:tcW w:type="dxa" w:w="1152"/>
          </w:tcPr>
          <w:p>
            <w:pPr>
              <w:spacing w:before="40" w:after="40"/>
            </w:pPr>
            <w:r/>
            <w:r>
              <w:rPr>
                <w:sz w:val="17"/>
              </w:rPr>
              <w:t>Error</w:t>
            </w:r>
          </w:p>
        </w:tc>
        <w:tc>
          <w:tcPr>
            <w:tcW w:type="dxa" w:w="2808"/>
          </w:tcPr>
          <w:p>
            <w:pPr>
              <w:spacing w:before="40" w:after="40"/>
            </w:pPr>
            <w:r/>
            <w:r>
              <w:rPr>
                <w:sz w:val="17"/>
              </w:rPr>
              <w:t xml:space="preserve">Transaction Projection with concession-category row; </w:t>
            </w:r>
            <w:r>
              <w:rPr>
                <w:rFonts w:ascii="Courier New" w:hAnsi="Courier New"/>
                <w:sz w:val="16"/>
              </w:rPr>
              <w:t>abs(Amount) &gt; 700</w:t>
            </w:r>
            <w:r>
              <w:rPr>
                <w:sz w:val="17"/>
              </w:rPr>
              <w:t xml:space="preserve"> for audit month</w:t>
            </w:r>
          </w:p>
        </w:tc>
      </w:tr>
      <w:tr>
        <w:tc>
          <w:tcPr>
            <w:tcW w:type="dxa" w:w="864"/>
            <w:shd w:val="clear" w:color="auto" w:fill="D6E4F0"/>
          </w:tcPr>
          <w:p>
            <w:pPr>
              <w:spacing w:before="40" w:after="40"/>
            </w:pPr>
            <w:r/>
            <w:r>
              <w:rPr>
                <w:sz w:val="17"/>
              </w:rPr>
              <w:t>BR-36</w:t>
            </w:r>
          </w:p>
        </w:tc>
        <w:tc>
          <w:tcPr>
            <w:tcW w:type="dxa" w:w="4104"/>
            <w:shd w:val="clear" w:color="auto" w:fill="D6E4F0"/>
          </w:tcPr>
          <w:p>
            <w:pPr>
              <w:spacing w:before="40" w:after="40"/>
            </w:pPr>
            <w:r/>
            <w:r>
              <w:rPr>
                <w:b/>
                <w:sz w:val="17"/>
              </w:rPr>
              <w:t>Concession Exactly $500:</w:t>
            </w:r>
            <w:r>
              <w:rPr>
                <w:sz w:val="17"/>
              </w:rPr>
              <w:t xml:space="preserve"> A concession row where </w:t>
            </w:r>
            <w:r>
              <w:rPr>
                <w:rFonts w:ascii="Courier New" w:hAnsi="Courier New"/>
                <w:sz w:val="16"/>
              </w:rPr>
              <w:t>abs(abs(Amount) - 500) &lt; $1.00</w:t>
            </w:r>
            <w:r>
              <w:rPr>
                <w:sz w:val="17"/>
              </w:rPr>
              <w:t xml:space="preserve"> (i.e., the amount is within $1 of exactly $500) shall be flagged independently, because an exact $500 concession is a specific signal that documentation and addendum verification is required. Risk: HIGH.</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sz w:val="17"/>
              </w:rPr>
              <w:t xml:space="preserve">Transaction Projection concession row; </w:t>
            </w:r>
            <w:r>
              <w:rPr>
                <w:rFonts w:ascii="Courier New" w:hAnsi="Courier New"/>
                <w:sz w:val="16"/>
              </w:rPr>
              <w:t>abs(Amount)</w:t>
            </w:r>
            <w:r>
              <w:rPr>
                <w:sz w:val="17"/>
              </w:rPr>
              <w:t xml:space="preserve"> within $1.00 of $500</w:t>
            </w:r>
          </w:p>
        </w:tc>
      </w:tr>
      <w:tr>
        <w:tc>
          <w:tcPr>
            <w:tcW w:type="dxa" w:w="864"/>
          </w:tcPr>
          <w:p>
            <w:pPr>
              <w:spacing w:before="40" w:after="40"/>
            </w:pPr>
            <w:r/>
            <w:r>
              <w:rPr>
                <w:sz w:val="17"/>
              </w:rPr>
              <w:t>BR-37</w:t>
            </w:r>
          </w:p>
        </w:tc>
        <w:tc>
          <w:tcPr>
            <w:tcW w:type="dxa" w:w="4104"/>
          </w:tcPr>
          <w:p>
            <w:pPr>
              <w:spacing w:before="40" w:after="40"/>
            </w:pPr>
            <w:r/>
            <w:r>
              <w:rPr>
                <w:b/>
                <w:sz w:val="17"/>
              </w:rPr>
              <w:t>Concession &gt; $500 for More Than 2 Months:</w:t>
            </w:r>
            <w:r>
              <w:rPr>
                <w:sz w:val="17"/>
              </w:rPr>
              <w:t xml:space="preserve"> A recurring concession setup where </w:t>
            </w:r>
            <w:r>
              <w:rPr>
                <w:rFonts w:ascii="Courier New" w:hAnsi="Courier New"/>
                <w:sz w:val="16"/>
              </w:rPr>
              <w:t>abs(Amount) &gt; $500</w:t>
            </w:r>
            <w:r>
              <w:rPr>
                <w:sz w:val="17"/>
              </w:rPr>
              <w:t xml:space="preserve"> and the count of months with a positive concession amount exceeds </w:t>
            </w:r>
            <w:r>
              <w:rPr>
                <w:rFonts w:ascii="Courier New" w:hAnsi="Courier New"/>
                <w:sz w:val="16"/>
              </w:rPr>
              <w:t>2</w:t>
            </w:r>
            <w:r>
              <w:rPr>
                <w:sz w:val="17"/>
              </w:rPr>
              <w:t xml:space="preserve"> (</w:t>
            </w:r>
            <w:r>
              <w:rPr>
                <w:rFonts w:ascii="Courier New" w:hAnsi="Courier New"/>
                <w:sz w:val="16"/>
              </w:rPr>
              <w:t>CONCESSION_HIGH_MONTHS</w:t>
            </w:r>
            <w:r>
              <w:rPr>
                <w:sz w:val="17"/>
              </w:rPr>
              <w:t>) shall be flagged. This detects multi-month concession arrangements that require documented lease addenda. Risk: HIGH.</w:t>
            </w:r>
          </w:p>
        </w:tc>
        <w:tc>
          <w:tcPr>
            <w:tcW w:type="dxa" w:w="1152"/>
          </w:tcPr>
          <w:p>
            <w:pPr>
              <w:spacing w:before="40" w:after="40"/>
            </w:pPr>
            <w:r/>
            <w:r>
              <w:rPr>
                <w:sz w:val="17"/>
              </w:rPr>
              <w:t>Error</w:t>
            </w:r>
          </w:p>
        </w:tc>
        <w:tc>
          <w:tcPr>
            <w:tcW w:type="dxa" w:w="2808"/>
          </w:tcPr>
          <w:p>
            <w:pPr>
              <w:spacing w:before="40" w:after="40"/>
            </w:pPr>
            <w:r/>
            <w:r>
              <w:rPr>
                <w:sz w:val="17"/>
              </w:rPr>
              <w:t xml:space="preserve">Transaction Projection concession row spanning &gt; 2 months; </w:t>
            </w:r>
            <w:r>
              <w:rPr>
                <w:rFonts w:ascii="Courier New" w:hAnsi="Courier New"/>
                <w:sz w:val="16"/>
              </w:rPr>
              <w:t>abs(Amount) &gt; 500</w:t>
            </w:r>
          </w:p>
        </w:tc>
      </w:tr>
    </w:tbl>
    <w:p/>
    <w:p>
      <w:pPr>
        <w:pStyle w:val="Heading2"/>
      </w:pPr>
      <w:r>
        <w:rPr>
          <w:color w:val="2E74B5"/>
        </w:rPr>
        <w:t>6.4 Daniel's Engine — Stage 1B: NER (Net Effective Rent) Engine</w:t>
      </w:r>
    </w:p>
    <w:tbl>
      <w:tblPr>
        <w:tblStyle w:val="TableGrid"/>
        <w:tblW w:type="auto" w:w="0"/>
        <w:tblLook w:firstColumn="1" w:firstRow="1" w:lastColumn="0" w:lastRow="0" w:noHBand="0" w:noVBand="1" w:val="04A0"/>
      </w:tblPr>
      <w:tblGrid>
        <w:gridCol w:w="2250"/>
        <w:gridCol w:w="2250"/>
        <w:gridCol w:w="2250"/>
        <w:gridCol w:w="2250"/>
      </w:tblGrid>
      <w:tr>
        <w:tc>
          <w:tcPr>
            <w:tcW w:type="dxa" w:w="864"/>
            <w:shd w:val="clear" w:color="auto" w:fill="1F4E79"/>
          </w:tcPr>
          <w:p>
            <w:pPr>
              <w:spacing w:before="60" w:after="60"/>
              <w:jc w:val="center"/>
            </w:pPr>
            <w:r/>
            <w:r>
              <w:rPr>
                <w:b/>
                <w:color w:val="FFFFFF"/>
                <w:sz w:val="18"/>
              </w:rPr>
              <w:t>ID</w:t>
            </w:r>
          </w:p>
        </w:tc>
        <w:tc>
          <w:tcPr>
            <w:tcW w:type="dxa" w:w="4104"/>
            <w:shd w:val="clear" w:color="auto" w:fill="1F4E79"/>
          </w:tcPr>
          <w:p>
            <w:pPr>
              <w:spacing w:before="60" w:after="60"/>
              <w:jc w:val="center"/>
            </w:pPr>
            <w:r/>
            <w:r>
              <w:rPr>
                <w:b/>
                <w:color w:val="FFFFFF"/>
                <w:sz w:val="18"/>
              </w:rPr>
              <w:t>Rule</w:t>
            </w:r>
          </w:p>
        </w:tc>
        <w:tc>
          <w:tcPr>
            <w:tcW w:type="dxa" w:w="1152"/>
            <w:shd w:val="clear" w:color="auto" w:fill="1F4E79"/>
          </w:tcPr>
          <w:p>
            <w:pPr>
              <w:spacing w:before="60" w:after="60"/>
              <w:jc w:val="center"/>
            </w:pPr>
            <w:r/>
            <w:r>
              <w:rPr>
                <w:b/>
                <w:color w:val="FFFFFF"/>
                <w:sz w:val="18"/>
              </w:rPr>
              <w:t>Severity</w:t>
            </w:r>
          </w:p>
        </w:tc>
        <w:tc>
          <w:tcPr>
            <w:tcW w:type="dxa" w:w="2808"/>
            <w:shd w:val="clear" w:color="auto" w:fill="1F4E79"/>
          </w:tcPr>
          <w:p>
            <w:pPr>
              <w:spacing w:before="60" w:after="60"/>
              <w:jc w:val="center"/>
            </w:pPr>
            <w:r/>
            <w:r>
              <w:rPr>
                <w:b/>
                <w:color w:val="FFFFFF"/>
                <w:sz w:val="18"/>
              </w:rPr>
              <w:t>Requires</w:t>
            </w:r>
          </w:p>
        </w:tc>
      </w:tr>
      <w:tr>
        <w:tc>
          <w:tcPr>
            <w:tcW w:type="dxa" w:w="864"/>
          </w:tcPr>
          <w:p>
            <w:pPr>
              <w:spacing w:before="40" w:after="40"/>
            </w:pPr>
            <w:r/>
            <w:r>
              <w:rPr>
                <w:sz w:val="17"/>
              </w:rPr>
              <w:t>BR-38</w:t>
            </w:r>
          </w:p>
        </w:tc>
        <w:tc>
          <w:tcPr>
            <w:tcW w:type="dxa" w:w="4104"/>
          </w:tcPr>
          <w:p>
            <w:pPr>
              <w:spacing w:before="40" w:after="40"/>
            </w:pPr>
            <w:r/>
            <w:r>
              <w:rPr>
                <w:b/>
                <w:sz w:val="17"/>
              </w:rPr>
              <w:t>NER Engine Activation Guard:</w:t>
            </w:r>
            <w:r>
              <w:rPr>
                <w:sz w:val="17"/>
              </w:rPr>
              <w:t xml:space="preserve"> The NER engine executes only when the multi-month projection DataFrame (</w:t>
            </w:r>
            <w:r>
              <w:rPr>
                <w:rFonts w:ascii="Courier New" w:hAnsi="Courier New"/>
                <w:sz w:val="16"/>
              </w:rPr>
              <w:t>df_proj_full</w:t>
            </w:r>
            <w:r>
              <w:rPr>
                <w:sz w:val="17"/>
              </w:rPr>
              <w:t>) is non-empty. If it is empty, all Stage 1B checks are silently skipped.</w:t>
            </w:r>
          </w:p>
        </w:tc>
        <w:tc>
          <w:tcPr>
            <w:tcW w:type="dxa" w:w="1152"/>
          </w:tcPr>
          <w:p>
            <w:pPr>
              <w:spacing w:before="40" w:after="40"/>
            </w:pPr>
            <w:r/>
            <w:r>
              <w:rPr>
                <w:sz w:val="17"/>
              </w:rPr>
              <w:t>Warning</w:t>
            </w:r>
          </w:p>
        </w:tc>
        <w:tc>
          <w:tcPr>
            <w:tcW w:type="dxa" w:w="2808"/>
          </w:tcPr>
          <w:p>
            <w:pPr>
              <w:spacing w:before="40" w:after="40"/>
            </w:pPr>
            <w:r/>
            <w:r>
              <w:rPr>
                <w:rFonts w:ascii="Courier New" w:hAnsi="Courier New"/>
                <w:sz w:val="16"/>
              </w:rPr>
              <w:t>df_proj_full</w:t>
            </w:r>
            <w:r>
              <w:rPr>
                <w:sz w:val="17"/>
              </w:rPr>
              <w:t xml:space="preserve"> non-empty; multi-month Transaction Projection CSVs present</w:t>
            </w:r>
          </w:p>
        </w:tc>
      </w:tr>
      <w:tr>
        <w:tc>
          <w:tcPr>
            <w:tcW w:type="dxa" w:w="864"/>
            <w:shd w:val="clear" w:color="auto" w:fill="D6E4F0"/>
          </w:tcPr>
          <w:p>
            <w:pPr>
              <w:spacing w:before="40" w:after="40"/>
            </w:pPr>
            <w:r/>
            <w:r>
              <w:rPr>
                <w:sz w:val="17"/>
              </w:rPr>
              <w:t>BR-39</w:t>
            </w:r>
          </w:p>
        </w:tc>
        <w:tc>
          <w:tcPr>
            <w:tcW w:type="dxa" w:w="4104"/>
            <w:shd w:val="clear" w:color="auto" w:fill="D6E4F0"/>
          </w:tcPr>
          <w:p>
            <w:pPr>
              <w:spacing w:before="40" w:after="40"/>
            </w:pPr>
            <w:r/>
            <w:r>
              <w:rPr>
                <w:b/>
                <w:sz w:val="17"/>
              </w:rPr>
              <w:t>Rent vs Concession Row Classification:</w:t>
            </w:r>
            <w:r>
              <w:rPr>
                <w:sz w:val="17"/>
              </w:rPr>
              <w:t xml:space="preserve"> Within the multi-month projection, a row is classified as a </w:t>
            </w:r>
            <w:r>
              <w:rPr>
                <w:b/>
                <w:sz w:val="17"/>
              </w:rPr>
              <w:t>rent row</w:t>
            </w:r>
            <w:r>
              <w:rPr>
                <w:sz w:val="17"/>
              </w:rPr>
              <w:t xml:space="preserve"> if its </w:t>
            </w:r>
            <w:r>
              <w:rPr>
                <w:rFonts w:ascii="Courier New" w:hAnsi="Courier New"/>
                <w:sz w:val="16"/>
              </w:rPr>
              <w:t>Category</w:t>
            </w:r>
            <w:r>
              <w:rPr>
                <w:sz w:val="17"/>
              </w:rPr>
              <w:t xml:space="preserve"> (lowercased) contains </w:t>
            </w:r>
            <w:r>
              <w:rPr>
                <w:rFonts w:ascii="Courier New" w:hAnsi="Courier New"/>
                <w:sz w:val="16"/>
              </w:rPr>
              <w:t>\brent\b</w:t>
            </w:r>
            <w:r>
              <w:rPr>
                <w:sz w:val="17"/>
              </w:rPr>
              <w:t xml:space="preserve"> via regex but does not contain </w:t>
            </w:r>
            <w:r>
              <w:rPr>
                <w:rFonts w:ascii="Courier New" w:hAnsi="Courier New"/>
                <w:sz w:val="16"/>
              </w:rPr>
              <w:t>"concession"</w:t>
            </w:r>
            <w:r>
              <w:rPr>
                <w:sz w:val="17"/>
              </w:rPr>
              <w:t xml:space="preserve">. A row is classified as a </w:t>
            </w:r>
            <w:r>
              <w:rPr>
                <w:b/>
                <w:sz w:val="17"/>
              </w:rPr>
              <w:t>concession row</w:t>
            </w:r>
            <w:r>
              <w:rPr>
                <w:sz w:val="17"/>
              </w:rPr>
              <w:t xml:space="preserve"> if its </w:t>
            </w:r>
            <w:r>
              <w:rPr>
                <w:rFonts w:ascii="Courier New" w:hAnsi="Courier New"/>
                <w:sz w:val="16"/>
              </w:rPr>
              <w:t>Category</w:t>
            </w:r>
            <w:r>
              <w:rPr>
                <w:sz w:val="17"/>
              </w:rPr>
              <w:t xml:space="preserve"> contains any concession keyword. A row may not qualify for both classifications.</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Multi-month projection with clearly labeled Category values</w:t>
            </w:r>
          </w:p>
        </w:tc>
      </w:tr>
      <w:tr>
        <w:tc>
          <w:tcPr>
            <w:tcW w:type="dxa" w:w="864"/>
          </w:tcPr>
          <w:p>
            <w:pPr>
              <w:spacing w:before="40" w:after="40"/>
            </w:pPr>
            <w:r/>
            <w:r>
              <w:rPr>
                <w:sz w:val="17"/>
              </w:rPr>
              <w:t>BR-40</w:t>
            </w:r>
          </w:p>
        </w:tc>
        <w:tc>
          <w:tcPr>
            <w:tcW w:type="dxa" w:w="4104"/>
          </w:tcPr>
          <w:p>
            <w:pPr>
              <w:spacing w:before="40" w:after="40"/>
            </w:pPr>
            <w:r/>
            <w:r>
              <w:rPr>
                <w:b/>
                <w:sz w:val="17"/>
              </w:rPr>
              <w:t>NER Floor — Hardcoded Priority:</w:t>
            </w:r>
            <w:r>
              <w:rPr>
                <w:sz w:val="17"/>
              </w:rPr>
              <w:t xml:space="preserve"> The NER floor for a </w:t>
            </w:r>
            <w:r>
              <w:rPr>
                <w:rFonts w:ascii="Courier New" w:hAnsi="Courier New"/>
                <w:sz w:val="16"/>
              </w:rPr>
              <w:t>(Property, bedroom_type)</w:t>
            </w:r>
            <w:r>
              <w:rPr>
                <w:sz w:val="17"/>
              </w:rPr>
              <w:t xml:space="preserve"> pair is resolved first from </w:t>
            </w:r>
            <w:r>
              <w:rPr>
                <w:rFonts w:ascii="Courier New" w:hAnsi="Courier New"/>
                <w:sz w:val="16"/>
              </w:rPr>
              <w:t>PROPERTY_NER_FLOORS</w:t>
            </w:r>
            <w:r>
              <w:rPr>
                <w:sz w:val="17"/>
              </w:rPr>
              <w:t xml:space="preserve">. If the value found is not </w:t>
            </w:r>
            <w:r>
              <w:rPr>
                <w:rFonts w:ascii="Courier New" w:hAnsi="Courier New"/>
                <w:sz w:val="16"/>
              </w:rPr>
              <w:t>None</w:t>
            </w:r>
            <w:r>
              <w:rPr>
                <w:sz w:val="17"/>
              </w:rPr>
              <w:t>, it is used directly as the floor. Hardcoded floors: Parks on Taylor 1BR = $799, 2BR = $899; Highland Park 1BR = $799, 2BR = $999; Valencia Plaza 1BR = $999.</w:t>
            </w:r>
          </w:p>
        </w:tc>
        <w:tc>
          <w:tcPr>
            <w:tcW w:type="dxa" w:w="1152"/>
          </w:tcPr>
          <w:p>
            <w:pPr>
              <w:spacing w:before="40" w:after="40"/>
            </w:pPr>
            <w:r/>
            <w:r>
              <w:rPr>
                <w:sz w:val="17"/>
              </w:rPr>
              <w:t>Error</w:t>
            </w:r>
          </w:p>
        </w:tc>
        <w:tc>
          <w:tcPr>
            <w:tcW w:type="dxa" w:w="2808"/>
          </w:tcPr>
          <w:p>
            <w:pPr>
              <w:spacing w:before="40" w:after="40"/>
            </w:pPr>
            <w:r/>
            <w:r>
              <w:rPr>
                <w:rFonts w:ascii="Courier New" w:hAnsi="Courier New"/>
                <w:sz w:val="16"/>
              </w:rPr>
              <w:t>PROPERTY_NER_FLOORS</w:t>
            </w:r>
            <w:r>
              <w:rPr>
                <w:sz w:val="17"/>
              </w:rPr>
              <w:t xml:space="preserve"> constant; bedroom type derivable from </w:t>
            </w:r>
            <w:r>
              <w:rPr>
                <w:rFonts w:ascii="Courier New" w:hAnsi="Courier New"/>
                <w:sz w:val="16"/>
              </w:rPr>
              <w:t>Unit_Type</w:t>
            </w:r>
          </w:p>
        </w:tc>
      </w:tr>
      <w:tr>
        <w:tc>
          <w:tcPr>
            <w:tcW w:type="dxa" w:w="864"/>
            <w:shd w:val="clear" w:color="auto" w:fill="D6E4F0"/>
          </w:tcPr>
          <w:p>
            <w:pPr>
              <w:spacing w:before="40" w:after="40"/>
            </w:pPr>
            <w:r/>
            <w:r>
              <w:rPr>
                <w:sz w:val="17"/>
              </w:rPr>
              <w:t>BR-41</w:t>
            </w:r>
          </w:p>
        </w:tc>
        <w:tc>
          <w:tcPr>
            <w:tcW w:type="dxa" w:w="4104"/>
            <w:shd w:val="clear" w:color="auto" w:fill="D6E4F0"/>
          </w:tcPr>
          <w:p>
            <w:pPr>
              <w:spacing w:before="40" w:after="40"/>
            </w:pPr>
            <w:r/>
            <w:r>
              <w:rPr>
                <w:b/>
                <w:sz w:val="17"/>
              </w:rPr>
              <w:t>NER Floor — Dynamic Market-Relative Computation:</w:t>
            </w:r>
            <w:r>
              <w:rPr>
                <w:sz w:val="17"/>
              </w:rPr>
              <w:t xml:space="preserve"> If </w:t>
            </w:r>
            <w:r>
              <w:rPr>
                <w:rFonts w:ascii="Courier New" w:hAnsi="Courier New"/>
                <w:sz w:val="16"/>
              </w:rPr>
              <w:t>PROPERTY_NER_FLOORS[property][bedroom_type]</w:t>
            </w:r>
            <w:r>
              <w:rPr>
                <w:sz w:val="17"/>
              </w:rPr>
              <w:t xml:space="preserve"> is </w:t>
            </w:r>
            <w:r>
              <w:rPr>
                <w:rFonts w:ascii="Courier New" w:hAnsi="Courier New"/>
                <w:sz w:val="16"/>
              </w:rPr>
              <w:t>None</w:t>
            </w:r>
            <w:r>
              <w:rPr>
                <w:sz w:val="17"/>
              </w:rPr>
              <w:t xml:space="preserve">, the system checks </w:t>
            </w:r>
            <w:r>
              <w:rPr>
                <w:rFonts w:ascii="Courier New" w:hAnsi="Courier New"/>
                <w:sz w:val="16"/>
              </w:rPr>
              <w:t>PROPERTY_NER_DISCOUNT</w:t>
            </w:r>
            <w:r>
              <w:rPr>
                <w:sz w:val="17"/>
              </w:rPr>
              <w:t xml:space="preserve"> for the property. If a discount exists, the system looks up the unit's total market rent in the Market Rent Schedule dictionary (</w:t>
            </w:r>
            <w:r>
              <w:rPr>
                <w:rFonts w:ascii="Courier New" w:hAnsi="Courier New"/>
                <w:sz w:val="16"/>
              </w:rPr>
              <w:t>(property, unit)</w:t>
            </w:r>
            <w:r>
              <w:rPr>
                <w:sz w:val="17"/>
              </w:rPr>
              <w:t xml:space="preserve"> key). If found and </w:t>
            </w:r>
            <w:r>
              <w:rPr>
                <w:rFonts w:ascii="Courier New" w:hAnsi="Courier New"/>
                <w:sz w:val="16"/>
              </w:rPr>
              <w:t>&gt; 0</w:t>
            </w:r>
            <w:r>
              <w:rPr>
                <w:sz w:val="17"/>
              </w:rPr>
              <w:t xml:space="preserve">, the floor is computed as </w:t>
            </w:r>
            <w:r>
              <w:rPr>
                <w:rFonts w:ascii="Courier New" w:hAnsi="Courier New"/>
                <w:sz w:val="16"/>
              </w:rPr>
              <w:t>market_rent - discount</w:t>
            </w:r>
            <w:r>
              <w:rPr>
                <w:sz w:val="17"/>
              </w:rPr>
              <w:t>. Dynamic floors: Village Green = market − $300; Crossings at Irving = market − $100; La Prada = market − $100. Western Station has no applicable rule (floor varies by floorplan) and is skipped.</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rFonts w:ascii="Courier New" w:hAnsi="Courier New"/>
                <w:sz w:val="16"/>
              </w:rPr>
              <w:t>PROPERTY_NER_DISCOUNT</w:t>
            </w:r>
            <w:r>
              <w:rPr>
                <w:sz w:val="17"/>
              </w:rPr>
              <w:t xml:space="preserve"> constant; Market Rent Schedule loaded with entry for </w:t>
            </w:r>
            <w:r>
              <w:rPr>
                <w:rFonts w:ascii="Courier New" w:hAnsi="Courier New"/>
                <w:sz w:val="16"/>
              </w:rPr>
              <w:t>(property, unit)</w:t>
            </w:r>
          </w:p>
        </w:tc>
      </w:tr>
      <w:tr>
        <w:tc>
          <w:tcPr>
            <w:tcW w:type="dxa" w:w="864"/>
          </w:tcPr>
          <w:p>
            <w:pPr>
              <w:spacing w:before="40" w:after="40"/>
            </w:pPr>
            <w:r/>
            <w:r>
              <w:rPr>
                <w:sz w:val="17"/>
              </w:rPr>
              <w:t>BR-42</w:t>
            </w:r>
          </w:p>
        </w:tc>
        <w:tc>
          <w:tcPr>
            <w:tcW w:type="dxa" w:w="4104"/>
          </w:tcPr>
          <w:p>
            <w:pPr>
              <w:spacing w:before="40" w:after="40"/>
            </w:pPr>
            <w:r/>
            <w:r>
              <w:rPr>
                <w:b/>
                <w:sz w:val="17"/>
              </w:rPr>
              <w:t>Bedroom Type Derivation:</w:t>
            </w:r>
            <w:r>
              <w:rPr>
                <w:sz w:val="17"/>
              </w:rPr>
              <w:t xml:space="preserve"> A unit type code is mapped to a bedroom label (</w:t>
            </w:r>
            <w:r>
              <w:rPr>
                <w:rFonts w:ascii="Courier New" w:hAnsi="Courier New"/>
                <w:sz w:val="16"/>
              </w:rPr>
              <w:t>1BR</w:t>
            </w:r>
            <w:r>
              <w:rPr>
                <w:sz w:val="17"/>
              </w:rPr>
              <w:t xml:space="preserve">, </w:t>
            </w:r>
            <w:r>
              <w:rPr>
                <w:rFonts w:ascii="Courier New" w:hAnsi="Courier New"/>
                <w:sz w:val="16"/>
              </w:rPr>
              <w:t>2BR</w:t>
            </w:r>
            <w:r>
              <w:rPr>
                <w:sz w:val="17"/>
              </w:rPr>
              <w:t xml:space="preserve">, </w:t>
            </w:r>
            <w:r>
              <w:rPr>
                <w:rFonts w:ascii="Courier New" w:hAnsi="Courier New"/>
                <w:sz w:val="16"/>
              </w:rPr>
              <w:t>3BR</w:t>
            </w:r>
            <w:r>
              <w:rPr>
                <w:sz w:val="17"/>
              </w:rPr>
              <w:t xml:space="preserve">) using two sequential checks: (1) if any numeric digit in the code is </w:t>
            </w:r>
            <w:r>
              <w:rPr>
                <w:rFonts w:ascii="Courier New" w:hAnsi="Courier New"/>
                <w:sz w:val="16"/>
              </w:rPr>
              <w:t>≥ 3</w:t>
            </w:r>
            <w:r>
              <w:rPr>
                <w:sz w:val="17"/>
              </w:rPr>
              <w:t xml:space="preserve">, classify as </w:t>
            </w:r>
            <w:r>
              <w:rPr>
                <w:rFonts w:ascii="Courier New" w:hAnsi="Courier New"/>
                <w:sz w:val="16"/>
              </w:rPr>
              <w:t>3BR</w:t>
            </w:r>
            <w:r>
              <w:rPr>
                <w:sz w:val="17"/>
              </w:rPr>
              <w:t xml:space="preserve">; (2) use the first letter of the code: </w:t>
            </w:r>
            <w:r>
              <w:rPr>
                <w:rFonts w:ascii="Courier New" w:hAnsi="Courier New"/>
                <w:sz w:val="16"/>
              </w:rPr>
              <w:t>A</w:t>
            </w:r>
            <w:r>
              <w:rPr>
                <w:sz w:val="17"/>
              </w:rPr>
              <w:t xml:space="preserve"> → </w:t>
            </w:r>
            <w:r>
              <w:rPr>
                <w:rFonts w:ascii="Courier New" w:hAnsi="Courier New"/>
                <w:sz w:val="16"/>
              </w:rPr>
              <w:t>1BR</w:t>
            </w:r>
            <w:r>
              <w:rPr>
                <w:sz w:val="17"/>
              </w:rPr>
              <w:t xml:space="preserve">, </w:t>
            </w:r>
            <w:r>
              <w:rPr>
                <w:rFonts w:ascii="Courier New" w:hAnsi="Courier New"/>
                <w:sz w:val="16"/>
              </w:rPr>
              <w:t>B</w:t>
            </w:r>
            <w:r>
              <w:rPr>
                <w:sz w:val="17"/>
              </w:rPr>
              <w:t xml:space="preserve"> → </w:t>
            </w:r>
            <w:r>
              <w:rPr>
                <w:rFonts w:ascii="Courier New" w:hAnsi="Courier New"/>
                <w:sz w:val="16"/>
              </w:rPr>
              <w:t>2BR</w:t>
            </w:r>
            <w:r>
              <w:rPr>
                <w:sz w:val="17"/>
              </w:rPr>
              <w:t xml:space="preserve">, </w:t>
            </w:r>
            <w:r>
              <w:rPr>
                <w:rFonts w:ascii="Courier New" w:hAnsi="Courier New"/>
                <w:sz w:val="16"/>
              </w:rPr>
              <w:t>C</w:t>
            </w:r>
            <w:r>
              <w:rPr>
                <w:sz w:val="17"/>
              </w:rPr>
              <w:t>/</w:t>
            </w:r>
            <w:r>
              <w:rPr>
                <w:rFonts w:ascii="Courier New" w:hAnsi="Courier New"/>
                <w:sz w:val="16"/>
              </w:rPr>
              <w:t>D</w:t>
            </w:r>
            <w:r>
              <w:rPr>
                <w:sz w:val="17"/>
              </w:rPr>
              <w:t xml:space="preserve"> → </w:t>
            </w:r>
            <w:r>
              <w:rPr>
                <w:rFonts w:ascii="Courier New" w:hAnsi="Courier New"/>
                <w:sz w:val="16"/>
              </w:rPr>
              <w:t>3BR</w:t>
            </w:r>
            <w:r>
              <w:rPr>
                <w:sz w:val="17"/>
              </w:rPr>
              <w:t xml:space="preserve">. Any code not matching these patterns returns </w:t>
            </w:r>
            <w:r>
              <w:rPr>
                <w:rFonts w:ascii="Courier New" w:hAnsi="Courier New"/>
                <w:sz w:val="16"/>
              </w:rPr>
              <w:t>"Unknown"</w:t>
            </w:r>
            <w:r>
              <w:rPr>
                <w:sz w:val="17"/>
              </w:rPr>
              <w:t xml:space="preserve"> and the NER floor lookup will yield </w:t>
            </w:r>
            <w:r>
              <w:rPr>
                <w:rFonts w:ascii="Courier New" w:hAnsi="Courier New"/>
                <w:sz w:val="16"/>
              </w:rPr>
              <w:t>None</w:t>
            </w:r>
            <w:r>
              <w:rPr>
                <w:sz w:val="17"/>
              </w:rPr>
              <w:t xml:space="preserve"> (no NER check performed).</w:t>
            </w:r>
          </w:p>
        </w:tc>
        <w:tc>
          <w:tcPr>
            <w:tcW w:type="dxa" w:w="1152"/>
          </w:tcPr>
          <w:p>
            <w:pPr>
              <w:spacing w:before="40" w:after="40"/>
            </w:pPr>
            <w:r/>
            <w:r>
              <w:rPr>
                <w:sz w:val="17"/>
              </w:rPr>
              <w:t>Warning</w:t>
            </w:r>
          </w:p>
        </w:tc>
        <w:tc>
          <w:tcPr>
            <w:tcW w:type="dxa" w:w="2808"/>
          </w:tcPr>
          <w:p>
            <w:pPr>
              <w:spacing w:before="40" w:after="40"/>
            </w:pPr>
            <w:r/>
            <w:r>
              <w:rPr>
                <w:rFonts w:ascii="Courier New" w:hAnsi="Courier New"/>
                <w:sz w:val="16"/>
              </w:rPr>
              <w:t>Unit_Type</w:t>
            </w:r>
            <w:r>
              <w:rPr>
                <w:sz w:val="17"/>
              </w:rPr>
              <w:t xml:space="preserve"> value present in Transaction Projection row</w:t>
            </w:r>
          </w:p>
        </w:tc>
      </w:tr>
      <w:tr>
        <w:tc>
          <w:tcPr>
            <w:tcW w:type="dxa" w:w="864"/>
            <w:shd w:val="clear" w:color="auto" w:fill="D6E4F0"/>
          </w:tcPr>
          <w:p>
            <w:pPr>
              <w:spacing w:before="40" w:after="40"/>
            </w:pPr>
            <w:r/>
            <w:r>
              <w:rPr>
                <w:sz w:val="17"/>
              </w:rPr>
              <w:t>BR-43</w:t>
            </w:r>
          </w:p>
        </w:tc>
        <w:tc>
          <w:tcPr>
            <w:tcW w:type="dxa" w:w="4104"/>
            <w:shd w:val="clear" w:color="auto" w:fill="D6E4F0"/>
          </w:tcPr>
          <w:p>
            <w:pPr>
              <w:spacing w:before="40" w:after="40"/>
            </w:pPr>
            <w:r/>
            <w:r>
              <w:rPr>
                <w:b/>
                <w:sz w:val="17"/>
              </w:rPr>
              <w:t>Full Rent Recurring Offset — CRITICAL:</w:t>
            </w:r>
            <w:r>
              <w:rPr>
                <w:sz w:val="17"/>
              </w:rPr>
              <w:t xml:space="preserve"> For a given unit and month, the </w:t>
            </w:r>
            <w:r>
              <w:rPr>
                <w:b/>
                <w:sz w:val="17"/>
              </w:rPr>
              <w:t>Net Effective Rent</w:t>
            </w:r>
            <w:r>
              <w:rPr>
                <w:sz w:val="17"/>
              </w:rPr>
              <w:t xml:space="preserve"> is computed as </w:t>
            </w:r>
            <w:r>
              <w:rPr>
                <w:rFonts w:ascii="Courier New" w:hAnsi="Courier New"/>
                <w:sz w:val="16"/>
              </w:rPr>
              <w:t>rent_by_month + conc_by_month</w:t>
            </w:r>
            <w:r>
              <w:rPr>
                <w:sz w:val="17"/>
              </w:rPr>
              <w:t xml:space="preserve"> (concession stored negative → NER = rent −</w:t>
            </w:r>
          </w:p>
        </w:tc>
        <w:tc>
          <w:tcPr>
            <w:tcW w:type="dxa" w:w="1152"/>
            <w:shd w:val="clear" w:color="auto" w:fill="D6E4F0"/>
          </w:tcPr>
          <w:p>
            <w:pPr>
              <w:spacing w:before="40" w:after="40"/>
            </w:pPr>
            <w:r/>
            <w:r>
              <w:rPr>
                <w:sz w:val="17"/>
              </w:rPr>
              <w:t>concession</w:t>
            </w:r>
          </w:p>
        </w:tc>
        <w:tc>
          <w:tcPr>
            <w:tcW w:type="dxa" w:w="2808"/>
            <w:shd w:val="clear" w:color="auto" w:fill="D6E4F0"/>
          </w:tcPr>
          <w:p>
            <w:pPr>
              <w:spacing w:before="40" w:after="40"/>
            </w:pPr>
            <w:r/>
            <w:r>
              <w:rPr>
                <w:sz w:val="17"/>
              </w:rPr>
              <w:t xml:space="preserve">). If </w:t>
            </w:r>
            <w:r>
              <w:rPr>
                <w:rFonts w:ascii="Courier New" w:hAnsi="Courier New"/>
                <w:sz w:val="16"/>
              </w:rPr>
              <w:t>abs(NER) &lt; $1.00</w:t>
            </w:r>
            <w:r>
              <w:rPr>
                <w:sz w:val="17"/>
              </w:rPr>
              <w:t xml:space="preserve"> (net rent is effectively zero), that month is classified as a full-offset month. If </w:t>
            </w:r>
            <w:r>
              <w:rPr>
                <w:b/>
                <w:sz w:val="17"/>
              </w:rPr>
              <w:t>2 or more</w:t>
            </w:r>
            <w:r>
              <w:rPr>
                <w:sz w:val="17"/>
              </w:rPr>
              <w:t xml:space="preserve"> full-offset months exist across the projection, the unit receives a </w:t>
            </w:r>
            <w:r>
              <w:rPr>
                <w:rFonts w:ascii="Courier New" w:hAnsi="Courier New"/>
                <w:sz w:val="16"/>
              </w:rPr>
              <w:t>Full Rent Recurring Offset</w:t>
            </w:r>
            <w:r>
              <w:rPr>
                <w:sz w:val="17"/>
              </w:rPr>
              <w:t xml:space="preserve"> flag. </w:t>
            </w:r>
            <w:r>
              <w:rPr>
                <w:rFonts w:ascii="Courier New" w:hAnsi="Courier New"/>
                <w:sz w:val="16"/>
              </w:rPr>
              <w:t>Amount_Impact = rent_amount × number_of_full_offset_months</w:t>
            </w:r>
            <w:r>
              <w:rPr>
                <w:sz w:val="17"/>
              </w:rPr>
              <w:t>. Risk: CRITICAL.</w:t>
            </w:r>
          </w:p>
        </w:tc>
      </w:tr>
      <w:tr>
        <w:tc>
          <w:tcPr>
            <w:tcW w:type="dxa" w:w="864"/>
          </w:tcPr>
          <w:p>
            <w:pPr>
              <w:spacing w:before="40" w:after="40"/>
            </w:pPr>
            <w:r/>
            <w:r>
              <w:rPr>
                <w:sz w:val="17"/>
              </w:rPr>
              <w:t>BR-44</w:t>
            </w:r>
          </w:p>
        </w:tc>
        <w:tc>
          <w:tcPr>
            <w:tcW w:type="dxa" w:w="4104"/>
          </w:tcPr>
          <w:p>
            <w:pPr>
              <w:spacing w:before="40" w:after="40"/>
            </w:pPr>
            <w:r/>
            <w:r>
              <w:rPr>
                <w:b/>
                <w:sz w:val="17"/>
              </w:rPr>
              <w:t>Future Month Full Offset — HIGH:</w:t>
            </w:r>
            <w:r>
              <w:rPr>
                <w:sz w:val="17"/>
              </w:rPr>
              <w:t xml:space="preserve"> If exactly </w:t>
            </w:r>
            <w:r>
              <w:rPr>
                <w:b/>
                <w:sz w:val="17"/>
              </w:rPr>
              <w:t>1</w:t>
            </w:r>
            <w:r>
              <w:rPr>
                <w:sz w:val="17"/>
              </w:rPr>
              <w:t xml:space="preserve"> full-offset month exists for a unit, the unit receives a </w:t>
            </w:r>
            <w:r>
              <w:rPr>
                <w:rFonts w:ascii="Courier New" w:hAnsi="Courier New"/>
                <w:sz w:val="16"/>
              </w:rPr>
              <w:t>Future Month Full Offset</w:t>
            </w:r>
            <w:r>
              <w:rPr>
                <w:sz w:val="17"/>
              </w:rPr>
              <w:t xml:space="preserve"> flag. </w:t>
            </w:r>
            <w:r>
              <w:rPr>
                <w:rFonts w:ascii="Courier New" w:hAnsi="Courier New"/>
                <w:sz w:val="16"/>
              </w:rPr>
              <w:t>Amount_Impact = $0.00</w:t>
            </w:r>
            <w:r>
              <w:rPr>
                <w:sz w:val="17"/>
              </w:rPr>
              <w:t xml:space="preserve"> (the financial event has not yet materialized). The detail message distinguishes between the case where the zero-NER month is the current </w:t>
            </w:r>
            <w:r>
              <w:rPr>
                <w:rFonts w:ascii="Courier New" w:hAnsi="Courier New"/>
                <w:sz w:val="16"/>
              </w:rPr>
              <w:t>AUDIT_MONTH</w:t>
            </w:r>
            <w:r>
              <w:rPr>
                <w:sz w:val="17"/>
              </w:rPr>
              <w:t xml:space="preserve"> (described as "current audit month — verify addendum") and the case where it is a future month (described as "upcoming month — confirm addendum before it posts"). Risk: HIGH.</w:t>
            </w:r>
          </w:p>
        </w:tc>
        <w:tc>
          <w:tcPr>
            <w:tcW w:type="dxa" w:w="1152"/>
          </w:tcPr>
          <w:p>
            <w:pPr>
              <w:spacing w:before="40" w:after="40"/>
            </w:pPr>
            <w:r/>
            <w:r>
              <w:rPr>
                <w:sz w:val="17"/>
              </w:rPr>
              <w:t>Warning</w:t>
            </w:r>
          </w:p>
        </w:tc>
        <w:tc>
          <w:tcPr>
            <w:tcW w:type="dxa" w:w="2808"/>
          </w:tcPr>
          <w:p>
            <w:pPr>
              <w:spacing w:before="40" w:after="40"/>
            </w:pPr>
            <w:r/>
            <w:r>
              <w:rPr>
                <w:sz w:val="17"/>
              </w:rPr>
              <w:t xml:space="preserve">Multi-month projection; exactly 1 month where </w:t>
            </w:r>
            <w:r>
              <w:rPr>
                <w:rFonts w:ascii="Courier New" w:hAnsi="Courier New"/>
                <w:sz w:val="16"/>
              </w:rPr>
              <w:t>abs(rent + concession) &lt; 1.00</w:t>
            </w:r>
          </w:p>
        </w:tc>
      </w:tr>
      <w:tr>
        <w:tc>
          <w:tcPr>
            <w:tcW w:type="dxa" w:w="864"/>
            <w:shd w:val="clear" w:color="auto" w:fill="D6E4F0"/>
          </w:tcPr>
          <w:p>
            <w:pPr>
              <w:spacing w:before="40" w:after="40"/>
            </w:pPr>
            <w:r/>
            <w:r>
              <w:rPr>
                <w:sz w:val="17"/>
              </w:rPr>
              <w:t>BR-45</w:t>
            </w:r>
          </w:p>
        </w:tc>
        <w:tc>
          <w:tcPr>
            <w:tcW w:type="dxa" w:w="4104"/>
            <w:shd w:val="clear" w:color="auto" w:fill="D6E4F0"/>
          </w:tcPr>
          <w:p>
            <w:pPr>
              <w:spacing w:before="40" w:after="40"/>
            </w:pPr>
            <w:r/>
            <w:r>
              <w:rPr>
                <w:b/>
                <w:sz w:val="17"/>
              </w:rPr>
              <w:t>NER Proration Guard:</w:t>
            </w:r>
            <w:r>
              <w:rPr>
                <w:sz w:val="17"/>
              </w:rPr>
              <w:t xml:space="preserve"> Before applying NER floor checks for the current audit month, the system retrieves the unit's </w:t>
            </w:r>
            <w:r>
              <w:rPr>
                <w:rFonts w:ascii="Courier New" w:hAnsi="Courier New"/>
                <w:sz w:val="16"/>
              </w:rPr>
              <w:t>Market_Rent</w:t>
            </w:r>
            <w:r>
              <w:rPr>
                <w:sz w:val="17"/>
              </w:rPr>
              <w:t xml:space="preserve"> from the Rent Roll. If </w:t>
            </w:r>
            <w:r>
              <w:rPr>
                <w:rFonts w:ascii="Courier New" w:hAnsi="Courier New"/>
                <w:sz w:val="16"/>
              </w:rPr>
              <w:t>market_rent &gt; 0</w:t>
            </w:r>
            <w:r>
              <w:rPr>
                <w:sz w:val="17"/>
              </w:rPr>
              <w:t xml:space="preserve"> AND </w:t>
            </w:r>
            <w:r>
              <w:rPr>
                <w:rFonts w:ascii="Courier New" w:hAnsi="Courier New"/>
                <w:sz w:val="16"/>
              </w:rPr>
              <w:t>rent_by_month[AUDIT_MONTH] &lt; market_rent × 0.50</w:t>
            </w:r>
            <w:r>
              <w:rPr>
                <w:sz w:val="17"/>
              </w:rPr>
              <w:t>, the NER check is skipped for that unit. A recurring rent below 50% of market rent is interpreted as a partial-month move-in or move-out proration, not a structural concession problem.</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 xml:space="preserve">Rent Roll </w:t>
            </w:r>
            <w:r>
              <w:rPr>
                <w:rFonts w:ascii="Courier New" w:hAnsi="Courier New"/>
                <w:sz w:val="16"/>
              </w:rPr>
              <w:t>Market_Rent</w:t>
            </w:r>
            <w:r>
              <w:rPr>
                <w:sz w:val="17"/>
              </w:rPr>
              <w:t xml:space="preserve"> &gt; 0; </w:t>
            </w:r>
            <w:r>
              <w:rPr>
                <w:rFonts w:ascii="Courier New" w:hAnsi="Courier New"/>
                <w:sz w:val="16"/>
              </w:rPr>
              <w:t>rent_by_month[AUDIT_MONTH]</w:t>
            </w:r>
            <w:r>
              <w:rPr>
                <w:sz w:val="17"/>
              </w:rPr>
              <w:t xml:space="preserve"> &lt; 50% of market rent</w:t>
            </w:r>
          </w:p>
        </w:tc>
      </w:tr>
      <w:tr>
        <w:tc>
          <w:tcPr>
            <w:tcW w:type="dxa" w:w="864"/>
          </w:tcPr>
          <w:p>
            <w:pPr>
              <w:spacing w:before="40" w:after="40"/>
            </w:pPr>
            <w:r/>
            <w:r>
              <w:rPr>
                <w:sz w:val="17"/>
              </w:rPr>
              <w:t>BR-46</w:t>
            </w:r>
          </w:p>
        </w:tc>
        <w:tc>
          <w:tcPr>
            <w:tcW w:type="dxa" w:w="4104"/>
          </w:tcPr>
          <w:p>
            <w:pPr>
              <w:spacing w:before="40" w:after="40"/>
            </w:pPr>
            <w:r/>
            <w:r>
              <w:rPr>
                <w:b/>
                <w:sz w:val="17"/>
              </w:rPr>
              <w:t>Double-Discount Setup — CRITICAL:</w:t>
            </w:r>
            <w:r>
              <w:rPr>
                <w:sz w:val="17"/>
              </w:rPr>
              <w:t xml:space="preserve"> For the current audit month, if (a) the unit's NER is below its floor, AND (b) the recurring rent is already below the Rent Roll market rent, AND (c) </w:t>
            </w:r>
            <w:r>
              <w:rPr>
                <w:rFonts w:ascii="Courier New" w:hAnsi="Courier New"/>
                <w:sz w:val="16"/>
              </w:rPr>
              <w:t>abs(concession) &gt; $1.00</w:t>
            </w:r>
            <w:r>
              <w:rPr>
                <w:sz w:val="17"/>
              </w:rPr>
              <w:t xml:space="preserve"> (a meaningful concession is also in place), the unit receives a </w:t>
            </w:r>
            <w:r>
              <w:rPr>
                <w:rFonts w:ascii="Courier New" w:hAnsi="Courier New"/>
                <w:sz w:val="16"/>
              </w:rPr>
              <w:t>Double-Discount Setup</w:t>
            </w:r>
            <w:r>
              <w:rPr>
                <w:sz w:val="17"/>
              </w:rPr>
              <w:t xml:space="preserve"> flag. </w:t>
            </w:r>
            <w:r>
              <w:rPr>
                <w:rFonts w:ascii="Courier New" w:hAnsi="Courier New"/>
                <w:sz w:val="16"/>
              </w:rPr>
              <w:t>Amount_Impact = floor − NER</w:t>
            </w:r>
            <w:r>
              <w:rPr>
                <w:sz w:val="17"/>
              </w:rPr>
              <w:t>. The detail shall state the market rent, recurring rent, concession, resulting NER, and floor, and instruct the reviewer to obtain VP authorization or correct the setup so NER ≥ floor. Risk: CRITICAL.</w:t>
            </w:r>
          </w:p>
        </w:tc>
        <w:tc>
          <w:tcPr>
            <w:tcW w:type="dxa" w:w="1152"/>
          </w:tcPr>
          <w:p>
            <w:pPr>
              <w:spacing w:before="40" w:after="40"/>
            </w:pPr>
            <w:r/>
            <w:r>
              <w:rPr>
                <w:sz w:val="17"/>
              </w:rPr>
              <w:t>Error</w:t>
            </w:r>
          </w:p>
        </w:tc>
        <w:tc>
          <w:tcPr>
            <w:tcW w:type="dxa" w:w="2808"/>
          </w:tcPr>
          <w:p>
            <w:pPr>
              <w:spacing w:before="40" w:after="40"/>
            </w:pPr>
            <w:r/>
            <w:r>
              <w:rPr>
                <w:sz w:val="17"/>
              </w:rPr>
              <w:t xml:space="preserve">NER &lt; floor; </w:t>
            </w:r>
            <w:r>
              <w:rPr>
                <w:rFonts w:ascii="Courier New" w:hAnsi="Courier New"/>
                <w:sz w:val="16"/>
              </w:rPr>
              <w:t>rent &lt; market_rent</w:t>
            </w:r>
            <w:r>
              <w:rPr>
                <w:sz w:val="17"/>
              </w:rPr>
              <w:t xml:space="preserve">; </w:t>
            </w:r>
            <w:r>
              <w:rPr>
                <w:rFonts w:ascii="Courier New" w:hAnsi="Courier New"/>
                <w:sz w:val="16"/>
              </w:rPr>
              <w:t>abs(conc) &gt; 1.00</w:t>
            </w:r>
            <w:r>
              <w:rPr>
                <w:sz w:val="17"/>
              </w:rPr>
              <w:t>; NER floor resolvable</w:t>
            </w:r>
          </w:p>
        </w:tc>
      </w:tr>
      <w:tr>
        <w:tc>
          <w:tcPr>
            <w:tcW w:type="dxa" w:w="864"/>
            <w:shd w:val="clear" w:color="auto" w:fill="D6E4F0"/>
          </w:tcPr>
          <w:p>
            <w:pPr>
              <w:spacing w:before="40" w:after="40"/>
            </w:pPr>
            <w:r/>
            <w:r>
              <w:rPr>
                <w:sz w:val="17"/>
              </w:rPr>
              <w:t>BR-47</w:t>
            </w:r>
          </w:p>
        </w:tc>
        <w:tc>
          <w:tcPr>
            <w:tcW w:type="dxa" w:w="4104"/>
            <w:shd w:val="clear" w:color="auto" w:fill="D6E4F0"/>
          </w:tcPr>
          <w:p>
            <w:pPr>
              <w:spacing w:before="40" w:after="40"/>
            </w:pPr>
            <w:r/>
            <w:r>
              <w:rPr>
                <w:b/>
                <w:sz w:val="17"/>
              </w:rPr>
              <w:t>Net Effective Rent Below Floor — CRITICAL:</w:t>
            </w:r>
            <w:r>
              <w:rPr>
                <w:sz w:val="17"/>
              </w:rPr>
              <w:t xml:space="preserve"> For the current audit month, if the unit's NER is below its floor AND the setup does not qualify as a double-discount (i.e., recurring rent is not below market rent, or no concession is present), the unit receives a </w:t>
            </w:r>
            <w:r>
              <w:rPr>
                <w:rFonts w:ascii="Courier New" w:hAnsi="Courier New"/>
                <w:sz w:val="16"/>
              </w:rPr>
              <w:t>Net Effective Rent Below Floor</w:t>
            </w:r>
            <w:r>
              <w:rPr>
                <w:sz w:val="17"/>
              </w:rPr>
              <w:t xml:space="preserve"> flag. </w:t>
            </w:r>
            <w:r>
              <w:rPr>
                <w:rFonts w:ascii="Courier New" w:hAnsi="Courier New"/>
                <w:sz w:val="16"/>
              </w:rPr>
              <w:t>Amount_Impact = floor − NER</w:t>
            </w:r>
            <w:r>
              <w:rPr>
                <w:sz w:val="17"/>
              </w:rPr>
              <w:t>. Risk: CRITICAL.</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sz w:val="17"/>
              </w:rPr>
              <w:t>NER &gt; 0; NER &lt; floor; does not meet both conditions for Double-Discount</w:t>
            </w:r>
          </w:p>
        </w:tc>
      </w:tr>
      <w:tr>
        <w:tc>
          <w:tcPr>
            <w:tcW w:type="dxa" w:w="864"/>
          </w:tcPr>
          <w:p>
            <w:pPr>
              <w:spacing w:before="40" w:after="40"/>
            </w:pPr>
            <w:r/>
            <w:r>
              <w:rPr>
                <w:sz w:val="17"/>
              </w:rPr>
              <w:t>BR-48</w:t>
            </w:r>
          </w:p>
        </w:tc>
        <w:tc>
          <w:tcPr>
            <w:tcW w:type="dxa" w:w="4104"/>
          </w:tcPr>
          <w:p>
            <w:pPr>
              <w:spacing w:before="40" w:after="40"/>
            </w:pPr>
            <w:r/>
            <w:r>
              <w:rPr>
                <w:b/>
                <w:sz w:val="17"/>
              </w:rPr>
              <w:t>NER Per-Unit Deduplication:</w:t>
            </w:r>
            <w:r>
              <w:rPr>
                <w:sz w:val="17"/>
              </w:rPr>
              <w:t xml:space="preserve"> A set (</w:t>
            </w:r>
            <w:r>
              <w:rPr>
                <w:rFonts w:ascii="Courier New" w:hAnsi="Courier New"/>
                <w:sz w:val="16"/>
              </w:rPr>
              <w:t>_ner_flagged</w:t>
            </w:r>
            <w:r>
              <w:rPr>
                <w:sz w:val="17"/>
              </w:rPr>
              <w:t xml:space="preserve">) is maintained during each run. Once a </w:t>
            </w:r>
            <w:r>
              <w:rPr>
                <w:rFonts w:ascii="Courier New" w:hAnsi="Courier New"/>
                <w:sz w:val="16"/>
              </w:rPr>
              <w:t>(Property, Unit)</w:t>
            </w:r>
            <w:r>
              <w:rPr>
                <w:sz w:val="17"/>
              </w:rPr>
              <w:t xml:space="preserve"> has been emitted for any of the three CRITICAL NER sub-rules (Full Rent Recurring Offset, Double-Discount Setup, Net Effective Rent Below Floor), it is added to the set and excluded from subsequent NER sub-rule evaluation for the same run. This prevents the same underlying concession anomaly from producing multiple overlapping CRITICAL flags for the same unit.</w:t>
            </w:r>
          </w:p>
        </w:tc>
        <w:tc>
          <w:tcPr>
            <w:tcW w:type="dxa" w:w="1152"/>
          </w:tcPr>
          <w:p>
            <w:pPr>
              <w:spacing w:before="40" w:after="40"/>
            </w:pPr>
            <w:r/>
            <w:r>
              <w:rPr>
                <w:sz w:val="17"/>
              </w:rPr>
              <w:t>Warning</w:t>
            </w:r>
          </w:p>
        </w:tc>
        <w:tc>
          <w:tcPr>
            <w:tcW w:type="dxa" w:w="2808"/>
          </w:tcPr>
          <w:p>
            <w:pPr>
              <w:spacing w:before="40" w:after="40"/>
            </w:pPr>
            <w:r/>
            <w:r>
              <w:rPr>
                <w:sz w:val="17"/>
              </w:rPr>
              <w:t xml:space="preserve">Any prior NER flag emitted for the same </w:t>
            </w:r>
            <w:r>
              <w:rPr>
                <w:rFonts w:ascii="Courier New" w:hAnsi="Courier New"/>
                <w:sz w:val="16"/>
              </w:rPr>
              <w:t>(Property, Unit)</w:t>
            </w:r>
            <w:r>
              <w:rPr>
                <w:sz w:val="17"/>
              </w:rPr>
              <w:t xml:space="preserve"> in the current run</w:t>
            </w:r>
          </w:p>
        </w:tc>
      </w:tr>
    </w:tbl>
    <w:p/>
    <w:p>
      <w:pPr>
        <w:pStyle w:val="Heading2"/>
      </w:pPr>
      <w:r>
        <w:rPr>
          <w:color w:val="2E74B5"/>
        </w:rPr>
        <w:t>6.5 Daniel's Engine — Stage 2: Posted Rent Roll Audit</w:t>
      </w:r>
    </w:p>
    <w:tbl>
      <w:tblPr>
        <w:tblStyle w:val="TableGrid"/>
        <w:tblW w:type="auto" w:w="0"/>
        <w:tblLook w:firstColumn="1" w:firstRow="1" w:lastColumn="0" w:lastRow="0" w:noHBand="0" w:noVBand="1" w:val="04A0"/>
      </w:tblPr>
      <w:tblGrid>
        <w:gridCol w:w="2250"/>
        <w:gridCol w:w="2250"/>
        <w:gridCol w:w="2250"/>
        <w:gridCol w:w="2250"/>
      </w:tblGrid>
      <w:tr>
        <w:tc>
          <w:tcPr>
            <w:tcW w:type="dxa" w:w="864"/>
            <w:shd w:val="clear" w:color="auto" w:fill="1F4E79"/>
          </w:tcPr>
          <w:p>
            <w:pPr>
              <w:spacing w:before="60" w:after="60"/>
              <w:jc w:val="center"/>
            </w:pPr>
            <w:r/>
            <w:r>
              <w:rPr>
                <w:b/>
                <w:color w:val="FFFFFF"/>
                <w:sz w:val="18"/>
              </w:rPr>
              <w:t>ID</w:t>
            </w:r>
          </w:p>
        </w:tc>
        <w:tc>
          <w:tcPr>
            <w:tcW w:type="dxa" w:w="4104"/>
            <w:shd w:val="clear" w:color="auto" w:fill="1F4E79"/>
          </w:tcPr>
          <w:p>
            <w:pPr>
              <w:spacing w:before="60" w:after="60"/>
              <w:jc w:val="center"/>
            </w:pPr>
            <w:r/>
            <w:r>
              <w:rPr>
                <w:b/>
                <w:color w:val="FFFFFF"/>
                <w:sz w:val="18"/>
              </w:rPr>
              <w:t>Rule</w:t>
            </w:r>
          </w:p>
        </w:tc>
        <w:tc>
          <w:tcPr>
            <w:tcW w:type="dxa" w:w="1152"/>
            <w:shd w:val="clear" w:color="auto" w:fill="1F4E79"/>
          </w:tcPr>
          <w:p>
            <w:pPr>
              <w:spacing w:before="60" w:after="60"/>
              <w:jc w:val="center"/>
            </w:pPr>
            <w:r/>
            <w:r>
              <w:rPr>
                <w:b/>
                <w:color w:val="FFFFFF"/>
                <w:sz w:val="18"/>
              </w:rPr>
              <w:t>Severity</w:t>
            </w:r>
          </w:p>
        </w:tc>
        <w:tc>
          <w:tcPr>
            <w:tcW w:type="dxa" w:w="2808"/>
            <w:shd w:val="clear" w:color="auto" w:fill="1F4E79"/>
          </w:tcPr>
          <w:p>
            <w:pPr>
              <w:spacing w:before="60" w:after="60"/>
              <w:jc w:val="center"/>
            </w:pPr>
            <w:r/>
            <w:r>
              <w:rPr>
                <w:b/>
                <w:color w:val="FFFFFF"/>
                <w:sz w:val="18"/>
              </w:rPr>
              <w:t>Requires</w:t>
            </w:r>
          </w:p>
        </w:tc>
      </w:tr>
      <w:tr>
        <w:tc>
          <w:tcPr>
            <w:tcW w:type="dxa" w:w="864"/>
          </w:tcPr>
          <w:p>
            <w:pPr>
              <w:spacing w:before="40" w:after="40"/>
            </w:pPr>
            <w:r/>
            <w:r>
              <w:rPr>
                <w:sz w:val="17"/>
              </w:rPr>
              <w:t>BR-49</w:t>
            </w:r>
          </w:p>
        </w:tc>
        <w:tc>
          <w:tcPr>
            <w:tcW w:type="dxa" w:w="4104"/>
          </w:tcPr>
          <w:p>
            <w:pPr>
              <w:spacing w:before="40" w:after="40"/>
            </w:pPr>
            <w:r/>
            <w:r>
              <w:rPr>
                <w:b/>
                <w:sz w:val="17"/>
              </w:rPr>
              <w:t>Occupied Unit Filter:</w:t>
            </w:r>
            <w:r>
              <w:rPr>
                <w:sz w:val="17"/>
              </w:rPr>
              <w:t xml:space="preserve"> Stage 2 evaluates only Rent Roll rows where </w:t>
            </w:r>
            <w:r>
              <w:rPr>
                <w:rFonts w:ascii="Courier New" w:hAnsi="Courier New"/>
                <w:sz w:val="16"/>
              </w:rPr>
              <w:t>Status</w:t>
            </w:r>
            <w:r>
              <w:rPr>
                <w:sz w:val="17"/>
              </w:rPr>
              <w:t xml:space="preserve"> is one of </w:t>
            </w:r>
            <w:r>
              <w:rPr>
                <w:rFonts w:ascii="Courier New" w:hAnsi="Courier New"/>
                <w:sz w:val="16"/>
              </w:rPr>
              <w:t>"C"</w:t>
            </w:r>
            <w:r>
              <w:rPr>
                <w:sz w:val="17"/>
              </w:rPr>
              <w:t xml:space="preserve"> (Current), </w:t>
            </w:r>
            <w:r>
              <w:rPr>
                <w:rFonts w:ascii="Courier New" w:hAnsi="Courier New"/>
                <w:sz w:val="16"/>
              </w:rPr>
              <w:t>"MTM"</w:t>
            </w:r>
            <w:r>
              <w:rPr>
                <w:sz w:val="17"/>
              </w:rPr>
              <w:t xml:space="preserve"> (Month-to-Month), or </w:t>
            </w:r>
            <w:r>
              <w:rPr>
                <w:rFonts w:ascii="Courier New" w:hAnsi="Courier New"/>
                <w:sz w:val="16"/>
              </w:rPr>
              <w:t>"NTV"</w:t>
            </w:r>
            <w:r>
              <w:rPr>
                <w:sz w:val="17"/>
              </w:rPr>
              <w:t xml:space="preserve"> (Notice to Vacate). All other status values (vacant, applicant, model, etc.) are excluded before any Stage 2 rule is applied.</w:t>
            </w:r>
          </w:p>
        </w:tc>
        <w:tc>
          <w:tcPr>
            <w:tcW w:type="dxa" w:w="1152"/>
          </w:tcPr>
          <w:p>
            <w:pPr>
              <w:spacing w:before="40" w:after="40"/>
            </w:pPr>
            <w:r/>
            <w:r>
              <w:rPr>
                <w:sz w:val="17"/>
              </w:rPr>
              <w:t>Warning</w:t>
            </w:r>
          </w:p>
        </w:tc>
        <w:tc>
          <w:tcPr>
            <w:tcW w:type="dxa" w:w="2808"/>
          </w:tcPr>
          <w:p>
            <w:pPr>
              <w:spacing w:before="40" w:after="40"/>
            </w:pPr>
            <w:r/>
            <w:r>
              <w:rPr>
                <w:sz w:val="17"/>
              </w:rPr>
              <w:t xml:space="preserve">Rent Roll </w:t>
            </w:r>
            <w:r>
              <w:rPr>
                <w:rFonts w:ascii="Courier New" w:hAnsi="Courier New"/>
                <w:sz w:val="16"/>
              </w:rPr>
              <w:t>Status</w:t>
            </w:r>
            <w:r>
              <w:rPr>
                <w:sz w:val="17"/>
              </w:rPr>
              <w:t xml:space="preserve"> column populated</w:t>
            </w:r>
          </w:p>
        </w:tc>
      </w:tr>
      <w:tr>
        <w:tc>
          <w:tcPr>
            <w:tcW w:type="dxa" w:w="864"/>
            <w:shd w:val="clear" w:color="auto" w:fill="D6E4F0"/>
          </w:tcPr>
          <w:p>
            <w:pPr>
              <w:spacing w:before="40" w:after="40"/>
            </w:pPr>
            <w:r/>
            <w:r>
              <w:rPr>
                <w:sz w:val="17"/>
              </w:rPr>
              <w:t>BR-50</w:t>
            </w:r>
          </w:p>
        </w:tc>
        <w:tc>
          <w:tcPr>
            <w:tcW w:type="dxa" w:w="4104"/>
            <w:shd w:val="clear" w:color="auto" w:fill="D6E4F0"/>
          </w:tcPr>
          <w:p>
            <w:pPr>
              <w:spacing w:before="40" w:after="40"/>
            </w:pPr>
            <w:r/>
            <w:r>
              <w:rPr>
                <w:b/>
                <w:sz w:val="17"/>
              </w:rPr>
              <w:t>Move-In Date Lookup Chain:</w:t>
            </w:r>
            <w:r>
              <w:rPr>
                <w:sz w:val="17"/>
              </w:rPr>
              <w:t xml:space="preserve"> The move-in date for $0 Net Rent classification is resolved in priority order: (1) </w:t>
            </w:r>
            <w:r>
              <w:rPr>
                <w:rFonts w:ascii="Courier New" w:hAnsi="Courier New"/>
                <w:sz w:val="16"/>
              </w:rPr>
              <w:t>Move_In</w:t>
            </w:r>
            <w:r>
              <w:rPr>
                <w:sz w:val="17"/>
              </w:rPr>
              <w:t xml:space="preserve"> from the Resident Activity report for the matching </w:t>
            </w:r>
            <w:r>
              <w:rPr>
                <w:rFonts w:ascii="Courier New" w:hAnsi="Courier New"/>
                <w:sz w:val="16"/>
              </w:rPr>
              <w:t>(Property, Unit)</w:t>
            </w:r>
            <w:r>
              <w:rPr>
                <w:sz w:val="17"/>
              </w:rPr>
              <w:t xml:space="preserve">; (2) if absent, </w:t>
            </w:r>
            <w:r>
              <w:rPr>
                <w:rFonts w:ascii="Courier New" w:hAnsi="Courier New"/>
                <w:sz w:val="16"/>
              </w:rPr>
              <w:t>Lease Start</w:t>
            </w:r>
            <w:r>
              <w:rPr>
                <w:sz w:val="17"/>
              </w:rPr>
              <w:t xml:space="preserve"> from the New &amp; Renewed Leases report. If neither source yields a date, the unit cannot be classified as a recent move-in and the CRITICAL $0 Net Rent (Not Recent) rule applies.</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 xml:space="preserve">Resident Activity or New &amp; Renewed Leases record for </w:t>
            </w:r>
            <w:r>
              <w:rPr>
                <w:rFonts w:ascii="Courier New" w:hAnsi="Courier New"/>
                <w:sz w:val="16"/>
              </w:rPr>
              <w:t>(Property, Unit)</w:t>
            </w:r>
          </w:p>
        </w:tc>
      </w:tr>
      <w:tr>
        <w:tc>
          <w:tcPr>
            <w:tcW w:type="dxa" w:w="864"/>
          </w:tcPr>
          <w:p>
            <w:pPr>
              <w:spacing w:before="40" w:after="40"/>
            </w:pPr>
            <w:r/>
            <w:r>
              <w:rPr>
                <w:sz w:val="17"/>
              </w:rPr>
              <w:t>BR-51</w:t>
            </w:r>
          </w:p>
        </w:tc>
        <w:tc>
          <w:tcPr>
            <w:tcW w:type="dxa" w:w="4104"/>
          </w:tcPr>
          <w:p>
            <w:pPr>
              <w:spacing w:before="40" w:after="40"/>
            </w:pPr>
            <w:r/>
            <w:r>
              <w:rPr>
                <w:b/>
                <w:sz w:val="17"/>
              </w:rPr>
              <w:t>Net Rent Computation:</w:t>
            </w:r>
            <w:r>
              <w:rPr>
                <w:sz w:val="17"/>
              </w:rPr>
              <w:t xml:space="preserve"> For each occupied unit on the Rent Roll, net rent is computed as the sum of </w:t>
            </w:r>
            <w:r>
              <w:rPr>
                <w:rFonts w:ascii="Courier New" w:hAnsi="Courier New"/>
                <w:sz w:val="16"/>
              </w:rPr>
              <w:t>Amount</w:t>
            </w:r>
            <w:r>
              <w:rPr>
                <w:sz w:val="17"/>
              </w:rPr>
              <w:t xml:space="preserve"> values for rows where </w:t>
            </w:r>
            <w:r>
              <w:rPr>
                <w:rFonts w:ascii="Courier New" w:hAnsi="Courier New"/>
                <w:sz w:val="16"/>
              </w:rPr>
              <w:t>Description</w:t>
            </w:r>
            <w:r>
              <w:rPr>
                <w:sz w:val="17"/>
              </w:rPr>
              <w:t xml:space="preserve"> (lowercased) matches </w:t>
            </w:r>
            <w:r>
              <w:rPr>
                <w:rFonts w:ascii="Courier New" w:hAnsi="Courier New"/>
                <w:sz w:val="16"/>
              </w:rPr>
              <w:t>\brent\b</w:t>
            </w:r>
            <w:r>
              <w:rPr>
                <w:sz w:val="17"/>
              </w:rPr>
              <w:t xml:space="preserve"> or </w:t>
            </w:r>
            <w:r>
              <w:rPr>
                <w:rFonts w:ascii="Courier New" w:hAnsi="Courier New"/>
                <w:sz w:val="16"/>
              </w:rPr>
              <w:t>\bbase\b</w:t>
            </w:r>
            <w:r>
              <w:rPr>
                <w:sz w:val="17"/>
              </w:rPr>
              <w:t xml:space="preserve"> (regex) AND </w:t>
            </w:r>
            <w:r>
              <w:rPr>
                <w:rFonts w:ascii="Courier New" w:hAnsi="Courier New"/>
                <w:sz w:val="16"/>
              </w:rPr>
              <w:t>Amount &gt; 0</w:t>
            </w:r>
            <w:r>
              <w:rPr>
                <w:sz w:val="17"/>
              </w:rPr>
              <w:t xml:space="preserve">. Concession rows — which contain </w:t>
            </w:r>
            <w:r>
              <w:rPr>
                <w:rFonts w:ascii="Courier New" w:hAnsi="Courier New"/>
                <w:sz w:val="16"/>
              </w:rPr>
              <w:t>"concession"</w:t>
            </w:r>
            <w:r>
              <w:rPr>
                <w:sz w:val="17"/>
              </w:rPr>
              <w:t xml:space="preserve"> in the description — are explicitly excluded from this sum even if they also contain </w:t>
            </w:r>
            <w:r>
              <w:rPr>
                <w:rFonts w:ascii="Courier New" w:hAnsi="Courier New"/>
                <w:sz w:val="16"/>
              </w:rPr>
              <w:t>"rent"</w:t>
            </w:r>
            <w:r>
              <w:rPr>
                <w:sz w:val="17"/>
              </w:rPr>
              <w:t xml:space="preserve"> (e.g., </w:t>
            </w:r>
            <w:r>
              <w:rPr>
                <w:rFonts w:ascii="Courier New" w:hAnsi="Courier New"/>
                <w:sz w:val="16"/>
              </w:rPr>
              <w:t>"Concession - Rent"</w:t>
            </w:r>
            <w:r>
              <w:rPr>
                <w:sz w:val="17"/>
              </w:rPr>
              <w:t>).</w:t>
            </w:r>
          </w:p>
        </w:tc>
        <w:tc>
          <w:tcPr>
            <w:tcW w:type="dxa" w:w="1152"/>
          </w:tcPr>
          <w:p>
            <w:pPr>
              <w:spacing w:before="40" w:after="40"/>
            </w:pPr>
            <w:r/>
            <w:r>
              <w:rPr>
                <w:sz w:val="17"/>
              </w:rPr>
              <w:t>Error</w:t>
            </w:r>
          </w:p>
        </w:tc>
        <w:tc>
          <w:tcPr>
            <w:tcW w:type="dxa" w:w="2808"/>
          </w:tcPr>
          <w:p>
            <w:pPr>
              <w:spacing w:before="40" w:after="40"/>
            </w:pPr>
            <w:r/>
            <w:r>
              <w:rPr>
                <w:sz w:val="17"/>
              </w:rPr>
              <w:t xml:space="preserve">Rent Roll charge rows with </w:t>
            </w:r>
            <w:r>
              <w:rPr>
                <w:rFonts w:ascii="Courier New" w:hAnsi="Courier New"/>
                <w:sz w:val="16"/>
              </w:rPr>
              <w:t>Description</w:t>
            </w:r>
            <w:r>
              <w:rPr>
                <w:sz w:val="17"/>
              </w:rPr>
              <w:t xml:space="preserve"> matching rent/base keywords</w:t>
            </w:r>
          </w:p>
        </w:tc>
      </w:tr>
      <w:tr>
        <w:tc>
          <w:tcPr>
            <w:tcW w:type="dxa" w:w="864"/>
            <w:shd w:val="clear" w:color="auto" w:fill="D6E4F0"/>
          </w:tcPr>
          <w:p>
            <w:pPr>
              <w:spacing w:before="40" w:after="40"/>
            </w:pPr>
            <w:r/>
            <w:r>
              <w:rPr>
                <w:sz w:val="17"/>
              </w:rPr>
              <w:t>BR-52</w:t>
            </w:r>
          </w:p>
        </w:tc>
        <w:tc>
          <w:tcPr>
            <w:tcW w:type="dxa" w:w="4104"/>
            <w:shd w:val="clear" w:color="auto" w:fill="D6E4F0"/>
          </w:tcPr>
          <w:p>
            <w:pPr>
              <w:spacing w:before="40" w:after="40"/>
            </w:pPr>
            <w:r/>
            <w:r>
              <w:rPr>
                <w:b/>
                <w:sz w:val="17"/>
              </w:rPr>
              <w:t>Negative Net Rent — CRITICAL:</w:t>
            </w:r>
            <w:r>
              <w:rPr>
                <w:sz w:val="17"/>
              </w:rPr>
              <w:t xml:space="preserve"> If the computed net rent for an occupied unit is </w:t>
            </w:r>
            <w:r>
              <w:rPr>
                <w:rFonts w:ascii="Courier New" w:hAnsi="Courier New"/>
                <w:sz w:val="16"/>
              </w:rPr>
              <w:t>&lt; 0</w:t>
            </w:r>
            <w:r>
              <w:rPr>
                <w:sz w:val="17"/>
              </w:rPr>
              <w:t xml:space="preserve"> (concession rows sum to more than rent rows), the unit receives a </w:t>
            </w:r>
            <w:r>
              <w:rPr>
                <w:rFonts w:ascii="Courier New" w:hAnsi="Courier New"/>
                <w:sz w:val="16"/>
              </w:rPr>
              <w:t>Negative Net Rent</w:t>
            </w:r>
            <w:r>
              <w:rPr>
                <w:sz w:val="17"/>
              </w:rPr>
              <w:t xml:space="preserve"> flag. </w:t>
            </w:r>
            <w:r>
              <w:rPr>
                <w:rFonts w:ascii="Courier New" w:hAnsi="Courier New"/>
                <w:sz w:val="16"/>
              </w:rPr>
              <w:t>Amount_Impact = abs(net_rent)</w:t>
            </w:r>
            <w:r>
              <w:rPr>
                <w:sz w:val="17"/>
              </w:rPr>
              <w:t>. Risk: CRITICAL.</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sz w:val="17"/>
              </w:rPr>
              <w:t xml:space="preserve">Rent Roll occupied unit; </w:t>
            </w:r>
            <w:r>
              <w:rPr>
                <w:rFonts w:ascii="Courier New" w:hAnsi="Courier New"/>
                <w:sz w:val="16"/>
              </w:rPr>
              <w:t>net_rent &lt; 0</w:t>
            </w:r>
            <w:r>
              <w:rPr>
                <w:sz w:val="17"/>
              </w:rPr>
              <w:t xml:space="preserve"> after positive-only rent row summation</w:t>
            </w:r>
          </w:p>
        </w:tc>
      </w:tr>
      <w:tr>
        <w:tc>
          <w:tcPr>
            <w:tcW w:type="dxa" w:w="864"/>
          </w:tcPr>
          <w:p>
            <w:pPr>
              <w:spacing w:before="40" w:after="40"/>
            </w:pPr>
            <w:r/>
            <w:r>
              <w:rPr>
                <w:sz w:val="17"/>
              </w:rPr>
              <w:t>BR-53</w:t>
            </w:r>
          </w:p>
        </w:tc>
        <w:tc>
          <w:tcPr>
            <w:tcW w:type="dxa" w:w="4104"/>
          </w:tcPr>
          <w:p>
            <w:pPr>
              <w:spacing w:before="40" w:after="40"/>
            </w:pPr>
            <w:r/>
            <w:r>
              <w:rPr>
                <w:b/>
                <w:sz w:val="17"/>
              </w:rPr>
              <w:t>$0 Net Rent — Recent Move-In Threshold:</w:t>
            </w:r>
            <w:r>
              <w:rPr>
                <w:sz w:val="17"/>
              </w:rPr>
              <w:t xml:space="preserve"> If net rent is exactly </w:t>
            </w:r>
            <w:r>
              <w:rPr>
                <w:rFonts w:ascii="Courier New" w:hAnsi="Courier New"/>
                <w:sz w:val="16"/>
              </w:rPr>
              <w:t>$0</w:t>
            </w:r>
            <w:r>
              <w:rPr>
                <w:sz w:val="17"/>
              </w:rPr>
              <w:t xml:space="preserve"> and the resolved move-in date is within </w:t>
            </w:r>
            <w:r>
              <w:rPr>
                <w:rFonts w:ascii="Courier New" w:hAnsi="Courier New"/>
                <w:sz w:val="16"/>
              </w:rPr>
              <w:t>60 days</w:t>
            </w:r>
            <w:r>
              <w:rPr>
                <w:sz w:val="17"/>
              </w:rPr>
              <w:t xml:space="preserve"> (</w:t>
            </w:r>
            <w:r>
              <w:rPr>
                <w:rFonts w:ascii="Courier New" w:hAnsi="Courier New"/>
                <w:sz w:val="16"/>
              </w:rPr>
              <w:t>RECENT_MOVEIN_DAYS</w:t>
            </w:r>
            <w:r>
              <w:rPr>
                <w:sz w:val="17"/>
              </w:rPr>
              <w:t>) of the system run date (</w:t>
            </w:r>
            <w:r>
              <w:rPr>
                <w:rFonts w:ascii="Courier New" w:hAnsi="Courier New"/>
                <w:sz w:val="16"/>
              </w:rPr>
              <w:t>pd.Timestamp.today()</w:t>
            </w:r>
            <w:r>
              <w:rPr>
                <w:sz w:val="17"/>
              </w:rPr>
              <w:t xml:space="preserve">), the unit receives a </w:t>
            </w:r>
            <w:r>
              <w:rPr>
                <w:rFonts w:ascii="Courier New" w:hAnsi="Courier New"/>
                <w:sz w:val="16"/>
              </w:rPr>
              <w:t>$0 Net Rent (Recent Move-in)</w:t>
            </w:r>
            <w:r>
              <w:rPr>
                <w:sz w:val="17"/>
              </w:rPr>
              <w:t xml:space="preserve"> flag. Risk: MEDIUM. The threshold of 60 days captures the first full calendar month after move-in, during which a legitimate one-month-free concession may still be in effect.</w:t>
            </w:r>
          </w:p>
        </w:tc>
        <w:tc>
          <w:tcPr>
            <w:tcW w:type="dxa" w:w="1152"/>
          </w:tcPr>
          <w:p>
            <w:pPr>
              <w:spacing w:before="40" w:after="40"/>
            </w:pPr>
            <w:r/>
            <w:r>
              <w:rPr>
                <w:sz w:val="17"/>
              </w:rPr>
              <w:t>Warning</w:t>
            </w:r>
          </w:p>
        </w:tc>
        <w:tc>
          <w:tcPr>
            <w:tcW w:type="dxa" w:w="2808"/>
          </w:tcPr>
          <w:p>
            <w:pPr>
              <w:spacing w:before="40" w:after="40"/>
            </w:pPr>
            <w:r/>
            <w:r>
              <w:rPr>
                <w:sz w:val="17"/>
              </w:rPr>
              <w:t xml:space="preserve">Occupied unit; </w:t>
            </w:r>
            <w:r>
              <w:rPr>
                <w:rFonts w:ascii="Courier New" w:hAnsi="Courier New"/>
                <w:sz w:val="16"/>
              </w:rPr>
              <w:t>net_rent == 0</w:t>
            </w:r>
            <w:r>
              <w:rPr>
                <w:sz w:val="17"/>
              </w:rPr>
              <w:t>; move-in date resolvable and within 60 days of run date</w:t>
            </w:r>
          </w:p>
        </w:tc>
      </w:tr>
      <w:tr>
        <w:tc>
          <w:tcPr>
            <w:tcW w:type="dxa" w:w="864"/>
            <w:shd w:val="clear" w:color="auto" w:fill="D6E4F0"/>
          </w:tcPr>
          <w:p>
            <w:pPr>
              <w:spacing w:before="40" w:after="40"/>
            </w:pPr>
            <w:r/>
            <w:r>
              <w:rPr>
                <w:sz w:val="17"/>
              </w:rPr>
              <w:t>BR-54</w:t>
            </w:r>
          </w:p>
        </w:tc>
        <w:tc>
          <w:tcPr>
            <w:tcW w:type="dxa" w:w="4104"/>
            <w:shd w:val="clear" w:color="auto" w:fill="D6E4F0"/>
          </w:tcPr>
          <w:p>
            <w:pPr>
              <w:spacing w:before="40" w:after="40"/>
            </w:pPr>
            <w:r/>
            <w:r>
              <w:rPr>
                <w:b/>
                <w:sz w:val="17"/>
              </w:rPr>
              <w:t>$0 Net Rent — Not Recent — CRITICAL:</w:t>
            </w:r>
            <w:r>
              <w:rPr>
                <w:sz w:val="17"/>
              </w:rPr>
              <w:t xml:space="preserve"> If net rent is exactly </w:t>
            </w:r>
            <w:r>
              <w:rPr>
                <w:rFonts w:ascii="Courier New" w:hAnsi="Courier New"/>
                <w:sz w:val="16"/>
              </w:rPr>
              <w:t>$0</w:t>
            </w:r>
            <w:r>
              <w:rPr>
                <w:sz w:val="17"/>
              </w:rPr>
              <w:t xml:space="preserve"> and the resident is not within the 60-day recent-move-in window (either because no move-in date is available or the date is more than 60 days ago), the unit receives a </w:t>
            </w:r>
            <w:r>
              <w:rPr>
                <w:rFonts w:ascii="Courier New" w:hAnsi="Courier New"/>
                <w:sz w:val="16"/>
              </w:rPr>
              <w:t>$0 Net Rent (Not Recent)</w:t>
            </w:r>
            <w:r>
              <w:rPr>
                <w:sz w:val="17"/>
              </w:rPr>
              <w:t xml:space="preserve"> flag. The detail directs reviewers to confirm whether the unit is a courtesy officer, employee, or model unit, and if not, to investigate for an unauthorized full-offset posting. Risk: CRITICAL.</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sz w:val="17"/>
              </w:rPr>
              <w:t xml:space="preserve">Occupied unit; </w:t>
            </w:r>
            <w:r>
              <w:rPr>
                <w:rFonts w:ascii="Courier New" w:hAnsi="Courier New"/>
                <w:sz w:val="16"/>
              </w:rPr>
              <w:t>net_rent == 0</w:t>
            </w:r>
            <w:r>
              <w:rPr>
                <w:sz w:val="17"/>
              </w:rPr>
              <w:t>; move-in date either missing or &gt; 60 days before run date</w:t>
            </w:r>
          </w:p>
        </w:tc>
      </w:tr>
      <w:tr>
        <w:tc>
          <w:tcPr>
            <w:tcW w:type="dxa" w:w="864"/>
          </w:tcPr>
          <w:p>
            <w:pPr>
              <w:spacing w:before="40" w:after="40"/>
            </w:pPr>
            <w:r/>
            <w:r>
              <w:rPr>
                <w:sz w:val="17"/>
              </w:rPr>
              <w:t>BR-55</w:t>
            </w:r>
          </w:p>
        </w:tc>
        <w:tc>
          <w:tcPr>
            <w:tcW w:type="dxa" w:w="4104"/>
          </w:tcPr>
          <w:p>
            <w:pPr>
              <w:spacing w:before="40" w:after="40"/>
            </w:pPr>
            <w:r/>
            <w:r>
              <w:rPr>
                <w:b/>
                <w:sz w:val="17"/>
              </w:rPr>
              <w:t>Manual Posting Without Setup:</w:t>
            </w:r>
            <w:r>
              <w:rPr>
                <w:sz w:val="17"/>
              </w:rPr>
              <w:t xml:space="preserve"> The system identifies all </w:t>
            </w:r>
            <w:r>
              <w:rPr>
                <w:rFonts w:ascii="Courier New" w:hAnsi="Courier New"/>
                <w:sz w:val="16"/>
              </w:rPr>
              <w:t>(Property, Unit)</w:t>
            </w:r>
            <w:r>
              <w:rPr>
                <w:sz w:val="17"/>
              </w:rPr>
              <w:t xml:space="preserve"> pairs from the Transaction List with a net-positive non-reversal credit. It then checks whether each of those units has any row in the Transaction Projection. If a unit has posted credits but no projection entry at all, it receives a </w:t>
            </w:r>
            <w:r>
              <w:rPr>
                <w:rFonts w:ascii="Courier New" w:hAnsi="Courier New"/>
                <w:sz w:val="16"/>
              </w:rPr>
              <w:t>Manual Posting Without Setup</w:t>
            </w:r>
            <w:r>
              <w:rPr>
                <w:sz w:val="17"/>
              </w:rPr>
              <w:t xml:space="preserve"> flag. </w:t>
            </w:r>
            <w:r>
              <w:rPr>
                <w:rFonts w:ascii="Courier New" w:hAnsi="Courier New"/>
                <w:sz w:val="16"/>
              </w:rPr>
              <w:t>Amount_Impact = net_credit_amount</w:t>
            </w:r>
            <w:r>
              <w:rPr>
                <w:sz w:val="17"/>
              </w:rPr>
              <w:t>. Risk: HIGH.</w:t>
            </w:r>
          </w:p>
        </w:tc>
        <w:tc>
          <w:tcPr>
            <w:tcW w:type="dxa" w:w="1152"/>
          </w:tcPr>
          <w:p>
            <w:pPr>
              <w:spacing w:before="40" w:after="40"/>
            </w:pPr>
            <w:r/>
            <w:r>
              <w:rPr>
                <w:sz w:val="17"/>
              </w:rPr>
              <w:t>Error</w:t>
            </w:r>
          </w:p>
        </w:tc>
        <w:tc>
          <w:tcPr>
            <w:tcW w:type="dxa" w:w="2808"/>
          </w:tcPr>
          <w:p>
            <w:pPr>
              <w:spacing w:before="40" w:after="40"/>
            </w:pPr>
            <w:r/>
            <w:r>
              <w:rPr>
                <w:sz w:val="17"/>
              </w:rPr>
              <w:t xml:space="preserve">Transaction List net-positive credit; Transaction Projection loaded; </w:t>
            </w:r>
            <w:r>
              <w:rPr>
                <w:rFonts w:ascii="Courier New" w:hAnsi="Courier New"/>
                <w:sz w:val="16"/>
              </w:rPr>
              <w:t>(Property, Unit)</w:t>
            </w:r>
            <w:r>
              <w:rPr>
                <w:sz w:val="17"/>
              </w:rPr>
              <w:t xml:space="preserve"> absent from projection</w:t>
            </w:r>
          </w:p>
        </w:tc>
      </w:tr>
      <w:tr>
        <w:tc>
          <w:tcPr>
            <w:tcW w:type="dxa" w:w="864"/>
            <w:shd w:val="clear" w:color="auto" w:fill="D6E4F0"/>
          </w:tcPr>
          <w:p>
            <w:pPr>
              <w:spacing w:before="40" w:after="40"/>
            </w:pPr>
            <w:r/>
            <w:r>
              <w:rPr>
                <w:sz w:val="17"/>
              </w:rPr>
              <w:t>BR-56</w:t>
            </w:r>
          </w:p>
        </w:tc>
        <w:tc>
          <w:tcPr>
            <w:tcW w:type="dxa" w:w="4104"/>
            <w:shd w:val="clear" w:color="auto" w:fill="D6E4F0"/>
          </w:tcPr>
          <w:p>
            <w:pPr>
              <w:spacing w:before="40" w:after="40"/>
            </w:pPr>
            <w:r/>
            <w:r>
              <w:rPr>
                <w:b/>
                <w:sz w:val="17"/>
              </w:rPr>
              <w:t>Posted vs Recurring Mismatch — Positive-Only Filters:</w:t>
            </w:r>
            <w:r>
              <w:rPr>
                <w:sz w:val="17"/>
              </w:rPr>
              <w:t xml:space="preserve"> Both sides of the comparison use positive-amount-only filters. </w:t>
            </w:r>
            <w:r>
              <w:rPr>
                <w:rFonts w:ascii="Courier New" w:hAnsi="Courier New"/>
                <w:sz w:val="16"/>
              </w:rPr>
              <w:t>posted_rent</w:t>
            </w:r>
            <w:r>
              <w:rPr>
                <w:sz w:val="17"/>
              </w:rPr>
              <w:t xml:space="preserve"> = sum of Rent Roll rows matching </w:t>
            </w:r>
            <w:r>
              <w:rPr>
                <w:rFonts w:ascii="Courier New" w:hAnsi="Courier New"/>
                <w:sz w:val="16"/>
              </w:rPr>
              <w:t>\brent\b</w:t>
            </w:r>
            <w:r>
              <w:rPr>
                <w:sz w:val="17"/>
              </w:rPr>
              <w:t xml:space="preserve"> or </w:t>
            </w:r>
            <w:r>
              <w:rPr>
                <w:rFonts w:ascii="Courier New" w:hAnsi="Courier New"/>
                <w:sz w:val="16"/>
              </w:rPr>
              <w:t>\bbase\b</w:t>
            </w:r>
            <w:r>
              <w:rPr>
                <w:sz w:val="17"/>
              </w:rPr>
              <w:t xml:space="preserve"> AND </w:t>
            </w:r>
            <w:r>
              <w:rPr>
                <w:rFonts w:ascii="Courier New" w:hAnsi="Courier New"/>
                <w:sz w:val="16"/>
              </w:rPr>
              <w:t>Amount &gt; 0</w:t>
            </w:r>
            <w:r>
              <w:rPr>
                <w:sz w:val="17"/>
              </w:rPr>
              <w:t xml:space="preserve">. </w:t>
            </w:r>
            <w:r>
              <w:rPr>
                <w:rFonts w:ascii="Courier New" w:hAnsi="Courier New"/>
                <w:sz w:val="16"/>
              </w:rPr>
              <w:t>recurring_rent</w:t>
            </w:r>
            <w:r>
              <w:rPr>
                <w:sz w:val="17"/>
              </w:rPr>
              <w:t xml:space="preserve"> = sum of Transaction Projection rows matching </w:t>
            </w:r>
            <w:r>
              <w:rPr>
                <w:rFonts w:ascii="Courier New" w:hAnsi="Courier New"/>
                <w:sz w:val="16"/>
              </w:rPr>
              <w:t>\brent\b</w:t>
            </w:r>
            <w:r>
              <w:rPr>
                <w:sz w:val="17"/>
              </w:rPr>
              <w:t xml:space="preserve"> or </w:t>
            </w:r>
            <w:r>
              <w:rPr>
                <w:rFonts w:ascii="Courier New" w:hAnsi="Courier New"/>
                <w:sz w:val="16"/>
              </w:rPr>
              <w:t>\bbase\b</w:t>
            </w:r>
            <w:r>
              <w:rPr>
                <w:sz w:val="17"/>
              </w:rPr>
              <w:t xml:space="preserve"> AND </w:t>
            </w:r>
            <w:r>
              <w:rPr>
                <w:rFonts w:ascii="Courier New" w:hAnsi="Courier New"/>
                <w:sz w:val="16"/>
              </w:rPr>
              <w:t>Amount &gt; 0</w:t>
            </w:r>
            <w:r>
              <w:rPr>
                <w:sz w:val="17"/>
              </w:rPr>
              <w:t xml:space="preserve"> AND </w:t>
            </w:r>
            <w:r>
              <w:rPr>
                <w:b/>
                <w:sz w:val="17"/>
              </w:rPr>
              <w:t>not</w:t>
            </w:r>
            <w:r>
              <w:rPr>
                <w:sz w:val="17"/>
              </w:rPr>
              <w:t xml:space="preserve"> containing </w:t>
            </w:r>
            <w:r>
              <w:rPr>
                <w:rFonts w:ascii="Courier New" w:hAnsi="Courier New"/>
                <w:sz w:val="16"/>
              </w:rPr>
              <w:t>"concession"</w:t>
            </w:r>
            <w:r>
              <w:rPr>
                <w:sz w:val="17"/>
              </w:rPr>
              <w:t xml:space="preserve"> in the Category. The exclusion of concession rows from the recurring side prevents a </w:t>
            </w:r>
            <w:r>
              <w:rPr>
                <w:rFonts w:ascii="Courier New" w:hAnsi="Courier New"/>
                <w:sz w:val="16"/>
              </w:rPr>
              <w:t>"Concession - Rent"</w:t>
            </w:r>
            <w:r>
              <w:rPr>
                <w:sz w:val="17"/>
              </w:rPr>
              <w:t xml:space="preserve"> entry in the projection from artificially reducing </w:t>
            </w:r>
            <w:r>
              <w:rPr>
                <w:rFonts w:ascii="Courier New" w:hAnsi="Courier New"/>
                <w:sz w:val="16"/>
              </w:rPr>
              <w:t>recurring_rent</w:t>
            </w:r>
            <w:r>
              <w:rPr>
                <w:sz w:val="17"/>
              </w:rPr>
              <w:t xml:space="preserve"> below </w:t>
            </w:r>
            <w:r>
              <w:rPr>
                <w:rFonts w:ascii="Courier New" w:hAnsi="Courier New"/>
                <w:sz w:val="16"/>
              </w:rPr>
              <w:t>posted_rent</w:t>
            </w:r>
            <w:r>
              <w:rPr>
                <w:sz w:val="17"/>
              </w:rPr>
              <w:t>.</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sz w:val="17"/>
              </w:rPr>
              <w:t>Both Rent Roll and Transaction Projection non-empty; unit present in both datasets</w:t>
            </w:r>
          </w:p>
        </w:tc>
      </w:tr>
      <w:tr>
        <w:tc>
          <w:tcPr>
            <w:tcW w:type="dxa" w:w="864"/>
          </w:tcPr>
          <w:p>
            <w:pPr>
              <w:spacing w:before="40" w:after="40"/>
            </w:pPr>
            <w:r/>
            <w:r>
              <w:rPr>
                <w:sz w:val="17"/>
              </w:rPr>
              <w:t>BR-57</w:t>
            </w:r>
          </w:p>
        </w:tc>
        <w:tc>
          <w:tcPr>
            <w:tcW w:type="dxa" w:w="4104"/>
          </w:tcPr>
          <w:p>
            <w:pPr>
              <w:spacing w:before="40" w:after="40"/>
            </w:pPr>
            <w:r/>
            <w:r>
              <w:rPr>
                <w:b/>
                <w:sz w:val="17"/>
              </w:rPr>
              <w:t>Posted vs Recurring Mismatch — Bidirectional Proration Guard:</w:t>
            </w:r>
            <w:r>
              <w:rPr>
                <w:sz w:val="17"/>
              </w:rPr>
              <w:t xml:space="preserve"> Before comparing </w:t>
            </w:r>
            <w:r>
              <w:rPr>
                <w:rFonts w:ascii="Courier New" w:hAnsi="Courier New"/>
                <w:sz w:val="16"/>
              </w:rPr>
              <w:t>posted_rent</w:t>
            </w:r>
            <w:r>
              <w:rPr>
                <w:sz w:val="17"/>
              </w:rPr>
              <w:t xml:space="preserve"> and </w:t>
            </w:r>
            <w:r>
              <w:rPr>
                <w:rFonts w:ascii="Courier New" w:hAnsi="Courier New"/>
                <w:sz w:val="16"/>
              </w:rPr>
              <w:t>recurring_rent</w:t>
            </w:r>
            <w:r>
              <w:rPr>
                <w:sz w:val="17"/>
              </w:rPr>
              <w:t xml:space="preserve">, the system applies: </w:t>
            </w:r>
            <w:r>
              <w:rPr>
                <w:rFonts w:ascii="Courier New" w:hAnsi="Courier New"/>
                <w:sz w:val="16"/>
              </w:rPr>
              <w:t>if min(posted_rent, recurring_rent) &lt; max(posted_rent, recurring_rent) × 0.60: skip</w:t>
            </w:r>
            <w:r>
              <w:rPr>
                <w:sz w:val="17"/>
              </w:rPr>
              <w:t>. This 60% threshold handles both directions of proration false positives — a new move-in where the projection carries a prorated small amount (projection &lt;&lt; Rent Roll), and a move-out where the Rent Roll carries a prorated final charge (Rent Roll &lt;&lt; projection).</w:t>
            </w:r>
          </w:p>
        </w:tc>
        <w:tc>
          <w:tcPr>
            <w:tcW w:type="dxa" w:w="1152"/>
          </w:tcPr>
          <w:p>
            <w:pPr>
              <w:spacing w:before="40" w:after="40"/>
            </w:pPr>
            <w:r/>
            <w:r>
              <w:rPr>
                <w:sz w:val="17"/>
              </w:rPr>
              <w:t>Warning</w:t>
            </w:r>
          </w:p>
        </w:tc>
        <w:tc>
          <w:tcPr>
            <w:tcW w:type="dxa" w:w="2808"/>
          </w:tcPr>
          <w:p>
            <w:pPr>
              <w:spacing w:before="40" w:after="40"/>
            </w:pPr>
            <w:r/>
            <w:r>
              <w:rPr>
                <w:sz w:val="17"/>
              </w:rPr>
              <w:t xml:space="preserve">Either </w:t>
            </w:r>
            <w:r>
              <w:rPr>
                <w:rFonts w:ascii="Courier New" w:hAnsi="Courier New"/>
                <w:sz w:val="16"/>
              </w:rPr>
              <w:t>posted_rent</w:t>
            </w:r>
            <w:r>
              <w:rPr>
                <w:sz w:val="17"/>
              </w:rPr>
              <w:t xml:space="preserve"> or </w:t>
            </w:r>
            <w:r>
              <w:rPr>
                <w:rFonts w:ascii="Courier New" w:hAnsi="Courier New"/>
                <w:sz w:val="16"/>
              </w:rPr>
              <w:t>recurring_rent</w:t>
            </w:r>
            <w:r>
              <w:rPr>
                <w:sz w:val="17"/>
              </w:rPr>
              <w:t xml:space="preserve"> is less than 60% of the other</w:t>
            </w:r>
          </w:p>
        </w:tc>
      </w:tr>
      <w:tr>
        <w:tc>
          <w:tcPr>
            <w:tcW w:type="dxa" w:w="864"/>
            <w:shd w:val="clear" w:color="auto" w:fill="D6E4F0"/>
          </w:tcPr>
          <w:p>
            <w:pPr>
              <w:spacing w:before="40" w:after="40"/>
            </w:pPr>
            <w:r/>
            <w:r>
              <w:rPr>
                <w:sz w:val="17"/>
              </w:rPr>
              <w:t>BR-58</w:t>
            </w:r>
          </w:p>
        </w:tc>
        <w:tc>
          <w:tcPr>
            <w:tcW w:type="dxa" w:w="4104"/>
            <w:shd w:val="clear" w:color="auto" w:fill="D6E4F0"/>
          </w:tcPr>
          <w:p>
            <w:pPr>
              <w:spacing w:before="40" w:after="40"/>
            </w:pPr>
            <w:r/>
            <w:r>
              <w:rPr>
                <w:b/>
                <w:sz w:val="17"/>
              </w:rPr>
              <w:t>Posted vs Recurring Mismatch — Dollar Threshold:</w:t>
            </w:r>
            <w:r>
              <w:rPr>
                <w:sz w:val="17"/>
              </w:rPr>
              <w:t xml:space="preserve"> After the proration guard, a mismatch flag is produced only when </w:t>
            </w:r>
            <w:r>
              <w:rPr>
                <w:rFonts w:ascii="Courier New" w:hAnsi="Courier New"/>
                <w:sz w:val="16"/>
              </w:rPr>
              <w:t>abs(recurring_rent − posted_rent) &gt; $5.00</w:t>
            </w:r>
            <w:r>
              <w:rPr>
                <w:sz w:val="17"/>
              </w:rPr>
              <w:t xml:space="preserve">. Variances of $5 or less are treated as rounding noise and suppressed. </w:t>
            </w:r>
            <w:r>
              <w:rPr>
                <w:rFonts w:ascii="Courier New" w:hAnsi="Courier New"/>
                <w:sz w:val="16"/>
              </w:rPr>
              <w:t>Amount_Impact = abs(variance)</w:t>
            </w:r>
            <w:r>
              <w:rPr>
                <w:sz w:val="17"/>
              </w:rPr>
              <w:t>. Risk: HIGH.</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sz w:val="17"/>
              </w:rPr>
              <w:t xml:space="preserve">Both </w:t>
            </w:r>
            <w:r>
              <w:rPr>
                <w:rFonts w:ascii="Courier New" w:hAnsi="Courier New"/>
                <w:sz w:val="16"/>
              </w:rPr>
              <w:t>posted_rent &gt; 0</w:t>
            </w:r>
            <w:r>
              <w:rPr>
                <w:sz w:val="17"/>
              </w:rPr>
              <w:t xml:space="preserve"> and </w:t>
            </w:r>
            <w:r>
              <w:rPr>
                <w:rFonts w:ascii="Courier New" w:hAnsi="Courier New"/>
                <w:sz w:val="16"/>
              </w:rPr>
              <w:t>recurring_rent &gt; 0</w:t>
            </w:r>
            <w:r>
              <w:rPr>
                <w:sz w:val="17"/>
              </w:rPr>
              <w:t xml:space="preserve">; proration guard not triggered; </w:t>
            </w:r>
            <w:r>
              <w:rPr>
                <w:rFonts w:ascii="Courier New" w:hAnsi="Courier New"/>
                <w:sz w:val="16"/>
              </w:rPr>
              <w:t>abs(delta) &gt; 5.00</w:t>
            </w:r>
          </w:p>
        </w:tc>
      </w:tr>
      <w:tr>
        <w:tc>
          <w:tcPr>
            <w:tcW w:type="dxa" w:w="864"/>
          </w:tcPr>
          <w:p>
            <w:pPr>
              <w:spacing w:before="40" w:after="40"/>
            </w:pPr>
            <w:r/>
            <w:r>
              <w:rPr>
                <w:sz w:val="17"/>
              </w:rPr>
              <w:t>BR-59</w:t>
            </w:r>
          </w:p>
        </w:tc>
        <w:tc>
          <w:tcPr>
            <w:tcW w:type="dxa" w:w="4104"/>
          </w:tcPr>
          <w:p>
            <w:pPr>
              <w:spacing w:before="40" w:after="40"/>
            </w:pPr>
            <w:r/>
            <w:r>
              <w:rPr>
                <w:b/>
                <w:sz w:val="17"/>
              </w:rPr>
              <w:t>Misc Tenant Credit — Keyword Detection:</w:t>
            </w:r>
            <w:r>
              <w:rPr>
                <w:sz w:val="17"/>
              </w:rPr>
              <w:t xml:space="preserve"> Every non-reversal, positive-amount Transaction List row whose </w:t>
            </w:r>
            <w:r>
              <w:rPr>
                <w:rFonts w:ascii="Courier New" w:hAnsi="Courier New"/>
                <w:sz w:val="16"/>
              </w:rPr>
              <w:t>Description</w:t>
            </w:r>
            <w:r>
              <w:rPr>
                <w:sz w:val="17"/>
              </w:rPr>
              <w:t xml:space="preserve"> (lowercased) contains any of </w:t>
            </w:r>
            <w:r>
              <w:rPr>
                <w:rFonts w:ascii="Courier New" w:hAnsi="Courier New"/>
                <w:sz w:val="16"/>
              </w:rPr>
              <w:t>"misc"</w:t>
            </w:r>
            <w:r>
              <w:rPr>
                <w:sz w:val="17"/>
              </w:rPr>
              <w:t xml:space="preserve">, </w:t>
            </w:r>
            <w:r>
              <w:rPr>
                <w:rFonts w:ascii="Courier New" w:hAnsi="Courier New"/>
                <w:sz w:val="16"/>
              </w:rPr>
              <w:t>"miscellaneous"</w:t>
            </w:r>
            <w:r>
              <w:rPr>
                <w:sz w:val="17"/>
              </w:rPr>
              <w:t xml:space="preserve">, </w:t>
            </w:r>
            <w:r>
              <w:rPr>
                <w:rFonts w:ascii="Courier New" w:hAnsi="Courier New"/>
                <w:sz w:val="16"/>
              </w:rPr>
              <w:t>"adjustment"</w:t>
            </w:r>
            <w:r>
              <w:rPr>
                <w:sz w:val="17"/>
              </w:rPr>
              <w:t xml:space="preserve">, </w:t>
            </w:r>
            <w:r>
              <w:rPr>
                <w:rFonts w:ascii="Courier New" w:hAnsi="Courier New"/>
                <w:sz w:val="16"/>
              </w:rPr>
              <w:t>"write-off"</w:t>
            </w:r>
            <w:r>
              <w:rPr>
                <w:sz w:val="17"/>
              </w:rPr>
              <w:t xml:space="preserve">, </w:t>
            </w:r>
            <w:r>
              <w:rPr>
                <w:rFonts w:ascii="Courier New" w:hAnsi="Courier New"/>
                <w:sz w:val="16"/>
              </w:rPr>
              <w:t>"write off"</w:t>
            </w:r>
            <w:r>
              <w:rPr>
                <w:sz w:val="17"/>
              </w:rPr>
              <w:t xml:space="preserve">, </w:t>
            </w:r>
            <w:r>
              <w:rPr>
                <w:rFonts w:ascii="Courier New" w:hAnsi="Courier New"/>
                <w:sz w:val="16"/>
              </w:rPr>
              <w:t>"reclass"</w:t>
            </w:r>
            <w:r>
              <w:rPr>
                <w:sz w:val="17"/>
              </w:rPr>
              <w:t xml:space="preserve">, or </w:t>
            </w:r>
            <w:r>
              <w:rPr>
                <w:rFonts w:ascii="Courier New" w:hAnsi="Courier New"/>
                <w:sz w:val="16"/>
              </w:rPr>
              <w:t>"mccr"</w:t>
            </w:r>
            <w:r>
              <w:rPr>
                <w:sz w:val="17"/>
              </w:rPr>
              <w:t xml:space="preserve"> shall produce an individual </w:t>
            </w:r>
            <w:r>
              <w:rPr>
                <w:rFonts w:ascii="Courier New" w:hAnsi="Courier New"/>
                <w:sz w:val="16"/>
              </w:rPr>
              <w:t>Misc Tenant Credit</w:t>
            </w:r>
            <w:r>
              <w:rPr>
                <w:sz w:val="17"/>
              </w:rPr>
              <w:t xml:space="preserve"> flag. Each row produces a separate flag record; no aggregation is performed. Risk: HIGH.</w:t>
            </w:r>
          </w:p>
        </w:tc>
        <w:tc>
          <w:tcPr>
            <w:tcW w:type="dxa" w:w="1152"/>
          </w:tcPr>
          <w:p>
            <w:pPr>
              <w:spacing w:before="40" w:after="40"/>
            </w:pPr>
            <w:r/>
            <w:r>
              <w:rPr>
                <w:sz w:val="17"/>
              </w:rPr>
              <w:t>Warning</w:t>
            </w:r>
          </w:p>
        </w:tc>
        <w:tc>
          <w:tcPr>
            <w:tcW w:type="dxa" w:w="2808"/>
          </w:tcPr>
          <w:p>
            <w:pPr>
              <w:spacing w:before="40" w:after="40"/>
            </w:pPr>
            <w:r/>
            <w:r>
              <w:rPr>
                <w:sz w:val="17"/>
              </w:rPr>
              <w:t xml:space="preserve">Transaction List row with misc keyword in </w:t>
            </w:r>
            <w:r>
              <w:rPr>
                <w:rFonts w:ascii="Courier New" w:hAnsi="Courier New"/>
                <w:sz w:val="16"/>
              </w:rPr>
              <w:t>Description</w:t>
            </w:r>
            <w:r>
              <w:rPr>
                <w:sz w:val="17"/>
              </w:rPr>
              <w:t xml:space="preserve">; </w:t>
            </w:r>
            <w:r>
              <w:rPr>
                <w:rFonts w:ascii="Courier New" w:hAnsi="Courier New"/>
                <w:sz w:val="16"/>
              </w:rPr>
              <w:t>Is_Reversal = False</w:t>
            </w:r>
            <w:r>
              <w:rPr>
                <w:sz w:val="17"/>
              </w:rPr>
              <w:t xml:space="preserve">; </w:t>
            </w:r>
            <w:r>
              <w:rPr>
                <w:rFonts w:ascii="Courier New" w:hAnsi="Courier New"/>
                <w:sz w:val="16"/>
              </w:rPr>
              <w:t>Amount &gt; 0</w:t>
            </w:r>
          </w:p>
        </w:tc>
      </w:tr>
    </w:tbl>
    <w:p/>
    <w:p>
      <w:pPr>
        <w:pStyle w:val="Heading2"/>
      </w:pPr>
      <w:r>
        <w:rPr>
          <w:color w:val="2E74B5"/>
        </w:rPr>
        <w:t>6.6 Fee Schedule Check Engine</w:t>
      </w:r>
    </w:p>
    <w:tbl>
      <w:tblPr>
        <w:tblStyle w:val="TableGrid"/>
        <w:tblW w:type="auto" w:w="0"/>
        <w:tblLook w:firstColumn="1" w:firstRow="1" w:lastColumn="0" w:lastRow="0" w:noHBand="0" w:noVBand="1" w:val="04A0"/>
      </w:tblPr>
      <w:tblGrid>
        <w:gridCol w:w="2250"/>
        <w:gridCol w:w="2250"/>
        <w:gridCol w:w="2250"/>
        <w:gridCol w:w="2250"/>
      </w:tblGrid>
      <w:tr>
        <w:tc>
          <w:tcPr>
            <w:tcW w:type="dxa" w:w="864"/>
            <w:shd w:val="clear" w:color="auto" w:fill="1F4E79"/>
          </w:tcPr>
          <w:p>
            <w:pPr>
              <w:spacing w:before="60" w:after="60"/>
              <w:jc w:val="center"/>
            </w:pPr>
            <w:r/>
            <w:r>
              <w:rPr>
                <w:b/>
                <w:color w:val="FFFFFF"/>
                <w:sz w:val="18"/>
              </w:rPr>
              <w:t>ID</w:t>
            </w:r>
          </w:p>
        </w:tc>
        <w:tc>
          <w:tcPr>
            <w:tcW w:type="dxa" w:w="4104"/>
            <w:shd w:val="clear" w:color="auto" w:fill="1F4E79"/>
          </w:tcPr>
          <w:p>
            <w:pPr>
              <w:spacing w:before="60" w:after="60"/>
              <w:jc w:val="center"/>
            </w:pPr>
            <w:r/>
            <w:r>
              <w:rPr>
                <w:b/>
                <w:color w:val="FFFFFF"/>
                <w:sz w:val="18"/>
              </w:rPr>
              <w:t>Rule</w:t>
            </w:r>
          </w:p>
        </w:tc>
        <w:tc>
          <w:tcPr>
            <w:tcW w:type="dxa" w:w="1152"/>
            <w:shd w:val="clear" w:color="auto" w:fill="1F4E79"/>
          </w:tcPr>
          <w:p>
            <w:pPr>
              <w:spacing w:before="60" w:after="60"/>
              <w:jc w:val="center"/>
            </w:pPr>
            <w:r/>
            <w:r>
              <w:rPr>
                <w:b/>
                <w:color w:val="FFFFFF"/>
                <w:sz w:val="18"/>
              </w:rPr>
              <w:t>Severity</w:t>
            </w:r>
          </w:p>
        </w:tc>
        <w:tc>
          <w:tcPr>
            <w:tcW w:type="dxa" w:w="2808"/>
            <w:shd w:val="clear" w:color="auto" w:fill="1F4E79"/>
          </w:tcPr>
          <w:p>
            <w:pPr>
              <w:spacing w:before="60" w:after="60"/>
              <w:jc w:val="center"/>
            </w:pPr>
            <w:r/>
            <w:r>
              <w:rPr>
                <w:b/>
                <w:color w:val="FFFFFF"/>
                <w:sz w:val="18"/>
              </w:rPr>
              <w:t>Requires</w:t>
            </w:r>
          </w:p>
        </w:tc>
      </w:tr>
      <w:tr>
        <w:tc>
          <w:tcPr>
            <w:tcW w:type="dxa" w:w="864"/>
          </w:tcPr>
          <w:p>
            <w:pPr>
              <w:spacing w:before="40" w:after="40"/>
            </w:pPr>
            <w:r/>
            <w:r>
              <w:rPr>
                <w:sz w:val="17"/>
              </w:rPr>
              <w:t>BR-60</w:t>
            </w:r>
          </w:p>
        </w:tc>
        <w:tc>
          <w:tcPr>
            <w:tcW w:type="dxa" w:w="4104"/>
          </w:tcPr>
          <w:p>
            <w:pPr>
              <w:spacing w:before="40" w:after="40"/>
            </w:pPr>
            <w:r/>
            <w:r>
              <w:rPr>
                <w:b/>
                <w:sz w:val="17"/>
              </w:rPr>
              <w:t>Property Schedule Availability Guard:</w:t>
            </w:r>
            <w:r>
              <w:rPr>
                <w:sz w:val="17"/>
              </w:rPr>
              <w:t xml:space="preserve"> If a property has no entry in </w:t>
            </w:r>
            <w:r>
              <w:rPr>
                <w:rFonts w:ascii="Courier New" w:hAnsi="Courier New"/>
                <w:sz w:val="16"/>
              </w:rPr>
              <w:t>PROPERTY_FEE_SCHEDULE</w:t>
            </w:r>
            <w:r>
              <w:rPr>
                <w:sz w:val="17"/>
              </w:rPr>
              <w:t xml:space="preserve">, the system shall print </w:t>
            </w:r>
            <w:r>
              <w:rPr>
                <w:rFonts w:ascii="Courier New" w:hAnsi="Courier New"/>
                <w:sz w:val="16"/>
              </w:rPr>
              <w:t>[SKIP] &lt;property&gt; — no fee schedule loaded</w:t>
            </w:r>
            <w:r>
              <w:rPr>
                <w:sz w:val="17"/>
              </w:rPr>
              <w:t xml:space="preserve"> and skip all units for that property. Currently, La Prada is the only property without a fee schedule.</w:t>
            </w:r>
          </w:p>
        </w:tc>
        <w:tc>
          <w:tcPr>
            <w:tcW w:type="dxa" w:w="1152"/>
          </w:tcPr>
          <w:p>
            <w:pPr>
              <w:spacing w:before="40" w:after="40"/>
            </w:pPr>
            <w:r/>
            <w:r>
              <w:rPr>
                <w:sz w:val="17"/>
              </w:rPr>
              <w:t>Warning</w:t>
            </w:r>
          </w:p>
        </w:tc>
        <w:tc>
          <w:tcPr>
            <w:tcW w:type="dxa" w:w="2808"/>
          </w:tcPr>
          <w:p>
            <w:pPr>
              <w:spacing w:before="40" w:after="40"/>
            </w:pPr>
            <w:r/>
            <w:r>
              <w:rPr>
                <w:sz w:val="17"/>
              </w:rPr>
              <w:t xml:space="preserve">Property name present in </w:t>
            </w:r>
            <w:r>
              <w:rPr>
                <w:rFonts w:ascii="Courier New" w:hAnsi="Courier New"/>
                <w:sz w:val="16"/>
              </w:rPr>
              <w:t>PROPERTY_FEE_SCHEDULE</w:t>
            </w:r>
            <w:r>
              <w:rPr>
                <w:sz w:val="17"/>
              </w:rPr>
              <w:t xml:space="preserve"> constant</w:t>
            </w:r>
          </w:p>
        </w:tc>
      </w:tr>
      <w:tr>
        <w:tc>
          <w:tcPr>
            <w:tcW w:type="dxa" w:w="864"/>
            <w:shd w:val="clear" w:color="auto" w:fill="D6E4F0"/>
          </w:tcPr>
          <w:p>
            <w:pPr>
              <w:spacing w:before="40" w:after="40"/>
            </w:pPr>
            <w:r/>
            <w:r>
              <w:rPr>
                <w:sz w:val="17"/>
              </w:rPr>
              <w:t>BR-61</w:t>
            </w:r>
          </w:p>
        </w:tc>
        <w:tc>
          <w:tcPr>
            <w:tcW w:type="dxa" w:w="4104"/>
            <w:shd w:val="clear" w:color="auto" w:fill="D6E4F0"/>
          </w:tcPr>
          <w:p>
            <w:pPr>
              <w:spacing w:before="40" w:after="40"/>
            </w:pPr>
            <w:r/>
            <w:r>
              <w:rPr>
                <w:b/>
                <w:sz w:val="17"/>
              </w:rPr>
              <w:t>Charge Matching by Keyword:</w:t>
            </w:r>
            <w:r>
              <w:rPr>
                <w:sz w:val="17"/>
              </w:rPr>
              <w:t xml:space="preserve"> Each fee in the property's schedule is matched to projection rows using a substring search: the fee's </w:t>
            </w:r>
            <w:r>
              <w:rPr>
                <w:rFonts w:ascii="Courier New" w:hAnsi="Courier New"/>
                <w:sz w:val="16"/>
              </w:rPr>
              <w:t>keywords</w:t>
            </w:r>
            <w:r>
              <w:rPr>
                <w:sz w:val="17"/>
              </w:rPr>
              <w:t xml:space="preserve"> list is checked against the lowercased </w:t>
            </w:r>
            <w:r>
              <w:rPr>
                <w:rFonts w:ascii="Courier New" w:hAnsi="Courier New"/>
                <w:sz w:val="16"/>
              </w:rPr>
              <w:t>Category</w:t>
            </w:r>
            <w:r>
              <w:rPr>
                <w:sz w:val="17"/>
              </w:rPr>
              <w:t xml:space="preserve"> string for each unit row. If no row matches a fee's keywords, no action is taken (missing charges are the responsibility of the 90% Rule, not the Fee Schedule Check).</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 xml:space="preserve">Transaction Projection row with </w:t>
            </w:r>
            <w:r>
              <w:rPr>
                <w:rFonts w:ascii="Courier New" w:hAnsi="Courier New"/>
                <w:sz w:val="16"/>
              </w:rPr>
              <w:t>Category</w:t>
            </w:r>
            <w:r>
              <w:rPr>
                <w:sz w:val="17"/>
              </w:rPr>
              <w:t xml:space="preserve"> matching fee keyword; </w:t>
            </w:r>
            <w:r>
              <w:rPr>
                <w:rFonts w:ascii="Courier New" w:hAnsi="Courier New"/>
                <w:sz w:val="16"/>
              </w:rPr>
              <w:t>Amount &gt; 0</w:t>
            </w:r>
          </w:p>
        </w:tc>
      </w:tr>
      <w:tr>
        <w:tc>
          <w:tcPr>
            <w:tcW w:type="dxa" w:w="864"/>
          </w:tcPr>
          <w:p>
            <w:pPr>
              <w:spacing w:before="40" w:after="40"/>
            </w:pPr>
            <w:r/>
            <w:r>
              <w:rPr>
                <w:sz w:val="17"/>
              </w:rPr>
              <w:t>BR-62</w:t>
            </w:r>
          </w:p>
        </w:tc>
        <w:tc>
          <w:tcPr>
            <w:tcW w:type="dxa" w:w="4104"/>
          </w:tcPr>
          <w:p>
            <w:pPr>
              <w:spacing w:before="40" w:after="40"/>
            </w:pPr>
            <w:r/>
            <w:r>
              <w:rPr>
                <w:b/>
                <w:sz w:val="17"/>
              </w:rPr>
              <w:t>Fee Amount Variance Threshold — $1:</w:t>
            </w:r>
            <w:r>
              <w:rPr>
                <w:sz w:val="17"/>
              </w:rPr>
              <w:t xml:space="preserve"> A </w:t>
            </w:r>
            <w:r>
              <w:rPr>
                <w:rFonts w:ascii="Courier New" w:hAnsi="Courier New"/>
                <w:sz w:val="16"/>
              </w:rPr>
              <w:t>Fee Schedule Violation</w:t>
            </w:r>
            <w:r>
              <w:rPr>
                <w:sz w:val="17"/>
              </w:rPr>
              <w:t xml:space="preserve"> flag is produced when </w:t>
            </w:r>
            <w:r>
              <w:rPr>
                <w:rFonts w:ascii="Courier New" w:hAnsi="Courier New"/>
                <w:sz w:val="16"/>
              </w:rPr>
              <w:t>abs(actual_amount − scheduled_amount) &gt;= $1.00</w:t>
            </w:r>
            <w:r>
              <w:rPr>
                <w:sz w:val="17"/>
              </w:rPr>
              <w:t xml:space="preserve">. Variances below $1 are suppressed. This threshold was specified by Daniel Twito as the official cutoff for charge amount comparisons. </w:t>
            </w:r>
            <w:r>
              <w:rPr>
                <w:rFonts w:ascii="Courier New" w:hAnsi="Courier New"/>
                <w:sz w:val="16"/>
              </w:rPr>
              <w:t>Amount_Impact = variance</w:t>
            </w:r>
            <w:r>
              <w:rPr>
                <w:sz w:val="17"/>
              </w:rPr>
              <w:t>. Risk: HIGH.</w:t>
            </w:r>
          </w:p>
        </w:tc>
        <w:tc>
          <w:tcPr>
            <w:tcW w:type="dxa" w:w="1152"/>
          </w:tcPr>
          <w:p>
            <w:pPr>
              <w:spacing w:before="40" w:after="40"/>
            </w:pPr>
            <w:r/>
            <w:r>
              <w:rPr>
                <w:sz w:val="17"/>
              </w:rPr>
              <w:t>Error</w:t>
            </w:r>
          </w:p>
        </w:tc>
        <w:tc>
          <w:tcPr>
            <w:tcW w:type="dxa" w:w="2808"/>
          </w:tcPr>
          <w:p>
            <w:pPr>
              <w:spacing w:before="40" w:after="40"/>
            </w:pPr>
            <w:r/>
            <w:r>
              <w:rPr>
                <w:sz w:val="17"/>
              </w:rPr>
              <w:t xml:space="preserve">Matching projection row with </w:t>
            </w:r>
            <w:r>
              <w:rPr>
                <w:rFonts w:ascii="Courier New" w:hAnsi="Courier New"/>
                <w:sz w:val="16"/>
              </w:rPr>
              <w:t>Amount &gt; 0</w:t>
            </w:r>
            <w:r>
              <w:rPr>
                <w:sz w:val="17"/>
              </w:rPr>
              <w:t xml:space="preserve">; </w:t>
            </w:r>
            <w:r>
              <w:rPr>
                <w:rFonts w:ascii="Courier New" w:hAnsi="Courier New"/>
                <w:sz w:val="16"/>
              </w:rPr>
              <w:t>abs(actual − scheduled) &gt;= 1.00</w:t>
            </w:r>
          </w:p>
        </w:tc>
      </w:tr>
      <w:tr>
        <w:tc>
          <w:tcPr>
            <w:tcW w:type="dxa" w:w="864"/>
            <w:shd w:val="clear" w:color="auto" w:fill="D6E4F0"/>
          </w:tcPr>
          <w:p>
            <w:pPr>
              <w:spacing w:before="40" w:after="40"/>
            </w:pPr>
            <w:r/>
            <w:r>
              <w:rPr>
                <w:sz w:val="17"/>
              </w:rPr>
              <w:t>BR-63</w:t>
            </w:r>
          </w:p>
        </w:tc>
        <w:tc>
          <w:tcPr>
            <w:tcW w:type="dxa" w:w="4104"/>
            <w:shd w:val="clear" w:color="auto" w:fill="D6E4F0"/>
          </w:tcPr>
          <w:p>
            <w:pPr>
              <w:spacing w:before="40" w:after="40"/>
            </w:pPr>
            <w:r/>
            <w:r>
              <w:rPr>
                <w:b/>
                <w:sz w:val="17"/>
              </w:rPr>
              <w:t>Optional Fee Multi-Unit Exemption:</w:t>
            </w:r>
            <w:r>
              <w:rPr>
                <w:sz w:val="17"/>
              </w:rPr>
              <w:t xml:space="preserve"> For fees marked </w:t>
            </w:r>
            <w:r>
              <w:rPr>
                <w:rFonts w:ascii="Courier New" w:hAnsi="Courier New"/>
                <w:sz w:val="16"/>
              </w:rPr>
              <w:t>optional: True</w:t>
            </w:r>
            <w:r>
              <w:rPr>
                <w:sz w:val="17"/>
              </w:rPr>
              <w:t xml:space="preserve"> in the schedule, if the resident's posted amount is an exact whole-number multiple of the per-unit scheduled rate (</w:t>
            </w:r>
            <w:r>
              <w:rPr>
                <w:rFonts w:ascii="Courier New" w:hAnsi="Courier New"/>
                <w:sz w:val="16"/>
              </w:rPr>
              <w:t>actual_amount % scheduled_amount == 0.00</w:t>
            </w:r>
            <w:r>
              <w:rPr>
                <w:sz w:val="17"/>
              </w:rPr>
              <w:t>, rounded to 2 decimal places), the fee is not flagged. This allows residents with multiple optional units (e.g., 3 parking spaces at $35/each = $105) to pass validation without producing a false positive.</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sz w:val="17"/>
              </w:rPr>
              <w:t xml:space="preserve">Fee marked </w:t>
            </w:r>
            <w:r>
              <w:rPr>
                <w:rFonts w:ascii="Courier New" w:hAnsi="Courier New"/>
                <w:sz w:val="16"/>
              </w:rPr>
              <w:t>optional: True</w:t>
            </w:r>
            <w:r>
              <w:rPr>
                <w:sz w:val="17"/>
              </w:rPr>
              <w:t xml:space="preserve">; </w:t>
            </w:r>
            <w:r>
              <w:rPr>
                <w:rFonts w:ascii="Courier New" w:hAnsi="Courier New"/>
                <w:sz w:val="16"/>
              </w:rPr>
              <w:t>actual_amount % scheduled_amount == 0.00</w:t>
            </w:r>
          </w:p>
        </w:tc>
      </w:tr>
      <w:tr>
        <w:tc>
          <w:tcPr>
            <w:tcW w:type="dxa" w:w="864"/>
          </w:tcPr>
          <w:p>
            <w:pPr>
              <w:spacing w:before="40" w:after="40"/>
            </w:pPr>
            <w:r/>
            <w:r>
              <w:rPr>
                <w:sz w:val="17"/>
              </w:rPr>
              <w:t>BR-64</w:t>
            </w:r>
          </w:p>
        </w:tc>
        <w:tc>
          <w:tcPr>
            <w:tcW w:type="dxa" w:w="4104"/>
          </w:tcPr>
          <w:p>
            <w:pPr>
              <w:spacing w:before="40" w:after="40"/>
            </w:pPr>
            <w:r/>
            <w:r>
              <w:rPr>
                <w:b/>
                <w:sz w:val="17"/>
              </w:rPr>
              <w:t>Negative Amount Exclusion:</w:t>
            </w:r>
            <w:r>
              <w:rPr>
                <w:sz w:val="17"/>
              </w:rPr>
              <w:t xml:space="preserve"> Any Transaction Projection row with a negative </w:t>
            </w:r>
            <w:r>
              <w:rPr>
                <w:rFonts w:ascii="Courier New" w:hAnsi="Courier New"/>
                <w:sz w:val="16"/>
              </w:rPr>
              <w:t>Amount</w:t>
            </w:r>
            <w:r>
              <w:rPr>
                <w:sz w:val="17"/>
              </w:rPr>
              <w:t xml:space="preserve"> (a concession or credit entry) is excluded from all fee schedule comparisons. Only positive-amount charge rows are validated against the schedule.</w:t>
            </w:r>
          </w:p>
        </w:tc>
        <w:tc>
          <w:tcPr>
            <w:tcW w:type="dxa" w:w="1152"/>
          </w:tcPr>
          <w:p>
            <w:pPr>
              <w:spacing w:before="40" w:after="40"/>
            </w:pPr>
            <w:r/>
            <w:r>
              <w:rPr>
                <w:sz w:val="17"/>
              </w:rPr>
              <w:t>Warning</w:t>
            </w:r>
          </w:p>
        </w:tc>
        <w:tc>
          <w:tcPr>
            <w:tcW w:type="dxa" w:w="2808"/>
          </w:tcPr>
          <w:p>
            <w:pPr>
              <w:spacing w:before="40" w:after="40"/>
            </w:pPr>
            <w:r/>
            <w:r>
              <w:rPr>
                <w:sz w:val="17"/>
              </w:rPr>
              <w:t xml:space="preserve">Projection row with </w:t>
            </w:r>
            <w:r>
              <w:rPr>
                <w:rFonts w:ascii="Courier New" w:hAnsi="Courier New"/>
                <w:sz w:val="16"/>
              </w:rPr>
              <w:t>Amount &lt;= 0</w:t>
            </w:r>
          </w:p>
        </w:tc>
      </w:tr>
    </w:tbl>
    <w:p/>
    <w:p>
      <w:pPr>
        <w:pStyle w:val="Heading2"/>
      </w:pPr>
      <w:r>
        <w:rPr>
          <w:color w:val="2E74B5"/>
        </w:rPr>
        <w:t>6.7 Financial Exposure Calculation Rules</w:t>
      </w:r>
    </w:p>
    <w:tbl>
      <w:tblPr>
        <w:tblStyle w:val="TableGrid"/>
        <w:tblW w:type="auto" w:w="0"/>
        <w:tblLook w:firstColumn="1" w:firstRow="1" w:lastColumn="0" w:lastRow="0" w:noHBand="0" w:noVBand="1" w:val="04A0"/>
      </w:tblPr>
      <w:tblGrid>
        <w:gridCol w:w="2250"/>
        <w:gridCol w:w="2250"/>
        <w:gridCol w:w="2250"/>
        <w:gridCol w:w="2250"/>
      </w:tblGrid>
      <w:tr>
        <w:tc>
          <w:tcPr>
            <w:tcW w:type="dxa" w:w="864"/>
            <w:shd w:val="clear" w:color="auto" w:fill="1F4E79"/>
          </w:tcPr>
          <w:p>
            <w:pPr>
              <w:spacing w:before="60" w:after="60"/>
              <w:jc w:val="center"/>
            </w:pPr>
            <w:r/>
            <w:r>
              <w:rPr>
                <w:b/>
                <w:color w:val="FFFFFF"/>
                <w:sz w:val="18"/>
              </w:rPr>
              <w:t>ID</w:t>
            </w:r>
          </w:p>
        </w:tc>
        <w:tc>
          <w:tcPr>
            <w:tcW w:type="dxa" w:w="4104"/>
            <w:shd w:val="clear" w:color="auto" w:fill="1F4E79"/>
          </w:tcPr>
          <w:p>
            <w:pPr>
              <w:spacing w:before="60" w:after="60"/>
              <w:jc w:val="center"/>
            </w:pPr>
            <w:r/>
            <w:r>
              <w:rPr>
                <w:b/>
                <w:color w:val="FFFFFF"/>
                <w:sz w:val="18"/>
              </w:rPr>
              <w:t>Rule</w:t>
            </w:r>
          </w:p>
        </w:tc>
        <w:tc>
          <w:tcPr>
            <w:tcW w:type="dxa" w:w="1152"/>
            <w:shd w:val="clear" w:color="auto" w:fill="1F4E79"/>
          </w:tcPr>
          <w:p>
            <w:pPr>
              <w:spacing w:before="60" w:after="60"/>
              <w:jc w:val="center"/>
            </w:pPr>
            <w:r/>
            <w:r>
              <w:rPr>
                <w:b/>
                <w:color w:val="FFFFFF"/>
                <w:sz w:val="18"/>
              </w:rPr>
              <w:t>Severity</w:t>
            </w:r>
          </w:p>
        </w:tc>
        <w:tc>
          <w:tcPr>
            <w:tcW w:type="dxa" w:w="2808"/>
            <w:shd w:val="clear" w:color="auto" w:fill="1F4E79"/>
          </w:tcPr>
          <w:p>
            <w:pPr>
              <w:spacing w:before="60" w:after="60"/>
              <w:jc w:val="center"/>
            </w:pPr>
            <w:r/>
            <w:r>
              <w:rPr>
                <w:b/>
                <w:color w:val="FFFFFF"/>
                <w:sz w:val="18"/>
              </w:rPr>
              <w:t>Requires</w:t>
            </w:r>
          </w:p>
        </w:tc>
      </w:tr>
      <w:tr>
        <w:tc>
          <w:tcPr>
            <w:tcW w:type="dxa" w:w="864"/>
          </w:tcPr>
          <w:p>
            <w:pPr>
              <w:spacing w:before="40" w:after="40"/>
            </w:pPr>
            <w:r/>
            <w:r>
              <w:rPr>
                <w:sz w:val="17"/>
              </w:rPr>
              <w:t>BR-65</w:t>
            </w:r>
          </w:p>
        </w:tc>
        <w:tc>
          <w:tcPr>
            <w:tcW w:type="dxa" w:w="4104"/>
          </w:tcPr>
          <w:p>
            <w:pPr>
              <w:spacing w:before="40" w:after="40"/>
            </w:pPr>
            <w:r/>
            <w:r>
              <w:rPr>
                <w:b/>
                <w:sz w:val="17"/>
              </w:rPr>
              <w:t>Engine Output Concatenation:</w:t>
            </w:r>
            <w:r>
              <w:rPr>
                <w:sz w:val="17"/>
              </w:rPr>
              <w:t xml:space="preserve"> All flags from John's Engine, Daniel's Engine, and the Fee Schedule Check Engine are concatenated into a single </w:t>
            </w:r>
            <w:r>
              <w:rPr>
                <w:rFonts w:ascii="Courier New" w:hAnsi="Courier New"/>
                <w:sz w:val="16"/>
              </w:rPr>
              <w:t>all_flags</w:t>
            </w:r>
            <w:r>
              <w:rPr>
                <w:sz w:val="17"/>
              </w:rPr>
              <w:t xml:space="preserve"> DataFrame before exposure is calculated. If all three engines produce empty DataFrames, exposure calculation returns a dict of empty DataFrames rather than raising an error.</w:t>
            </w:r>
          </w:p>
        </w:tc>
        <w:tc>
          <w:tcPr>
            <w:tcW w:type="dxa" w:w="1152"/>
          </w:tcPr>
          <w:p>
            <w:pPr>
              <w:spacing w:before="40" w:after="40"/>
            </w:pPr>
            <w:r/>
            <w:r>
              <w:rPr>
                <w:sz w:val="17"/>
              </w:rPr>
              <w:t>Warning</w:t>
            </w:r>
          </w:p>
        </w:tc>
        <w:tc>
          <w:tcPr>
            <w:tcW w:type="dxa" w:w="2808"/>
          </w:tcPr>
          <w:p>
            <w:pPr>
              <w:spacing w:before="40" w:after="40"/>
            </w:pPr>
            <w:r/>
            <w:r>
              <w:rPr>
                <w:sz w:val="17"/>
              </w:rPr>
              <w:t>At least one engine returning a non-empty flags DataFrame</w:t>
            </w:r>
          </w:p>
        </w:tc>
      </w:tr>
      <w:tr>
        <w:tc>
          <w:tcPr>
            <w:tcW w:type="dxa" w:w="864"/>
            <w:shd w:val="clear" w:color="auto" w:fill="D6E4F0"/>
          </w:tcPr>
          <w:p>
            <w:pPr>
              <w:spacing w:before="40" w:after="40"/>
            </w:pPr>
            <w:r/>
            <w:r>
              <w:rPr>
                <w:sz w:val="17"/>
              </w:rPr>
              <w:t>BR-66</w:t>
            </w:r>
          </w:p>
        </w:tc>
        <w:tc>
          <w:tcPr>
            <w:tcW w:type="dxa" w:w="4104"/>
            <w:shd w:val="clear" w:color="auto" w:fill="D6E4F0"/>
          </w:tcPr>
          <w:p>
            <w:pPr>
              <w:spacing w:before="40" w:after="40"/>
            </w:pPr>
            <w:r/>
            <w:r>
              <w:rPr>
                <w:b/>
                <w:sz w:val="17"/>
              </w:rPr>
              <w:t>Deduped Exposure Computation:</w:t>
            </w:r>
            <w:r>
              <w:rPr>
                <w:sz w:val="17"/>
              </w:rPr>
              <w:t xml:space="preserve"> The conservative (deduped) exposure figure is computed as: </w:t>
            </w:r>
            <w:r>
              <w:rPr>
                <w:rFonts w:ascii="Courier New" w:hAnsi="Courier New"/>
                <w:sz w:val="16"/>
              </w:rPr>
              <w:t>df.groupby(["Property", "Unit"])["Amount_Impact"].max().sum()</w:t>
            </w:r>
            <w:r>
              <w:rPr>
                <w:sz w:val="17"/>
              </w:rPr>
              <w:t>. This takes the single highest-impact flag per unit across all engines before summing across all units, preventing the same financial event (e.g., one posted credit flagged by both John's R5 and Daniel's Manual Posting rules) from being double-counted in the reported exposure.</w:t>
            </w:r>
          </w:p>
        </w:tc>
        <w:tc>
          <w:tcPr>
            <w:tcW w:type="dxa" w:w="1152"/>
            <w:shd w:val="clear" w:color="auto" w:fill="D6E4F0"/>
          </w:tcPr>
          <w:p>
            <w:pPr>
              <w:spacing w:before="40" w:after="40"/>
            </w:pPr>
            <w:r/>
            <w:r>
              <w:rPr>
                <w:sz w:val="17"/>
              </w:rPr>
              <w:t>Error</w:t>
            </w:r>
          </w:p>
        </w:tc>
        <w:tc>
          <w:tcPr>
            <w:tcW w:type="dxa" w:w="2808"/>
            <w:shd w:val="clear" w:color="auto" w:fill="D6E4F0"/>
          </w:tcPr>
          <w:p>
            <w:pPr>
              <w:spacing w:before="40" w:after="40"/>
            </w:pPr>
            <w:r/>
            <w:r>
              <w:rPr>
                <w:rFonts w:ascii="Courier New" w:hAnsi="Courier New"/>
                <w:sz w:val="16"/>
              </w:rPr>
              <w:t>all_flags</w:t>
            </w:r>
            <w:r>
              <w:rPr>
                <w:sz w:val="17"/>
              </w:rPr>
              <w:t xml:space="preserve"> non-empty; </w:t>
            </w:r>
            <w:r>
              <w:rPr>
                <w:rFonts w:ascii="Courier New" w:hAnsi="Courier New"/>
                <w:sz w:val="16"/>
              </w:rPr>
              <w:t>Property</w:t>
            </w:r>
            <w:r>
              <w:rPr>
                <w:sz w:val="17"/>
              </w:rPr>
              <w:t xml:space="preserve">, </w:t>
            </w:r>
            <w:r>
              <w:rPr>
                <w:rFonts w:ascii="Courier New" w:hAnsi="Courier New"/>
                <w:sz w:val="16"/>
              </w:rPr>
              <w:t>Unit</w:t>
            </w:r>
            <w:r>
              <w:rPr>
                <w:sz w:val="17"/>
              </w:rPr>
              <w:t xml:space="preserve">, and </w:t>
            </w:r>
            <w:r>
              <w:rPr>
                <w:rFonts w:ascii="Courier New" w:hAnsi="Courier New"/>
                <w:sz w:val="16"/>
              </w:rPr>
              <w:t>Amount_Impact</w:t>
            </w:r>
            <w:r>
              <w:rPr>
                <w:sz w:val="17"/>
              </w:rPr>
              <w:t xml:space="preserve"> columns present</w:t>
            </w:r>
          </w:p>
        </w:tc>
      </w:tr>
      <w:tr>
        <w:tc>
          <w:tcPr>
            <w:tcW w:type="dxa" w:w="864"/>
          </w:tcPr>
          <w:p>
            <w:pPr>
              <w:spacing w:before="40" w:after="40"/>
            </w:pPr>
            <w:r/>
            <w:r>
              <w:rPr>
                <w:sz w:val="17"/>
              </w:rPr>
              <w:t>BR-67</w:t>
            </w:r>
          </w:p>
        </w:tc>
        <w:tc>
          <w:tcPr>
            <w:tcW w:type="dxa" w:w="4104"/>
          </w:tcPr>
          <w:p>
            <w:pPr>
              <w:spacing w:before="40" w:after="40"/>
            </w:pPr>
            <w:r/>
            <w:r>
              <w:rPr>
                <w:b/>
                <w:sz w:val="17"/>
              </w:rPr>
              <w:t>Raw Exposure vs Deduped Exposure Distinction:</w:t>
            </w:r>
            <w:r>
              <w:rPr>
                <w:sz w:val="17"/>
              </w:rPr>
              <w:t xml:space="preserve"> The system retains both </w:t>
            </w:r>
            <w:r>
              <w:rPr>
                <w:rFonts w:ascii="Courier New" w:hAnsi="Courier New"/>
                <w:sz w:val="16"/>
              </w:rPr>
              <w:t>Total_Exposure</w:t>
            </w:r>
            <w:r>
              <w:rPr>
                <w:sz w:val="17"/>
              </w:rPr>
              <w:t xml:space="preserve"> (raw sum of all </w:t>
            </w:r>
            <w:r>
              <w:rPr>
                <w:rFonts w:ascii="Courier New" w:hAnsi="Courier New"/>
                <w:sz w:val="16"/>
              </w:rPr>
              <w:t>Amount_Impact</w:t>
            </w:r>
            <w:r>
              <w:rPr>
                <w:sz w:val="17"/>
              </w:rPr>
              <w:t xml:space="preserve"> values across every flag row) and </w:t>
            </w:r>
            <w:r>
              <w:rPr>
                <w:rFonts w:ascii="Courier New" w:hAnsi="Courier New"/>
                <w:sz w:val="16"/>
              </w:rPr>
              <w:t>Deduped_Exposure</w:t>
            </w:r>
            <w:r>
              <w:rPr>
                <w:sz w:val="17"/>
              </w:rPr>
              <w:t xml:space="preserve"> (per the rule above). </w:t>
            </w:r>
            <w:r>
              <w:rPr>
                <w:rFonts w:ascii="Courier New" w:hAnsi="Courier New"/>
                <w:sz w:val="16"/>
              </w:rPr>
              <w:t>Total_Exposure</w:t>
            </w:r>
            <w:r>
              <w:rPr>
                <w:sz w:val="17"/>
              </w:rPr>
              <w:t xml:space="preserve"> is the upper ceiling and </w:t>
            </w:r>
            <w:r>
              <w:rPr>
                <w:rFonts w:ascii="Courier New" w:hAnsi="Courier New"/>
                <w:sz w:val="16"/>
              </w:rPr>
              <w:t>Deduped_Exposure</w:t>
            </w:r>
            <w:r>
              <w:rPr>
                <w:sz w:val="17"/>
              </w:rPr>
              <w:t xml:space="preserve"> is the conservative floor. The Streamlit dashboard prominently displays </w:t>
            </w:r>
            <w:r>
              <w:rPr>
                <w:rFonts w:ascii="Courier New" w:hAnsi="Courier New"/>
                <w:sz w:val="16"/>
              </w:rPr>
              <w:t>Deduped_Exposure</w:t>
            </w:r>
            <w:r>
              <w:rPr>
                <w:sz w:val="17"/>
              </w:rPr>
              <w:t xml:space="preserve"> in the Financial Exposure KPI tile and labels </w:t>
            </w:r>
            <w:r>
              <w:rPr>
                <w:rFonts w:ascii="Courier New" w:hAnsi="Courier New"/>
                <w:sz w:val="16"/>
              </w:rPr>
              <w:t>Total_Exposure</w:t>
            </w:r>
            <w:r>
              <w:rPr>
                <w:sz w:val="17"/>
              </w:rPr>
              <w:t xml:space="preserve"> as the raw sum in the caption.</w:t>
            </w:r>
          </w:p>
        </w:tc>
        <w:tc>
          <w:tcPr>
            <w:tcW w:type="dxa" w:w="1152"/>
          </w:tcPr>
          <w:p>
            <w:pPr>
              <w:spacing w:before="40" w:after="40"/>
            </w:pPr>
            <w:r/>
            <w:r>
              <w:rPr>
                <w:sz w:val="17"/>
              </w:rPr>
              <w:t>Warning</w:t>
            </w:r>
          </w:p>
        </w:tc>
        <w:tc>
          <w:tcPr>
            <w:tcW w:type="dxa" w:w="2808"/>
          </w:tcPr>
          <w:p>
            <w:pPr>
              <w:spacing w:before="40" w:after="40"/>
            </w:pPr>
            <w:r/>
            <w:r>
              <w:rPr>
                <w:sz w:val="17"/>
              </w:rPr>
              <w:t xml:space="preserve">Both values present in </w:t>
            </w:r>
            <w:r>
              <w:rPr>
                <w:rFonts w:ascii="Courier New" w:hAnsi="Courier New"/>
                <w:sz w:val="16"/>
              </w:rPr>
              <w:t>exposure["totals"]</w:t>
            </w:r>
            <w:r>
              <w:rPr>
                <w:sz w:val="17"/>
              </w:rPr>
              <w:t xml:space="preserve"> row</w:t>
            </w:r>
          </w:p>
        </w:tc>
      </w:tr>
      <w:tr>
        <w:tc>
          <w:tcPr>
            <w:tcW w:type="dxa" w:w="864"/>
            <w:shd w:val="clear" w:color="auto" w:fill="D6E4F0"/>
          </w:tcPr>
          <w:p>
            <w:pPr>
              <w:spacing w:before="40" w:after="40"/>
            </w:pPr>
            <w:r/>
            <w:r>
              <w:rPr>
                <w:sz w:val="17"/>
              </w:rPr>
              <w:t>BR-68</w:t>
            </w:r>
          </w:p>
        </w:tc>
        <w:tc>
          <w:tcPr>
            <w:tcW w:type="dxa" w:w="4104"/>
            <w:shd w:val="clear" w:color="auto" w:fill="D6E4F0"/>
          </w:tcPr>
          <w:p>
            <w:pPr>
              <w:spacing w:before="40" w:after="40"/>
            </w:pPr>
            <w:r/>
            <w:r>
              <w:rPr>
                <w:b/>
                <w:sz w:val="17"/>
              </w:rPr>
              <w:t>Risk-Level Sort Order for Excel:</w:t>
            </w:r>
            <w:r>
              <w:rPr>
                <w:sz w:val="17"/>
              </w:rPr>
              <w:t xml:space="preserve"> All flag DataFrames written to the </w:t>
            </w:r>
            <w:r>
              <w:rPr>
                <w:rFonts w:ascii="Courier New" w:hAnsi="Courier New"/>
                <w:sz w:val="16"/>
              </w:rPr>
              <w:t>All Exceptions</w:t>
            </w:r>
            <w:r>
              <w:rPr>
                <w:sz w:val="17"/>
              </w:rPr>
              <w:t xml:space="preserve"> Excel sheet are sorted first by risk priority (</w:t>
            </w:r>
            <w:r>
              <w:rPr>
                <w:rFonts w:ascii="Courier New" w:hAnsi="Courier New"/>
                <w:sz w:val="16"/>
              </w:rPr>
              <w:t>CRITICAL = 0</w:t>
            </w:r>
            <w:r>
              <w:rPr>
                <w:sz w:val="17"/>
              </w:rPr>
              <w:t xml:space="preserve">, </w:t>
            </w:r>
            <w:r>
              <w:rPr>
                <w:rFonts w:ascii="Courier New" w:hAnsi="Courier New"/>
                <w:sz w:val="16"/>
              </w:rPr>
              <w:t>HIGH = 1</w:t>
            </w:r>
            <w:r>
              <w:rPr>
                <w:sz w:val="17"/>
              </w:rPr>
              <w:t xml:space="preserve">, </w:t>
            </w:r>
            <w:r>
              <w:rPr>
                <w:rFonts w:ascii="Courier New" w:hAnsi="Courier New"/>
                <w:sz w:val="16"/>
              </w:rPr>
              <w:t>MEDIUM = 2</w:t>
            </w:r>
            <w:r>
              <w:rPr>
                <w:sz w:val="17"/>
              </w:rPr>
              <w:t xml:space="preserve">) and then by </w:t>
            </w:r>
            <w:r>
              <w:rPr>
                <w:rFonts w:ascii="Courier New" w:hAnsi="Courier New"/>
                <w:sz w:val="16"/>
              </w:rPr>
              <w:t>Amount_Impact</w:t>
            </w:r>
            <w:r>
              <w:rPr>
                <w:sz w:val="17"/>
              </w:rPr>
              <w:t xml:space="preserve"> descending within each tier. This ensures the highest-severity, highest-dollar-impact findings appear at the top of the workbook sheet that reviewers open first.</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rFonts w:ascii="Courier New" w:hAnsi="Courier New"/>
                <w:sz w:val="16"/>
              </w:rPr>
              <w:t>all_flags</w:t>
            </w:r>
            <w:r>
              <w:rPr>
                <w:sz w:val="17"/>
              </w:rPr>
              <w:t xml:space="preserve"> non-empty; </w:t>
            </w:r>
            <w:r>
              <w:rPr>
                <w:rFonts w:ascii="Courier New" w:hAnsi="Courier New"/>
                <w:sz w:val="16"/>
              </w:rPr>
              <w:t>Risk_Level</w:t>
            </w:r>
            <w:r>
              <w:rPr>
                <w:sz w:val="17"/>
              </w:rPr>
              <w:t xml:space="preserve"> and </w:t>
            </w:r>
            <w:r>
              <w:rPr>
                <w:rFonts w:ascii="Courier New" w:hAnsi="Courier New"/>
                <w:sz w:val="16"/>
              </w:rPr>
              <w:t>Amount_Impact</w:t>
            </w:r>
            <w:r>
              <w:rPr>
                <w:sz w:val="17"/>
              </w:rPr>
              <w:t xml:space="preserve"> columns present</w:t>
            </w:r>
          </w:p>
        </w:tc>
      </w:tr>
      <w:tr>
        <w:tc>
          <w:tcPr>
            <w:tcW w:type="dxa" w:w="864"/>
          </w:tcPr>
          <w:p>
            <w:pPr>
              <w:spacing w:before="40" w:after="40"/>
            </w:pPr>
            <w:r/>
            <w:r>
              <w:rPr>
                <w:sz w:val="17"/>
              </w:rPr>
              <w:t>BR-69</w:t>
            </w:r>
          </w:p>
        </w:tc>
        <w:tc>
          <w:tcPr>
            <w:tcW w:type="dxa" w:w="4104"/>
          </w:tcPr>
          <w:p>
            <w:pPr>
              <w:spacing w:before="40" w:after="40"/>
            </w:pPr>
            <w:r/>
            <w:r>
              <w:rPr>
                <w:b/>
                <w:sz w:val="17"/>
              </w:rPr>
              <w:t>Status Default Value:</w:t>
            </w:r>
            <w:r>
              <w:rPr>
                <w:sz w:val="17"/>
              </w:rPr>
              <w:t xml:space="preserve"> Every flag row written to an Excel flag sheet is prepended with </w:t>
            </w:r>
            <w:r>
              <w:rPr>
                <w:rFonts w:ascii="Courier New" w:hAnsi="Courier New"/>
                <w:sz w:val="16"/>
              </w:rPr>
              <w:t>Status = "Open"</w:t>
            </w:r>
            <w:r>
              <w:rPr>
                <w:sz w:val="17"/>
              </w:rPr>
              <w:t xml:space="preserve"> via </w:t>
            </w:r>
            <w:r>
              <w:rPr>
                <w:rFonts w:ascii="Courier New" w:hAnsi="Courier New"/>
                <w:sz w:val="16"/>
              </w:rPr>
              <w:t>_add_review_columns()</w:t>
            </w:r>
            <w:r>
              <w:rPr>
                <w:sz w:val="17"/>
              </w:rPr>
              <w:t>. No flag shall be written to the workbook with any pre-set resolution status. All flags start as unreviewed.</w:t>
            </w:r>
          </w:p>
        </w:tc>
        <w:tc>
          <w:tcPr>
            <w:tcW w:type="dxa" w:w="1152"/>
          </w:tcPr>
          <w:p>
            <w:pPr>
              <w:spacing w:before="40" w:after="40"/>
            </w:pPr>
            <w:r/>
            <w:r>
              <w:rPr>
                <w:sz w:val="17"/>
              </w:rPr>
              <w:t>Warning</w:t>
            </w:r>
          </w:p>
        </w:tc>
        <w:tc>
          <w:tcPr>
            <w:tcW w:type="dxa" w:w="2808"/>
          </w:tcPr>
          <w:p>
            <w:pPr>
              <w:spacing w:before="40" w:after="40"/>
            </w:pPr>
            <w:r/>
            <w:r>
              <w:rPr>
                <w:sz w:val="17"/>
              </w:rPr>
              <w:t xml:space="preserve">Flag DataFrame non-empty before </w:t>
            </w:r>
            <w:r>
              <w:rPr>
                <w:rFonts w:ascii="Courier New" w:hAnsi="Courier New"/>
                <w:sz w:val="16"/>
              </w:rPr>
              <w:t>export_to_excel()</w:t>
            </w:r>
            <w:r>
              <w:rPr>
                <w:sz w:val="17"/>
              </w:rPr>
              <w:t xml:space="preserve"> is called</w:t>
            </w:r>
          </w:p>
        </w:tc>
      </w:tr>
      <w:tr>
        <w:tc>
          <w:tcPr>
            <w:tcW w:type="dxa" w:w="864"/>
            <w:shd w:val="clear" w:color="auto" w:fill="D6E4F0"/>
          </w:tcPr>
          <w:p>
            <w:pPr>
              <w:spacing w:before="40" w:after="40"/>
            </w:pPr>
            <w:r/>
            <w:r>
              <w:rPr>
                <w:sz w:val="17"/>
              </w:rPr>
              <w:t>BR-70</w:t>
            </w:r>
          </w:p>
        </w:tc>
        <w:tc>
          <w:tcPr>
            <w:tcW w:type="dxa" w:w="4104"/>
            <w:shd w:val="clear" w:color="auto" w:fill="D6E4F0"/>
          </w:tcPr>
          <w:p>
            <w:pPr>
              <w:spacing w:before="40" w:after="40"/>
            </w:pPr>
            <w:r/>
            <w:r>
              <w:rPr>
                <w:b/>
                <w:sz w:val="17"/>
              </w:rPr>
              <w:t>`Amount_Impact` Coercion:</w:t>
            </w:r>
            <w:r>
              <w:rPr>
                <w:sz w:val="17"/>
              </w:rPr>
              <w:t xml:space="preserve"> Before exposure aggregation, all </w:t>
            </w:r>
            <w:r>
              <w:rPr>
                <w:rFonts w:ascii="Courier New" w:hAnsi="Courier New"/>
                <w:sz w:val="16"/>
              </w:rPr>
              <w:t>Amount_Impact</w:t>
            </w:r>
            <w:r>
              <w:rPr>
                <w:sz w:val="17"/>
              </w:rPr>
              <w:t xml:space="preserve"> values are cast with </w:t>
            </w:r>
            <w:r>
              <w:rPr>
                <w:rFonts w:ascii="Courier New" w:hAnsi="Courier New"/>
                <w:sz w:val="16"/>
              </w:rPr>
              <w:t>pd.to_numeric(..., errors="coerce").fillna(0)</w:t>
            </w:r>
            <w:r>
              <w:rPr>
                <w:sz w:val="17"/>
              </w:rPr>
              <w:t xml:space="preserve">. Any flag record whose </w:t>
            </w:r>
            <w:r>
              <w:rPr>
                <w:rFonts w:ascii="Courier New" w:hAnsi="Courier New"/>
                <w:sz w:val="16"/>
              </w:rPr>
              <w:t>Amount_Impact</w:t>
            </w:r>
            <w:r>
              <w:rPr>
                <w:sz w:val="17"/>
              </w:rPr>
              <w:t xml:space="preserve"> cannot be cast to a number is treated as $0 rather than causing an aggregation failure.</w:t>
            </w:r>
          </w:p>
        </w:tc>
        <w:tc>
          <w:tcPr>
            <w:tcW w:type="dxa" w:w="1152"/>
            <w:shd w:val="clear" w:color="auto" w:fill="D6E4F0"/>
          </w:tcPr>
          <w:p>
            <w:pPr>
              <w:spacing w:before="40" w:after="40"/>
            </w:pPr>
            <w:r/>
            <w:r>
              <w:rPr>
                <w:sz w:val="17"/>
              </w:rPr>
              <w:t>Warning</w:t>
            </w:r>
          </w:p>
        </w:tc>
        <w:tc>
          <w:tcPr>
            <w:tcW w:type="dxa" w:w="2808"/>
            <w:shd w:val="clear" w:color="auto" w:fill="D6E4F0"/>
          </w:tcPr>
          <w:p>
            <w:pPr>
              <w:spacing w:before="40" w:after="40"/>
            </w:pPr>
            <w:r/>
            <w:r>
              <w:rPr>
                <w:rFonts w:ascii="Courier New" w:hAnsi="Courier New"/>
                <w:sz w:val="16"/>
              </w:rPr>
              <w:t>all_flags</w:t>
            </w:r>
            <w:r>
              <w:rPr>
                <w:sz w:val="17"/>
              </w:rPr>
              <w:t xml:space="preserve"> DataFrame with </w:t>
            </w:r>
            <w:r>
              <w:rPr>
                <w:rFonts w:ascii="Courier New" w:hAnsi="Courier New"/>
                <w:sz w:val="16"/>
              </w:rPr>
              <w:t>Amount_Impact</w:t>
            </w:r>
            <w:r>
              <w:rPr>
                <w:sz w:val="17"/>
              </w:rPr>
              <w:t xml:space="preserve"> column</w:t>
            </w:r>
          </w:p>
        </w:tc>
      </w:tr>
    </w:tbl>
    <w:p/>
    <w:p>
      <w:pPr>
        <w:pStyle w:val="Heading1"/>
        <w:pageBreakBefore w:val="1"/>
      </w:pPr>
      <w:r>
        <w:rPr>
          <w:color w:val="1F4E79"/>
        </w:rPr>
        <w:t>7. Non-Functional Requirements</w:t>
      </w:r>
    </w:p>
    <w:p>
      <w:pPr>
        <w:pStyle w:val="Heading2"/>
      </w:pPr>
      <w:r>
        <w:rPr>
          <w:color w:val="2E74B5"/>
        </w:rPr>
        <w:t>7.1 Performance</w:t>
      </w:r>
    </w:p>
    <w:p>
      <w:pPr>
        <w:pStyle w:val="ListBullet"/>
      </w:pPr>
      <w:r>
        <w:rPr>
          <w:b/>
          <w:sz w:val="20"/>
        </w:rPr>
        <w:t>End-to-end runtime target:</w:t>
      </w:r>
      <w:r>
        <w:rPr>
          <w:sz w:val="20"/>
        </w:rPr>
        <w:t xml:space="preserve"> The full audit pipeline — ingesting all 49 CSV files across 7 properties, running all three engines, computing exposure, and writing the Excel workbook — shall complete in under 60 seconds on a standard developer workstation. Observed runtimes for the June 2026 full run (479 transaction rows, 7,283 rent roll rows, 7,262 projection rows, 1,135 market-rent-schedule units, 686 total flags) confirmed completion well within this threshold.</w:t>
      </w:r>
    </w:p>
    <w:p>
      <w:pPr>
        <w:pStyle w:val="ListBullet"/>
      </w:pPr>
      <w:r>
        <w:rPr>
          <w:b/>
          <w:sz w:val="20"/>
        </w:rPr>
        <w:t>Pandas I/O efficiency:</w:t>
      </w:r>
      <w:r>
        <w:rPr>
          <w:sz w:val="20"/>
        </w:rPr>
        <w:t xml:space="preserve"> All loaders iterate CSVs using a single </w:t>
      </w:r>
      <w:r>
        <w:rPr>
          <w:rFonts w:ascii="Courier New" w:hAnsi="Courier New"/>
          <w:sz w:val="18"/>
        </w:rPr>
        <w:t>pd.read_csv()</w:t>
      </w:r>
      <w:r>
        <w:rPr>
          <w:sz w:val="20"/>
        </w:rPr>
        <w:t xml:space="preserve"> call with </w:t>
      </w:r>
      <w:r>
        <w:rPr>
          <w:rFonts w:ascii="Courier New" w:hAnsi="Courier New"/>
          <w:sz w:val="18"/>
        </w:rPr>
        <w:t>dtype=str</w:t>
      </w:r>
      <w:r>
        <w:rPr>
          <w:sz w:val="20"/>
        </w:rPr>
        <w:t xml:space="preserve"> to minimise type-inference overhead. Encoding fallback (UTF-8-sig → CP1252 → Latin-1) retries the same file with the next codec rather than re-opening the filesystem entry unnecessarily.</w:t>
      </w:r>
    </w:p>
    <w:p>
      <w:pPr>
        <w:pStyle w:val="ListBullet"/>
      </w:pPr>
      <w:r>
        <w:rPr>
          <w:b/>
          <w:sz w:val="20"/>
        </w:rPr>
        <w:t>openpyxl column-width sampling cap:</w:t>
      </w:r>
      <w:r>
        <w:rPr>
          <w:sz w:val="20"/>
        </w:rPr>
        <w:t xml:space="preserve"> The </w:t>
      </w:r>
      <w:r>
        <w:rPr>
          <w:rFonts w:ascii="Courier New" w:hAnsi="Courier New"/>
          <w:sz w:val="18"/>
        </w:rPr>
        <w:t>_format_flag_sheet()</w:t>
      </w:r>
      <w:r>
        <w:rPr>
          <w:sz w:val="20"/>
        </w:rPr>
        <w:t xml:space="preserve"> function samples a maximum of 200 data rows per column when computing auto-fit widths (</w:t>
      </w:r>
      <w:r>
        <w:rPr>
          <w:rFonts w:ascii="Courier New" w:hAnsi="Courier New"/>
          <w:sz w:val="18"/>
        </w:rPr>
        <w:t>for row_idx in range(2, min(max_row + 1, 200))</w:t>
      </w:r>
      <w:r>
        <w:rPr>
          <w:sz w:val="20"/>
        </w:rPr>
        <w:t>). This prevents the formatting pass from becoming a bottleneck on large workbooks while still producing accurate column widths for typical audit outputs.</w:t>
      </w:r>
    </w:p>
    <w:p>
      <w:pPr>
        <w:pStyle w:val="ListBullet"/>
      </w:pPr>
      <w:r>
        <w:rPr>
          <w:b/>
          <w:sz w:val="20"/>
        </w:rPr>
        <w:t>In-memory processing only:</w:t>
      </w:r>
      <w:r>
        <w:rPr>
          <w:sz w:val="20"/>
        </w:rPr>
        <w:t xml:space="preserve"> No intermediate files are written between pipeline stages. All DataFrames are held in memory and passed directly between functions within the same </w:t>
      </w:r>
      <w:r>
        <w:rPr>
          <w:rFonts w:ascii="Courier New" w:hAnsi="Courier New"/>
          <w:sz w:val="18"/>
        </w:rPr>
        <w:t>run_full_audit()</w:t>
      </w:r>
      <w:r>
        <w:rPr>
          <w:sz w:val="20"/>
        </w:rPr>
        <w:t xml:space="preserve"> call. There is no disk I/O between ingestion and export.</w:t>
      </w:r>
    </w:p>
    <w:p>
      <w:pPr>
        <w:pStyle w:val="ListBullet"/>
      </w:pPr>
      <w:r>
        <w:rPr>
          <w:b/>
          <w:sz w:val="20"/>
        </w:rPr>
        <w:t>`warnings.filterwarnings("ignore")`:</w:t>
      </w:r>
      <w:r>
        <w:rPr>
          <w:sz w:val="20"/>
        </w:rPr>
        <w:t xml:space="preserve"> Pandas performance and dtype warnings are suppressed globally to keep console output clean and scannable for </w:t>
      </w:r>
      <w:r>
        <w:rPr>
          <w:rFonts w:ascii="Courier New" w:hAnsi="Courier New"/>
          <w:sz w:val="18"/>
        </w:rPr>
        <w:t>[OK]</w:t>
      </w:r>
      <w:r>
        <w:rPr>
          <w:sz w:val="20"/>
        </w:rPr>
        <w:t xml:space="preserve">, </w:t>
      </w:r>
      <w:r>
        <w:rPr>
          <w:rFonts w:ascii="Courier New" w:hAnsi="Courier New"/>
          <w:sz w:val="18"/>
        </w:rPr>
        <w:t>[WARN]</w:t>
      </w:r>
      <w:r>
        <w:rPr>
          <w:sz w:val="20"/>
        </w:rPr>
        <w:t xml:space="preserve">, and </w:t>
      </w:r>
      <w:r>
        <w:rPr>
          <w:rFonts w:ascii="Courier New" w:hAnsi="Courier New"/>
          <w:sz w:val="18"/>
        </w:rPr>
        <w:t>[ERROR]</w:t>
      </w:r>
      <w:r>
        <w:rPr>
          <w:sz w:val="20"/>
        </w:rPr>
        <w:t xml:space="preserve"> log entries.</w:t>
      </w:r>
    </w:p>
    <w:p>
      <w:pPr>
        <w:pStyle w:val="ListBullet"/>
      </w:pPr>
      <w:r>
        <w:rPr>
          <w:b/>
          <w:sz w:val="20"/>
        </w:rPr>
        <w:t>Streamlit session state:</w:t>
      </w:r>
      <w:r>
        <w:rPr>
          <w:sz w:val="20"/>
        </w:rPr>
        <w:t xml:space="preserve"> The dashboard stores the full </w:t>
      </w:r>
      <w:r>
        <w:rPr>
          <w:rFonts w:ascii="Courier New" w:hAnsi="Courier New"/>
          <w:sz w:val="18"/>
        </w:rPr>
        <w:t>run_full_audit()</w:t>
      </w:r>
      <w:r>
        <w:rPr>
          <w:sz w:val="20"/>
        </w:rPr>
        <w:t xml:space="preserve"> result dict in </w:t>
      </w:r>
      <w:r>
        <w:rPr>
          <w:rFonts w:ascii="Courier New" w:hAnsi="Courier New"/>
          <w:sz w:val="18"/>
        </w:rPr>
        <w:t>st.session_state</w:t>
      </w:r>
      <w:r>
        <w:rPr>
          <w:sz w:val="20"/>
        </w:rPr>
        <w:t xml:space="preserve"> after the first run. Subsequent tab switches and filter interactions do not re-execute the engine; they re-slice the already-computed DataFrames in memory.</w:t>
      </w:r>
    </w:p>
    <w:p>
      <w:pPr>
        <w:pStyle w:val="Heading2"/>
      </w:pPr>
      <w:r>
        <w:rPr>
          <w:color w:val="2E74B5"/>
        </w:rPr>
        <w:t>7.2 Data Freshness</w:t>
      </w:r>
    </w:p>
    <w:p>
      <w:pPr>
        <w:pStyle w:val="ListBullet"/>
      </w:pPr>
      <w:r>
        <w:rPr>
          <w:b/>
          <w:sz w:val="20"/>
        </w:rPr>
        <w:t>Manual export cadence:</w:t>
      </w:r>
      <w:r>
        <w:rPr>
          <w:sz w:val="20"/>
        </w:rPr>
        <w:t xml:space="preserve"> All source data is derived from ResMan CSV exports copied manually into </w:t>
      </w:r>
      <w:r>
        <w:rPr>
          <w:rFonts w:ascii="Courier New" w:hAnsi="Courier New"/>
          <w:sz w:val="18"/>
        </w:rPr>
        <w:t>data/</w:t>
      </w:r>
      <w:r>
        <w:rPr>
          <w:sz w:val="20"/>
        </w:rPr>
        <w:t xml:space="preserve"> subfolders before each audit run. There is no live database connection, scheduled data pull, or API integration. Data freshness is entirely dependent on when the operator copies the export files.</w:t>
      </w:r>
    </w:p>
    <w:p>
      <w:pPr>
        <w:pStyle w:val="ListBullet"/>
      </w:pPr>
      <w:r>
        <w:rPr>
          <w:b/>
          <w:sz w:val="20"/>
        </w:rPr>
        <w:t>One run = one audit month:</w:t>
      </w:r>
      <w:r>
        <w:rPr>
          <w:sz w:val="20"/>
        </w:rPr>
        <w:t xml:space="preserve"> The constant </w:t>
      </w:r>
      <w:r>
        <w:rPr>
          <w:rFonts w:ascii="Courier New" w:hAnsi="Courier New"/>
          <w:sz w:val="18"/>
        </w:rPr>
        <w:t>AUDIT_MONTH</w:t>
      </w:r>
      <w:r>
        <w:rPr>
          <w:sz w:val="20"/>
        </w:rPr>
        <w:t xml:space="preserve"> (e.g. </w:t>
      </w:r>
      <w:r>
        <w:rPr>
          <w:rFonts w:ascii="Courier New" w:hAnsi="Courier New"/>
          <w:sz w:val="18"/>
        </w:rPr>
        <w:t>"Jun 2026"</w:t>
      </w:r>
      <w:r>
        <w:rPr>
          <w:sz w:val="20"/>
        </w:rPr>
        <w:t xml:space="preserve">) must be manually updated in </w:t>
      </w:r>
      <w:r>
        <w:rPr>
          <w:rFonts w:ascii="Courier New" w:hAnsi="Courier New"/>
          <w:sz w:val="18"/>
        </w:rPr>
        <w:t>audit_bot.py</w:t>
      </w:r>
      <w:r>
        <w:rPr>
          <w:sz w:val="20"/>
        </w:rPr>
        <w:t xml:space="preserve"> at the start of each audit cycle. The system does not auto-detect the current month. Running the bot without updating this constant will produce results scoped to the prior month's projection column.</w:t>
      </w:r>
    </w:p>
    <w:p>
      <w:pPr>
        <w:pStyle w:val="ListBullet"/>
      </w:pPr>
      <w:r>
        <w:rPr>
          <w:b/>
          <w:sz w:val="20"/>
        </w:rPr>
        <w:t>ResMan account access requirement:</w:t>
      </w:r>
      <w:r>
        <w:rPr>
          <w:sz w:val="20"/>
        </w:rPr>
        <w:t xml:space="preserve"> Transaction List CSVs must be exported from a </w:t>
      </w:r>
      <w:r>
        <w:rPr>
          <w:b/>
          <w:sz w:val="20"/>
        </w:rPr>
        <w:t>full-access ResMan account</w:t>
      </w:r>
      <w:r>
        <w:rPr>
          <w:sz w:val="20"/>
        </w:rPr>
        <w:t xml:space="preserve"> (i.e., an account with permission to view Credit transaction sections). Exports from limited-access accounts omit Credit rows entirely, causing John's Engine R1–R3 and Daniel's Stage 2 rules that depend on credit data to produce no flags for genuine violations. This was confirmed during the June 2026 audit when the initial set of Transaction List files from a limited-access account contained zero Credit sections.</w:t>
      </w:r>
    </w:p>
    <w:p>
      <w:pPr>
        <w:pStyle w:val="ListBullet"/>
      </w:pPr>
      <w:r>
        <w:rPr>
          <w:b/>
          <w:sz w:val="20"/>
        </w:rPr>
        <w:t>Market Rent Schedule currency:</w:t>
      </w:r>
      <w:r>
        <w:rPr>
          <w:sz w:val="20"/>
        </w:rPr>
        <w:t xml:space="preserve"> The Market Rent Schedule CSVs must reflect the fee rates in effect for the audit month. If a property has changed its market rents or amenity premiums mid-period, the NER floor computations for units on dynamic floors (Village Green, Crossings at Irving, La Prada) will reflect the most recent schedule loaded, not a historical snapshot.</w:t>
      </w:r>
    </w:p>
    <w:p>
      <w:pPr>
        <w:pStyle w:val="Heading2"/>
      </w:pPr>
      <w:r>
        <w:rPr>
          <w:color w:val="2E74B5"/>
        </w:rPr>
        <w:t>7.3 Security</w:t>
      </w:r>
    </w:p>
    <w:p>
      <w:pPr>
        <w:pStyle w:val="ListBullet"/>
      </w:pPr>
      <w:r>
        <w:rPr>
          <w:b/>
          <w:sz w:val="20"/>
        </w:rPr>
        <w:t>No API keys, tokens, or credentials in the codebase:</w:t>
      </w:r>
      <w:r>
        <w:rPr>
          <w:sz w:val="20"/>
        </w:rPr>
        <w:t xml:space="preserve"> The system contains no secrets, authentication tokens, database connection strings, or environment variables. All </w:t>
      </w:r>
      <w:r>
        <w:rPr>
          <w:rFonts w:ascii="Courier New" w:hAnsi="Courier New"/>
          <w:sz w:val="18"/>
        </w:rPr>
        <w:t>AUDIT_MONTH</w:t>
      </w:r>
      <w:r>
        <w:rPr>
          <w:sz w:val="20"/>
        </w:rPr>
        <w:t>, threshold, and fee schedule constants are hardcoded values representing business rules, not credentials.</w:t>
      </w:r>
    </w:p>
    <w:p>
      <w:pPr>
        <w:pStyle w:val="ListBullet"/>
      </w:pPr>
      <w:r>
        <w:rPr>
          <w:b/>
          <w:sz w:val="20"/>
        </w:rPr>
        <w:t>No `.env` file or `secrets.toml`:</w:t>
      </w:r>
      <w:r>
        <w:rPr>
          <w:sz w:val="20"/>
        </w:rPr>
        <w:t xml:space="preserve"> Neither a </w:t>
      </w:r>
      <w:r>
        <w:rPr>
          <w:rFonts w:ascii="Courier New" w:hAnsi="Courier New"/>
          <w:sz w:val="18"/>
        </w:rPr>
        <w:t>.env</w:t>
      </w:r>
      <w:r>
        <w:rPr>
          <w:sz w:val="20"/>
        </w:rPr>
        <w:t xml:space="preserve"> file nor a Streamlit </w:t>
      </w:r>
      <w:r>
        <w:rPr>
          <w:rFonts w:ascii="Courier New" w:hAnsi="Courier New"/>
          <w:sz w:val="18"/>
        </w:rPr>
        <w:t>secrets.toml</w:t>
      </w:r>
      <w:r>
        <w:rPr>
          <w:sz w:val="20"/>
        </w:rPr>
        <w:t xml:space="preserve"> is present in the repository. No secrets management tooling (e.g. python-dotenv, AWS Secrets Manager) is used or required for current functionality.</w:t>
      </w:r>
    </w:p>
    <w:p>
      <w:pPr>
        <w:pStyle w:val="ListBullet"/>
      </w:pPr>
      <w:r>
        <w:rPr>
          <w:b/>
          <w:sz w:val="20"/>
        </w:rPr>
        <w:t>No external network calls at runtime:</w:t>
      </w:r>
      <w:r>
        <w:rPr>
          <w:sz w:val="20"/>
        </w:rPr>
        <w:t xml:space="preserve"> The bot's audit pipeline makes zero network requests. The only external URL in the codebase is the sidebar property icon in </w:t>
      </w:r>
      <w:r>
        <w:rPr>
          <w:rFonts w:ascii="Courier New" w:hAnsi="Courier New"/>
          <w:sz w:val="18"/>
        </w:rPr>
        <w:t>app.py</w:t>
      </w:r>
      <w:r>
        <w:rPr>
          <w:sz w:val="20"/>
        </w:rPr>
        <w:t xml:space="preserve"> (</w:t>
      </w:r>
      <w:r>
        <w:rPr>
          <w:rFonts w:ascii="Courier New" w:hAnsi="Courier New"/>
          <w:sz w:val="18"/>
        </w:rPr>
        <w:t>https://img.icons8.com/fluency/96/property.png</w:t>
      </w:r>
      <w:r>
        <w:rPr>
          <w:sz w:val="20"/>
        </w:rPr>
        <w:t>), which is a cosmetic image load by the browser rendering the Streamlit UI. The audit logic itself is entirely offline.</w:t>
      </w:r>
    </w:p>
    <w:p>
      <w:pPr>
        <w:pStyle w:val="ListBullet"/>
      </w:pPr>
      <w:r>
        <w:rPr>
          <w:b/>
          <w:sz w:val="20"/>
        </w:rPr>
        <w:t>Local filesystem access only:</w:t>
      </w:r>
      <w:r>
        <w:rPr>
          <w:sz w:val="20"/>
        </w:rPr>
        <w:t xml:space="preserve"> All input data is read from local </w:t>
      </w:r>
      <w:r>
        <w:rPr>
          <w:rFonts w:ascii="Courier New" w:hAnsi="Courier New"/>
          <w:sz w:val="18"/>
        </w:rPr>
        <w:t>data/</w:t>
      </w:r>
      <w:r>
        <w:rPr>
          <w:sz w:val="20"/>
        </w:rPr>
        <w:t xml:space="preserve"> subfolders and all output is written to the local </w:t>
      </w:r>
      <w:r>
        <w:rPr>
          <w:rFonts w:ascii="Courier New" w:hAnsi="Courier New"/>
          <w:sz w:val="18"/>
        </w:rPr>
        <w:t>output/</w:t>
      </w:r>
      <w:r>
        <w:rPr>
          <w:sz w:val="20"/>
        </w:rPr>
        <w:t xml:space="preserve"> directory. No data is transmitted to external services, cloud storage, or third-party APIs.</w:t>
      </w:r>
    </w:p>
    <w:p>
      <w:pPr>
        <w:pStyle w:val="ListBullet"/>
      </w:pPr>
      <w:r>
        <w:rPr>
          <w:b/>
          <w:sz w:val="20"/>
        </w:rPr>
        <w:t>No Streamlit authentication layer:</w:t>
      </w:r>
      <w:r>
        <w:rPr>
          <w:sz w:val="20"/>
        </w:rPr>
        <w:t xml:space="preserve"> The dashboard has no login screen, session management, or role-based access control. Access is controlled entirely by who can reach the machine running the Streamlit process (localhost:8501 by default). If the app is ever deployed beyond a local workstation, an authentication proxy or Streamlit Community Cloud authentication must be added.</w:t>
      </w:r>
    </w:p>
    <w:p>
      <w:pPr>
        <w:pStyle w:val="ListBullet"/>
      </w:pPr>
      <w:r>
        <w:rPr>
          <w:b/>
          <w:sz w:val="20"/>
        </w:rPr>
        <w:t>Virtual environment isolation:</w:t>
      </w:r>
      <w:r>
        <w:rPr>
          <w:sz w:val="20"/>
        </w:rPr>
        <w:t xml:space="preserve"> The Python runtime uses a </w:t>
      </w:r>
      <w:r>
        <w:rPr>
          <w:rFonts w:ascii="Courier New" w:hAnsi="Courier New"/>
          <w:sz w:val="18"/>
        </w:rPr>
        <w:t>.venv</w:t>
      </w:r>
      <w:r>
        <w:rPr>
          <w:sz w:val="20"/>
        </w:rPr>
        <w:t xml:space="preserve"> isolated virtual environment (</w:t>
      </w:r>
      <w:r>
        <w:rPr>
          <w:rFonts w:ascii="Courier New" w:hAnsi="Courier New"/>
          <w:sz w:val="18"/>
        </w:rPr>
        <w:t>include-system-site-packages = false</w:t>
      </w:r>
      <w:r>
        <w:rPr>
          <w:sz w:val="20"/>
        </w:rPr>
        <w:t>) running Python 3.11.9. This prevents dependency conflicts with system-level Python packages and limits the installed package surface area to only what the project requires.</w:t>
      </w:r>
    </w:p>
    <w:p>
      <w:pPr>
        <w:pStyle w:val="ListBullet"/>
      </w:pPr>
      <w:r>
        <w:rPr>
          <w:b/>
          <w:sz w:val="20"/>
        </w:rPr>
        <w:t>ResMan CSV data classification:</w:t>
      </w:r>
      <w:r>
        <w:rPr>
          <w:sz w:val="20"/>
        </w:rPr>
        <w:t xml:space="preserve"> The CSV files loaded into the bot contain personally identifiable information (resident names) and financially sensitive data (rent amounts, concession details, lease dates). These files should be treated as confidential and should not be committed to version control repositories. The </w:t>
      </w:r>
      <w:r>
        <w:rPr>
          <w:rFonts w:ascii="Courier New" w:hAnsi="Courier New"/>
          <w:sz w:val="18"/>
        </w:rPr>
        <w:t>data/</w:t>
      </w:r>
      <w:r>
        <w:rPr>
          <w:sz w:val="20"/>
        </w:rPr>
        <w:t xml:space="preserve"> folder is populated manually from local downloads and should be excluded from </w:t>
      </w:r>
      <w:r>
        <w:rPr>
          <w:rFonts w:ascii="Courier New" w:hAnsi="Courier New"/>
          <w:sz w:val="18"/>
        </w:rPr>
        <w:t>.gitignore</w:t>
      </w:r>
      <w:r>
        <w:rPr>
          <w:sz w:val="20"/>
        </w:rPr>
        <w:t>.</w:t>
      </w:r>
    </w:p>
    <w:p>
      <w:pPr>
        <w:pStyle w:val="ListBullet"/>
      </w:pPr>
      <w:r>
        <w:rPr>
          <w:b/>
          <w:sz w:val="20"/>
        </w:rPr>
        <w:t>No SQL or shell injection risk:</w:t>
      </w:r>
      <w:r>
        <w:rPr>
          <w:sz w:val="20"/>
        </w:rPr>
        <w:t xml:space="preserve"> The system performs no database queries and executes no shell commands. All data operations are Python/pandas in-memory operations on CSV content. There is no user-supplied input that is evaluated or passed to a system call.</w:t>
      </w:r>
    </w:p>
    <w:p>
      <w:pPr>
        <w:pStyle w:val="Heading2"/>
      </w:pPr>
      <w:r>
        <w:rPr>
          <w:color w:val="2E74B5"/>
        </w:rPr>
        <w:t>7.4 Auditability</w:t>
      </w:r>
    </w:p>
    <w:p>
      <w:pPr>
        <w:pStyle w:val="ListBullet"/>
      </w:pPr>
      <w:r>
        <w:rPr>
          <w:b/>
          <w:sz w:val="20"/>
        </w:rPr>
        <w:t>Timestamped Excel output:</w:t>
      </w:r>
      <w:r>
        <w:rPr>
          <w:sz w:val="20"/>
        </w:rPr>
        <w:t xml:space="preserve"> Every run produces a uniquely named Excel workbook (</w:t>
      </w:r>
      <w:r>
        <w:rPr>
          <w:rFonts w:ascii="Courier New" w:hAnsi="Courier New"/>
          <w:sz w:val="18"/>
        </w:rPr>
        <w:t>LNJ_Audit_YYYYMMDD_HHMM.xlsx</w:t>
      </w:r>
      <w:r>
        <w:rPr>
          <w:sz w:val="20"/>
        </w:rPr>
        <w:t xml:space="preserve">) in the </w:t>
      </w:r>
      <w:r>
        <w:rPr>
          <w:rFonts w:ascii="Courier New" w:hAnsi="Courier New"/>
          <w:sz w:val="18"/>
        </w:rPr>
        <w:t>output/</w:t>
      </w:r>
      <w:r>
        <w:rPr>
          <w:sz w:val="20"/>
        </w:rPr>
        <w:t xml:space="preserve"> directory. Multiple runs within the same audit cycle produce distinct files, preserving a full history of every engine execution without overwriting prior results.</w:t>
      </w:r>
    </w:p>
    <w:p>
      <w:pPr>
        <w:pStyle w:val="ListBullet"/>
      </w:pPr>
      <w:r>
        <w:rPr>
          <w:b/>
          <w:sz w:val="20"/>
        </w:rPr>
        <w:t>Source file traceability:</w:t>
      </w:r>
      <w:r>
        <w:rPr>
          <w:sz w:val="20"/>
        </w:rPr>
        <w:t xml:space="preserve"> Every flag record includes a </w:t>
      </w:r>
      <w:r>
        <w:rPr>
          <w:rFonts w:ascii="Courier New" w:hAnsi="Courier New"/>
          <w:sz w:val="18"/>
        </w:rPr>
        <w:t>Source_File</w:t>
      </w:r>
      <w:r>
        <w:rPr>
          <w:sz w:val="20"/>
        </w:rPr>
        <w:t xml:space="preserve"> field containing the exact CSV filename from which the flagging data was derived. This allows any exception to be traced back to the specific ResMan export file and row that triggered it.</w:t>
      </w:r>
    </w:p>
    <w:p>
      <w:pPr>
        <w:pStyle w:val="ListBullet"/>
      </w:pPr>
      <w:r>
        <w:rPr>
          <w:b/>
          <w:sz w:val="20"/>
        </w:rPr>
        <w:t>Console audit log:</w:t>
      </w:r>
      <w:r>
        <w:rPr>
          <w:sz w:val="20"/>
        </w:rPr>
        <w:t xml:space="preserve"> The </w:t>
      </w:r>
      <w:r>
        <w:rPr>
          <w:rFonts w:ascii="Courier New" w:hAnsi="Courier New"/>
          <w:sz w:val="18"/>
        </w:rPr>
        <w:t>run_full_audit()</w:t>
      </w:r>
      <w:r>
        <w:rPr>
          <w:sz w:val="20"/>
        </w:rPr>
        <w:t xml:space="preserve"> function prints a structured console log at each stage: file-level </w:t>
      </w:r>
      <w:r>
        <w:rPr>
          <w:rFonts w:ascii="Courier New" w:hAnsi="Courier New"/>
          <w:sz w:val="18"/>
        </w:rPr>
        <w:t>[OK]</w:t>
      </w:r>
      <w:r>
        <w:rPr>
          <w:sz w:val="20"/>
        </w:rPr>
        <w:t xml:space="preserve"> confirmations with row counts, </w:t>
      </w:r>
      <w:r>
        <w:rPr>
          <w:rFonts w:ascii="Courier New" w:hAnsi="Courier New"/>
          <w:sz w:val="18"/>
        </w:rPr>
        <w:t>[WARN]</w:t>
      </w:r>
      <w:r>
        <w:rPr>
          <w:sz w:val="20"/>
        </w:rPr>
        <w:t xml:space="preserve"> messages for missing folders or skipped files, </w:t>
      </w:r>
      <w:r>
        <w:rPr>
          <w:rFonts w:ascii="Courier New" w:hAnsi="Courier New"/>
          <w:sz w:val="18"/>
        </w:rPr>
        <w:t>[ERROR]</w:t>
      </w:r>
      <w:r>
        <w:rPr>
          <w:sz w:val="20"/>
        </w:rPr>
        <w:t xml:space="preserve"> messages for file parse failures, and a summary line with total units, exceptions, exposure, and CRITICAL flag count.</w:t>
      </w:r>
    </w:p>
    <w:p>
      <w:pPr>
        <w:pStyle w:val="ListBullet"/>
      </w:pPr>
      <w:r>
        <w:rPr>
          <w:b/>
          <w:sz w:val="20"/>
        </w:rPr>
        <w:t>Resolution workflow in Excel:</w:t>
      </w:r>
      <w:r>
        <w:rPr>
          <w:sz w:val="20"/>
        </w:rPr>
        <w:t xml:space="preserve"> All flag sheets include </w:t>
      </w:r>
      <w:r>
        <w:rPr>
          <w:rFonts w:ascii="Courier New" w:hAnsi="Courier New"/>
          <w:sz w:val="18"/>
        </w:rPr>
        <w:t>Status</w:t>
      </w:r>
      <w:r>
        <w:rPr>
          <w:sz w:val="20"/>
        </w:rPr>
        <w:t xml:space="preserve"> (dropdown: Open / Reviewed / Cleared / Escalated) and </w:t>
      </w:r>
      <w:r>
        <w:rPr>
          <w:rFonts w:ascii="Courier New" w:hAnsi="Courier New"/>
          <w:sz w:val="18"/>
        </w:rPr>
        <w:t>Notes</w:t>
      </w:r>
      <w:r>
        <w:rPr>
          <w:sz w:val="20"/>
        </w:rPr>
        <w:t xml:space="preserve"> columns. These allow the reviewing accountant to document the disposition of each finding directly in the workbook, creating a per-run audit trail of how exceptions were resolved.</w:t>
      </w:r>
    </w:p>
    <w:p>
      <w:pPr>
        <w:pStyle w:val="ListBullet"/>
      </w:pPr>
      <w:r>
        <w:rPr>
          <w:b/>
          <w:sz w:val="20"/>
        </w:rPr>
        <w:t>Override Detail Log:</w:t>
      </w:r>
      <w:r>
        <w:rPr>
          <w:sz w:val="20"/>
        </w:rPr>
        <w:t xml:space="preserve"> The full Edited Transactions by User event log — including manager login, event type (Reversal vs Amount Change), original amount, edited amount, and computed revenue impact — is preserved as a dedicated Excel sheet and surfaced in the Manager Overrides dashboard tab. This provides a complete record of all manager-initiated transaction modifications.</w:t>
      </w:r>
    </w:p>
    <w:p>
      <w:pPr>
        <w:pStyle w:val="ListBullet"/>
      </w:pPr>
      <w:r>
        <w:rPr>
          <w:b/>
          <w:sz w:val="20"/>
        </w:rPr>
        <w:t>Engine flag attribution:</w:t>
      </w:r>
      <w:r>
        <w:rPr>
          <w:sz w:val="20"/>
        </w:rPr>
        <w:t xml:space="preserve"> Every flag record's </w:t>
      </w:r>
      <w:r>
        <w:rPr>
          <w:rFonts w:ascii="Courier New" w:hAnsi="Courier New"/>
          <w:sz w:val="18"/>
        </w:rPr>
        <w:t>Rule</w:t>
      </w:r>
      <w:r>
        <w:rPr>
          <w:sz w:val="20"/>
        </w:rPr>
        <w:t xml:space="preserve"> field identifies exactly which audit rule fired. The </w:t>
      </w:r>
      <w:r>
        <w:rPr>
          <w:rFonts w:ascii="Courier New" w:hAnsi="Courier New"/>
          <w:sz w:val="18"/>
        </w:rPr>
        <w:t>Risk_Level</w:t>
      </w:r>
      <w:r>
        <w:rPr>
          <w:sz w:val="20"/>
        </w:rPr>
        <w:t xml:space="preserve"> field identifies severity. Together with </w:t>
      </w:r>
      <w:r>
        <w:rPr>
          <w:rFonts w:ascii="Courier New" w:hAnsi="Courier New"/>
          <w:sz w:val="18"/>
        </w:rPr>
        <w:t>Source_File</w:t>
      </w:r>
      <w:r>
        <w:rPr>
          <w:sz w:val="20"/>
        </w:rPr>
        <w:t>, these three fields allow any finding to be attributed to a specific engine, rule, and input file without ambiguity.</w:t>
      </w:r>
    </w:p>
    <w:p>
      <w:pPr>
        <w:pStyle w:val="Heading2"/>
      </w:pPr>
      <w:r>
        <w:rPr>
          <w:color w:val="2E74B5"/>
        </w:rPr>
        <w:t>7.5 Configurability</w:t>
      </w:r>
    </w:p>
    <w:p>
      <w:pPr>
        <w:pStyle w:val="ListBullet"/>
      </w:pPr>
      <w:r>
        <w:rPr>
          <w:b/>
          <w:sz w:val="20"/>
        </w:rPr>
        <w:t>`AUDIT_MONTH`</w:t>
      </w:r>
      <w:r>
        <w:rPr>
          <w:sz w:val="20"/>
        </w:rPr>
        <w:t xml:space="preserve"> (type: </w:t>
      </w:r>
      <w:r>
        <w:rPr>
          <w:rFonts w:ascii="Courier New" w:hAnsi="Courier New"/>
          <w:sz w:val="18"/>
        </w:rPr>
        <w:t>str</w:t>
      </w:r>
      <w:r>
        <w:rPr>
          <w:sz w:val="20"/>
        </w:rPr>
        <w:t xml:space="preserve">, format: </w:t>
      </w:r>
      <w:r>
        <w:rPr>
          <w:rFonts w:ascii="Courier New" w:hAnsi="Courier New"/>
          <w:sz w:val="18"/>
        </w:rPr>
        <w:t>"Mon YYYY"</w:t>
      </w:r>
      <w:r>
        <w:rPr>
          <w:sz w:val="20"/>
        </w:rPr>
        <w:t xml:space="preserve">): The single constant that scopes every run to a calendar month. Must be updated manually in </w:t>
      </w:r>
      <w:r>
        <w:rPr>
          <w:rFonts w:ascii="Courier New" w:hAnsi="Courier New"/>
          <w:sz w:val="18"/>
        </w:rPr>
        <w:t>audit_bot.py</w:t>
      </w:r>
      <w:r>
        <w:rPr>
          <w:sz w:val="20"/>
        </w:rPr>
        <w:t xml:space="preserve"> before each audit cycle. No command-line arguments or config file mechanism exists; the constant is the only supported configuration point for month selection.</w:t>
      </w:r>
    </w:p>
    <w:p>
      <w:pPr>
        <w:pStyle w:val="ListBullet"/>
      </w:pPr>
      <w:r>
        <w:rPr>
          <w:b/>
          <w:sz w:val="20"/>
        </w:rPr>
        <w:t>`PROPERTY_FEE_SCHEDULE`</w:t>
      </w:r>
      <w:r>
        <w:rPr>
          <w:sz w:val="20"/>
        </w:rPr>
        <w:t xml:space="preserve"> (type: </w:t>
      </w:r>
      <w:r>
        <w:rPr>
          <w:rFonts w:ascii="Courier New" w:hAnsi="Courier New"/>
          <w:sz w:val="18"/>
        </w:rPr>
        <w:t>dict[str, list[dict]]</w:t>
      </w:r>
      <w:r>
        <w:rPr>
          <w:sz w:val="20"/>
        </w:rPr>
        <w:t xml:space="preserve">): The official monthly fee amounts per property. Updated by the developer when Daniel Twito provides revised fee sheet </w:t>
      </w:r>
      <w:r>
        <w:rPr>
          <w:rFonts w:ascii="Courier New" w:hAnsi="Courier New"/>
          <w:sz w:val="18"/>
        </w:rPr>
        <w:t>.docx</w:t>
      </w:r>
      <w:r>
        <w:rPr>
          <w:sz w:val="20"/>
        </w:rPr>
        <w:t xml:space="preserve"> files. Changes require editing the constant directly in </w:t>
      </w:r>
      <w:r>
        <w:rPr>
          <w:rFonts w:ascii="Courier New" w:hAnsi="Courier New"/>
          <w:sz w:val="18"/>
        </w:rPr>
        <w:t>audit_bot.py</w:t>
      </w:r>
      <w:r>
        <w:rPr>
          <w:sz w:val="20"/>
        </w:rPr>
        <w:t>; there is no external fee schedule file or database table.</w:t>
      </w:r>
    </w:p>
    <w:p>
      <w:pPr>
        <w:pStyle w:val="ListBullet"/>
      </w:pPr>
      <w:r>
        <w:rPr>
          <w:b/>
          <w:sz w:val="20"/>
        </w:rPr>
        <w:t>`PROPERTY_NER_FLOORS`</w:t>
      </w:r>
      <w:r>
        <w:rPr>
          <w:sz w:val="20"/>
        </w:rPr>
        <w:t xml:space="preserve"> (type: </w:t>
      </w:r>
      <w:r>
        <w:rPr>
          <w:rFonts w:ascii="Courier New" w:hAnsi="Courier New"/>
          <w:sz w:val="18"/>
        </w:rPr>
        <w:t>dict[str, dict[str, int | None]]</w:t>
      </w:r>
      <w:r>
        <w:rPr>
          <w:sz w:val="20"/>
        </w:rPr>
        <w:t xml:space="preserve">): Hardcoded minimum NER by property and bedroom type. </w:t>
      </w:r>
      <w:r>
        <w:rPr>
          <w:rFonts w:ascii="Courier New" w:hAnsi="Courier New"/>
          <w:sz w:val="18"/>
        </w:rPr>
        <w:t>None</w:t>
      </w:r>
      <w:r>
        <w:rPr>
          <w:sz w:val="20"/>
        </w:rPr>
        <w:t xml:space="preserve"> values indicate properties where NER floors are dynamic (computed from Market Rent Schedule) or not yet defined. Requires developer update when LiveNjoy policy changes.</w:t>
      </w:r>
    </w:p>
    <w:p>
      <w:pPr>
        <w:pStyle w:val="ListBullet"/>
      </w:pPr>
      <w:r>
        <w:rPr>
          <w:b/>
          <w:sz w:val="20"/>
        </w:rPr>
        <w:t>`PROPERTY_NER_DISCOUNT`</w:t>
      </w:r>
      <w:r>
        <w:rPr>
          <w:sz w:val="20"/>
        </w:rPr>
        <w:t xml:space="preserve"> (type: </w:t>
      </w:r>
      <w:r>
        <w:rPr>
          <w:rFonts w:ascii="Courier New" w:hAnsi="Courier New"/>
          <w:sz w:val="18"/>
        </w:rPr>
        <w:t>dict[str, int]</w:t>
      </w:r>
      <w:r>
        <w:rPr>
          <w:sz w:val="20"/>
        </w:rPr>
        <w:t>): The maximum allowed discount from market rent for properties whose NER floor is market-relative. Currently set for Village Green ($300), Crossings at Irving ($100), and La Prada ($100). Requires developer update when policy changes.</w:t>
      </w:r>
    </w:p>
    <w:p>
      <w:pPr>
        <w:pStyle w:val="ListBullet"/>
      </w:pPr>
      <w:r>
        <w:rPr>
          <w:b/>
          <w:sz w:val="20"/>
        </w:rPr>
        <w:t>`APPROVED_CODES`</w:t>
      </w:r>
      <w:r>
        <w:rPr>
          <w:sz w:val="20"/>
        </w:rPr>
        <w:t xml:space="preserve"> (type: </w:t>
      </w:r>
      <w:r>
        <w:rPr>
          <w:rFonts w:ascii="Courier New" w:hAnsi="Courier New"/>
          <w:sz w:val="18"/>
        </w:rPr>
        <w:t>set[str]</w:t>
      </w:r>
      <w:r>
        <w:rPr>
          <w:sz w:val="20"/>
        </w:rPr>
        <w:t>): The set of ResMan transaction codes accepted as valid concession types (</w:t>
      </w:r>
      <w:r>
        <w:rPr>
          <w:rFonts w:ascii="Courier New" w:hAnsi="Courier New"/>
          <w:sz w:val="18"/>
        </w:rPr>
        <w:t>CONR</w:t>
      </w:r>
      <w:r>
        <w:rPr>
          <w:sz w:val="20"/>
        </w:rPr>
        <w:t xml:space="preserve">, </w:t>
      </w:r>
      <w:r>
        <w:rPr>
          <w:rFonts w:ascii="Courier New" w:hAnsi="Courier New"/>
          <w:sz w:val="18"/>
        </w:rPr>
        <w:t>CRTCO</w:t>
      </w:r>
      <w:r>
        <w:rPr>
          <w:sz w:val="20"/>
        </w:rPr>
        <w:t xml:space="preserve">, </w:t>
      </w:r>
      <w:r>
        <w:rPr>
          <w:rFonts w:ascii="Courier New" w:hAnsi="Courier New"/>
          <w:sz w:val="18"/>
        </w:rPr>
        <w:t>EMPL</w:t>
      </w:r>
      <w:r>
        <w:rPr>
          <w:sz w:val="20"/>
        </w:rPr>
        <w:t xml:space="preserve">, </w:t>
      </w:r>
      <w:r>
        <w:rPr>
          <w:rFonts w:ascii="Courier New" w:hAnsi="Courier New"/>
          <w:sz w:val="18"/>
        </w:rPr>
        <w:t>MCCR</w:t>
      </w:r>
      <w:r>
        <w:rPr>
          <w:sz w:val="20"/>
        </w:rPr>
        <w:t xml:space="preserve">, </w:t>
      </w:r>
      <w:r>
        <w:rPr>
          <w:rFonts w:ascii="Courier New" w:hAnsi="Courier New"/>
          <w:sz w:val="18"/>
        </w:rPr>
        <w:t>RRFee</w:t>
      </w:r>
      <w:r>
        <w:rPr>
          <w:sz w:val="20"/>
        </w:rPr>
        <w:t>). Hardcoded. No runtime override mechanism.</w:t>
      </w:r>
    </w:p>
    <w:p>
      <w:pPr>
        <w:pStyle w:val="ListBullet"/>
      </w:pPr>
      <w:r>
        <w:rPr>
          <w:b/>
          <w:sz w:val="20"/>
        </w:rPr>
        <w:t>`STANDARD_CHARGE_THRESHOLD`</w:t>
      </w:r>
      <w:r>
        <w:rPr>
          <w:sz w:val="20"/>
        </w:rPr>
        <w:t xml:space="preserve"> (type: </w:t>
      </w:r>
      <w:r>
        <w:rPr>
          <w:rFonts w:ascii="Courier New" w:hAnsi="Courier New"/>
          <w:sz w:val="18"/>
        </w:rPr>
        <w:t>float</w:t>
      </w:r>
      <w:r>
        <w:rPr>
          <w:sz w:val="20"/>
        </w:rPr>
        <w:t xml:space="preserve">, value: </w:t>
      </w:r>
      <w:r>
        <w:rPr>
          <w:rFonts w:ascii="Courier New" w:hAnsi="Courier New"/>
          <w:sz w:val="18"/>
        </w:rPr>
        <w:t>0.90</w:t>
      </w:r>
      <w:r>
        <w:rPr>
          <w:sz w:val="20"/>
        </w:rPr>
        <w:t>): The 90% occupancy threshold above which a charge category is classified as standard and required on all units. Hardcoded constant.</w:t>
      </w:r>
    </w:p>
    <w:p>
      <w:pPr>
        <w:pStyle w:val="ListBullet"/>
      </w:pPr>
      <w:r>
        <w:rPr>
          <w:b/>
          <w:sz w:val="20"/>
        </w:rPr>
        <w:t>`RECENT_MOVEIN_DAYS`</w:t>
      </w:r>
      <w:r>
        <w:rPr>
          <w:sz w:val="20"/>
        </w:rPr>
        <w:t xml:space="preserve"> (type: </w:t>
      </w:r>
      <w:r>
        <w:rPr>
          <w:rFonts w:ascii="Courier New" w:hAnsi="Courier New"/>
          <w:sz w:val="18"/>
        </w:rPr>
        <w:t>int</w:t>
      </w:r>
      <w:r>
        <w:rPr>
          <w:sz w:val="20"/>
        </w:rPr>
        <w:t xml:space="preserve">, value: </w:t>
      </w:r>
      <w:r>
        <w:rPr>
          <w:rFonts w:ascii="Courier New" w:hAnsi="Courier New"/>
          <w:sz w:val="18"/>
        </w:rPr>
        <w:t>60</w:t>
      </w:r>
      <w:r>
        <w:rPr>
          <w:sz w:val="20"/>
        </w:rPr>
        <w:t>): The window in calendar days within which a $0-net-rent unit is treated as a recent move-in (MEDIUM risk) rather than an unexplained zero-rent unit (CRITICAL). Hardcoded constant.</w:t>
      </w:r>
    </w:p>
    <w:p>
      <w:pPr>
        <w:pStyle w:val="ListBullet"/>
      </w:pPr>
      <w:r>
        <w:rPr>
          <w:b/>
          <w:sz w:val="20"/>
        </w:rPr>
        <w:t>`CONCESSION_CRITICAL_AMT`</w:t>
      </w:r>
      <w:r>
        <w:rPr>
          <w:sz w:val="20"/>
        </w:rPr>
        <w:t xml:space="preserve"> (type: </w:t>
      </w:r>
      <w:r>
        <w:rPr>
          <w:rFonts w:ascii="Courier New" w:hAnsi="Courier New"/>
          <w:sz w:val="18"/>
        </w:rPr>
        <w:t>float</w:t>
      </w:r>
      <w:r>
        <w:rPr>
          <w:sz w:val="20"/>
        </w:rPr>
        <w:t xml:space="preserve">, value: </w:t>
      </w:r>
      <w:r>
        <w:rPr>
          <w:rFonts w:ascii="Courier New" w:hAnsi="Courier New"/>
          <w:sz w:val="18"/>
        </w:rPr>
        <w:t>700.0</w:t>
      </w:r>
      <w:r>
        <w:rPr>
          <w:sz w:val="20"/>
        </w:rPr>
        <w:t xml:space="preserve">) and </w:t>
      </w:r>
      <w:r>
        <w:rPr>
          <w:b/>
          <w:sz w:val="20"/>
        </w:rPr>
        <w:t>`CONCESSION_HIGH_AMT`</w:t>
      </w:r>
      <w:r>
        <w:rPr>
          <w:sz w:val="20"/>
        </w:rPr>
        <w:t xml:space="preserve"> (type: </w:t>
      </w:r>
      <w:r>
        <w:rPr>
          <w:rFonts w:ascii="Courier New" w:hAnsi="Courier New"/>
          <w:sz w:val="18"/>
        </w:rPr>
        <w:t>float</w:t>
      </w:r>
      <w:r>
        <w:rPr>
          <w:sz w:val="20"/>
        </w:rPr>
        <w:t xml:space="preserve">, value: </w:t>
      </w:r>
      <w:r>
        <w:rPr>
          <w:rFonts w:ascii="Courier New" w:hAnsi="Courier New"/>
          <w:sz w:val="18"/>
        </w:rPr>
        <w:t>500.0</w:t>
      </w:r>
      <w:r>
        <w:rPr>
          <w:sz w:val="20"/>
        </w:rPr>
        <w:t>)**: Dollar thresholds for Large Credit and multi-month concession flags. Hardcoded constants.</w:t>
      </w:r>
    </w:p>
    <w:p>
      <w:pPr>
        <w:pStyle w:val="ListBullet"/>
      </w:pPr>
      <w:r>
        <w:rPr>
          <w:b/>
          <w:sz w:val="20"/>
        </w:rPr>
        <w:t>`DIRS`</w:t>
      </w:r>
      <w:r>
        <w:rPr>
          <w:sz w:val="20"/>
        </w:rPr>
        <w:t xml:space="preserve"> (type: </w:t>
      </w:r>
      <w:r>
        <w:rPr>
          <w:rFonts w:ascii="Courier New" w:hAnsi="Courier New"/>
          <w:sz w:val="18"/>
        </w:rPr>
        <w:t>dict[str, str]</w:t>
      </w:r>
      <w:r>
        <w:rPr>
          <w:sz w:val="20"/>
        </w:rPr>
        <w:t xml:space="preserve">): All seven input folder paths are derived at runtime from </w:t>
      </w:r>
      <w:r>
        <w:rPr>
          <w:rFonts w:ascii="Courier New" w:hAnsi="Courier New"/>
          <w:sz w:val="18"/>
        </w:rPr>
        <w:t>BASE_DIR = os.path.dirname(os.path.abspath(__file__))</w:t>
      </w:r>
      <w:r>
        <w:rPr>
          <w:sz w:val="20"/>
        </w:rPr>
        <w:t xml:space="preserve">. This makes the project folder-portable — moving the project directory does not require updating any paths, as long as the relative </w:t>
      </w:r>
      <w:r>
        <w:rPr>
          <w:rFonts w:ascii="Courier New" w:hAnsi="Courier New"/>
          <w:sz w:val="18"/>
        </w:rPr>
        <w:t>data/</w:t>
      </w:r>
      <w:r>
        <w:rPr>
          <w:sz w:val="20"/>
        </w:rPr>
        <w:t xml:space="preserve"> subfolder structure is preserved.</w:t>
      </w:r>
    </w:p>
    <w:p>
      <w:pPr>
        <w:pStyle w:val="ListBullet"/>
      </w:pPr>
      <w:r>
        <w:rPr>
          <w:b/>
          <w:sz w:val="20"/>
        </w:rPr>
        <w:t>No external configuration file:</w:t>
      </w:r>
      <w:r>
        <w:rPr>
          <w:sz w:val="20"/>
        </w:rPr>
        <w:t xml:space="preserve"> There is no </w:t>
      </w:r>
      <w:r>
        <w:rPr>
          <w:rFonts w:ascii="Courier New" w:hAnsi="Courier New"/>
          <w:sz w:val="18"/>
        </w:rPr>
        <w:t>config.yaml</w:t>
      </w:r>
      <w:r>
        <w:rPr>
          <w:sz w:val="20"/>
        </w:rPr>
        <w:t xml:space="preserve">, </w:t>
      </w:r>
      <w:r>
        <w:rPr>
          <w:rFonts w:ascii="Courier New" w:hAnsi="Courier New"/>
          <w:sz w:val="18"/>
        </w:rPr>
        <w:t>.env</w:t>
      </w:r>
      <w:r>
        <w:rPr>
          <w:sz w:val="20"/>
        </w:rPr>
        <w:t xml:space="preserve">, </w:t>
      </w:r>
      <w:r>
        <w:rPr>
          <w:rFonts w:ascii="Courier New" w:hAnsi="Courier New"/>
          <w:sz w:val="18"/>
        </w:rPr>
        <w:t>settings.ini</w:t>
      </w:r>
      <w:r>
        <w:rPr>
          <w:sz w:val="20"/>
        </w:rPr>
        <w:t xml:space="preserve">, or command-line argument parser in the project. All business rule parameters live as module-level constants in </w:t>
      </w:r>
      <w:r>
        <w:rPr>
          <w:rFonts w:ascii="Courier New" w:hAnsi="Courier New"/>
          <w:sz w:val="18"/>
        </w:rPr>
        <w:t>audit_bot.py</w:t>
      </w:r>
      <w:r>
        <w:rPr>
          <w:sz w:val="20"/>
        </w:rPr>
        <w:t>. Changing any threshold requires a direct code edit and a rerun.</w:t>
      </w:r>
    </w:p>
    <w:p>
      <w:pPr>
        <w:pStyle w:val="Heading1"/>
        <w:pageBreakBefore w:val="1"/>
      </w:pPr>
      <w:r>
        <w:rPr>
          <w:color w:val="1F4E79"/>
        </w:rPr>
        <w:t>8. Assumptions &amp; Open Items</w:t>
      </w:r>
    </w:p>
    <w:p>
      <w:pPr>
        <w:pStyle w:val="Heading2"/>
      </w:pPr>
      <w:r>
        <w:rPr>
          <w:color w:val="2E74B5"/>
        </w:rPr>
        <w:t>8.1 Technical Assumptions Made During Development</w:t>
      </w:r>
    </w:p>
    <w:p>
      <w:pPr>
        <w:pStyle w:val="ListBullet"/>
      </w:pPr>
      <w:r>
        <w:rPr>
          <w:b/>
          <w:sz w:val="20"/>
        </w:rPr>
        <w:t>ResMan CSV format stability:</w:t>
      </w:r>
      <w:r>
        <w:rPr>
          <w:sz w:val="20"/>
        </w:rPr>
        <w:t xml:space="preserve"> The bot's seven loaders are built around specific ResMan export layouts — fixed skip-row counts (5–6 header rows), positional column indexing, and section-marker strings (e.g., </w:t>
      </w:r>
      <w:r>
        <w:rPr>
          <w:rFonts w:ascii="Courier New" w:hAnsi="Courier New"/>
          <w:sz w:val="18"/>
        </w:rPr>
        <w:t>"Recurring Transactions by Unit"</w:t>
      </w:r>
      <w:r>
        <w:rPr>
          <w:sz w:val="20"/>
        </w:rPr>
        <w:t>). It is assumed that ResMan does not change these export formats without notice. A ResMan platform update that alters the column order, header row count, or section marker text would silently break one or more loaders without raising an exception, as the parsers use positional indexing rather than named-column lookups.</w:t>
      </w:r>
    </w:p>
    <w:p>
      <w:pPr>
        <w:pStyle w:val="ListBullet"/>
      </w:pPr>
      <w:r>
        <w:rPr>
          <w:b/>
          <w:sz w:val="20"/>
        </w:rPr>
        <w:t>Concession storage convention:</w:t>
      </w:r>
      <w:r>
        <w:rPr>
          <w:sz w:val="20"/>
        </w:rPr>
        <w:t xml:space="preserve"> It is assumed that LiveNjoy's ResMan instance stores approved concessions as </w:t>
      </w:r>
      <w:r>
        <w:rPr>
          <w:b/>
          <w:sz w:val="20"/>
        </w:rPr>
        <w:t>negative-amount line items on the Rent Roll</w:t>
      </w:r>
      <w:r>
        <w:rPr>
          <w:sz w:val="20"/>
        </w:rPr>
        <w:t xml:space="preserve"> rather than in the </w:t>
      </w:r>
      <w:r>
        <w:rPr>
          <w:rFonts w:ascii="Courier New" w:hAnsi="Courier New"/>
          <w:sz w:val="18"/>
        </w:rPr>
        <w:t>Rec. Conc.</w:t>
      </w:r>
      <w:r>
        <w:rPr>
          <w:sz w:val="20"/>
        </w:rPr>
        <w:t xml:space="preserve"> field of the New &amp; Renewed Leases report. This is a LiveNjoy-specific configuration; the </w:t>
      </w:r>
      <w:r>
        <w:rPr>
          <w:rFonts w:ascii="Courier New" w:hAnsi="Courier New"/>
          <w:sz w:val="18"/>
        </w:rPr>
        <w:t>Rec. Conc.</w:t>
      </w:r>
      <w:r>
        <w:rPr>
          <w:sz w:val="20"/>
        </w:rPr>
        <w:t xml:space="preserve"> column in the Leases export is </w:t>
      </w:r>
      <w:r>
        <w:rPr>
          <w:rFonts w:ascii="Courier New" w:hAnsi="Courier New"/>
          <w:sz w:val="18"/>
        </w:rPr>
        <w:t>$0</w:t>
      </w:r>
      <w:r>
        <w:rPr>
          <w:sz w:val="20"/>
        </w:rPr>
        <w:t xml:space="preserve"> for all rows in practice. John's Engine and Daniel's Stage 2 both rely on Rent Roll concession rows as the source of truth for approved concession amounts. If LiveNjoy's ResMan configuration changes to populate </w:t>
      </w:r>
      <w:r>
        <w:rPr>
          <w:rFonts w:ascii="Courier New" w:hAnsi="Courier New"/>
          <w:sz w:val="18"/>
        </w:rPr>
        <w:t>Rec. Conc.</w:t>
      </w:r>
      <w:r>
        <w:rPr>
          <w:sz w:val="20"/>
        </w:rPr>
        <w:t xml:space="preserve"> directly, the concession lookup logic in both engines would need to be refactored.</w:t>
      </w:r>
    </w:p>
    <w:p>
      <w:pPr>
        <w:pStyle w:val="ListBullet"/>
      </w:pPr>
      <w:r>
        <w:rPr>
          <w:b/>
          <w:sz w:val="20"/>
        </w:rPr>
        <w:t>Transaction List Credit exclusivity:</w:t>
      </w:r>
      <w:r>
        <w:rPr>
          <w:sz w:val="20"/>
        </w:rPr>
        <w:t xml:space="preserve"> It is assumed that the Transaction List CSVs contain </w:t>
      </w:r>
      <w:r>
        <w:rPr>
          <w:b/>
          <w:sz w:val="20"/>
        </w:rPr>
        <w:t>only Credit-type sections</w:t>
      </w:r>
      <w:r>
        <w:rPr>
          <w:sz w:val="20"/>
        </w:rPr>
        <w:t xml:space="preserve"> when the bot needs them, or that the section forward-fill logic correctly classifies and excludes all non-Credit sections (Payment, Deposit, Charge). The current regex </w:t>
      </w:r>
      <w:r>
        <w:rPr>
          <w:rFonts w:ascii="Courier New" w:hAnsi="Courier New"/>
          <w:sz w:val="18"/>
        </w:rPr>
        <w:t>r"^(Credit|Charge|Payment|Deposit)"</w:t>
      </w:r>
      <w:r>
        <w:rPr>
          <w:sz w:val="20"/>
        </w:rPr>
        <w:t xml:space="preserve"> is assumed to cover all section header prefixes ResMan may emit. A new section type introduced by ResMan that does not begin with one of these four words would be missed by the forward-fill and could leak into credit lookups.</w:t>
      </w:r>
    </w:p>
    <w:p>
      <w:pPr>
        <w:pStyle w:val="ListBullet"/>
      </w:pPr>
      <w:r>
        <w:rPr>
          <w:b/>
          <w:sz w:val="20"/>
        </w:rPr>
        <w:t>Seven-property fixed portfolio:</w:t>
      </w:r>
      <w:r>
        <w:rPr>
          <w:sz w:val="20"/>
        </w:rPr>
        <w:t xml:space="preserve"> The system assumes a fixed set of exactly seven properties. The </w:t>
      </w:r>
      <w:r>
        <w:rPr>
          <w:rFonts w:ascii="Courier New" w:hAnsi="Courier New"/>
          <w:sz w:val="18"/>
        </w:rPr>
        <w:t>derive_property()</w:t>
      </w:r>
      <w:r>
        <w:rPr>
          <w:sz w:val="20"/>
        </w:rPr>
        <w:t xml:space="preserve"> function maps filenames to a hardcoded property name via short-code and keyword maps. Adding or renaming a property requires updating </w:t>
      </w:r>
      <w:r>
        <w:rPr>
          <w:rFonts w:ascii="Courier New" w:hAnsi="Courier New"/>
          <w:sz w:val="18"/>
        </w:rPr>
        <w:t>CODE_MAP</w:t>
      </w:r>
      <w:r>
        <w:rPr>
          <w:sz w:val="20"/>
        </w:rPr>
        <w:t xml:space="preserve">, </w:t>
      </w:r>
      <w:r>
        <w:rPr>
          <w:rFonts w:ascii="Courier New" w:hAnsi="Courier New"/>
          <w:sz w:val="18"/>
        </w:rPr>
        <w:t>KEYWORD_MAP</w:t>
      </w:r>
      <w:r>
        <w:rPr>
          <w:sz w:val="20"/>
        </w:rPr>
        <w:t xml:space="preserve">, </w:t>
      </w:r>
      <w:r>
        <w:rPr>
          <w:rFonts w:ascii="Courier New" w:hAnsi="Courier New"/>
          <w:sz w:val="18"/>
        </w:rPr>
        <w:t>PROPERTY_FEE_SCHEDULE</w:t>
      </w:r>
      <w:r>
        <w:rPr>
          <w:sz w:val="20"/>
        </w:rPr>
        <w:t xml:space="preserve">, </w:t>
      </w:r>
      <w:r>
        <w:rPr>
          <w:rFonts w:ascii="Courier New" w:hAnsi="Courier New"/>
          <w:sz w:val="18"/>
        </w:rPr>
        <w:t>PROPERTY_NER_FLOORS</w:t>
      </w:r>
      <w:r>
        <w:rPr>
          <w:sz w:val="20"/>
        </w:rPr>
        <w:t xml:space="preserve">, and </w:t>
      </w:r>
      <w:r>
        <w:rPr>
          <w:rFonts w:ascii="Courier New" w:hAnsi="Courier New"/>
          <w:sz w:val="18"/>
        </w:rPr>
        <w:t>PROPERTY_NER_DISCOUNT</w:t>
      </w:r>
      <w:r>
        <w:rPr>
          <w:sz w:val="20"/>
        </w:rPr>
        <w:t xml:space="preserve"> simultaneously in the source code.</w:t>
      </w:r>
    </w:p>
    <w:p>
      <w:pPr>
        <w:pStyle w:val="ListBullet"/>
      </w:pPr>
      <w:r>
        <w:rPr>
          <w:b/>
          <w:sz w:val="20"/>
        </w:rPr>
        <w:t>Unit number as the join key:</w:t>
      </w:r>
      <w:r>
        <w:rPr>
          <w:sz w:val="20"/>
        </w:rPr>
        <w:t xml:space="preserve"> All cross-report lookups use </w:t>
      </w:r>
      <w:r>
        <w:rPr>
          <w:rFonts w:ascii="Courier New" w:hAnsi="Courier New"/>
          <w:sz w:val="18"/>
        </w:rPr>
        <w:t>(Property, Unit)</w:t>
      </w:r>
      <w:r>
        <w:rPr>
          <w:sz w:val="20"/>
        </w:rPr>
        <w:t xml:space="preserve"> as the composite key. It is assumed that unit numbers are stable identifiers within ResMan — i.e., a unit number refers to the same physical unit across all seven report types for the same audit period. Unit renaming or renumbering in ResMan would produce missed matches and incorrect flags without any error indication.</w:t>
      </w:r>
    </w:p>
    <w:p>
      <w:pPr>
        <w:pStyle w:val="ListBullet"/>
      </w:pPr>
      <w:r>
        <w:rPr>
          <w:b/>
          <w:sz w:val="20"/>
        </w:rPr>
        <w:t>Occupied-status classification:</w:t>
      </w:r>
      <w:r>
        <w:rPr>
          <w:sz w:val="20"/>
        </w:rPr>
        <w:t xml:space="preserve"> Daniel's Stage 2 filters to </w:t>
      </w:r>
      <w:r>
        <w:rPr>
          <w:rFonts w:ascii="Courier New" w:hAnsi="Courier New"/>
          <w:sz w:val="18"/>
        </w:rPr>
        <w:t>Status</w:t>
      </w:r>
      <w:r>
        <w:rPr>
          <w:sz w:val="20"/>
        </w:rPr>
        <w:t xml:space="preserve"> values of </w:t>
      </w:r>
      <w:r>
        <w:rPr>
          <w:rFonts w:ascii="Courier New" w:hAnsi="Courier New"/>
          <w:sz w:val="18"/>
        </w:rPr>
        <w:t>"C"</w:t>
      </w:r>
      <w:r>
        <w:rPr>
          <w:sz w:val="20"/>
        </w:rPr>
        <w:t xml:space="preserve">, </w:t>
      </w:r>
      <w:r>
        <w:rPr>
          <w:rFonts w:ascii="Courier New" w:hAnsi="Courier New"/>
          <w:sz w:val="18"/>
        </w:rPr>
        <w:t>"MTM"</w:t>
      </w:r>
      <w:r>
        <w:rPr>
          <w:sz w:val="20"/>
        </w:rPr>
        <w:t xml:space="preserve">, and </w:t>
      </w:r>
      <w:r>
        <w:rPr>
          <w:rFonts w:ascii="Courier New" w:hAnsi="Courier New"/>
          <w:sz w:val="18"/>
        </w:rPr>
        <w:t>"NTV"</w:t>
      </w:r>
      <w:r>
        <w:rPr>
          <w:sz w:val="20"/>
        </w:rPr>
        <w:t>. It is assumed these are the only three status codes that represent revenue-generating occupied units in LiveNjoy's ResMan configuration. Courtesy officer units or employee units with a different status code would be silently excluded from Stage 2 checks.</w:t>
      </w:r>
    </w:p>
    <w:p>
      <w:pPr>
        <w:pStyle w:val="ListBullet"/>
      </w:pPr>
      <w:r>
        <w:rPr>
          <w:b/>
          <w:sz w:val="20"/>
        </w:rPr>
        <w:t>Market Rent Schedule column position:</w:t>
      </w:r>
      <w:r>
        <w:rPr>
          <w:sz w:val="20"/>
        </w:rPr>
        <w:t xml:space="preserve"> The Market Rent Schedule loader reads </w:t>
      </w:r>
      <w:r>
        <w:rPr>
          <w:rFonts w:ascii="Courier New" w:hAnsi="Courier New"/>
          <w:sz w:val="18"/>
        </w:rPr>
        <w:t>"Total Rent"</w:t>
      </w:r>
      <w:r>
        <w:rPr>
          <w:sz w:val="20"/>
        </w:rPr>
        <w:t xml:space="preserve"> from column index 7 (the 8th column). This is assumed to be a fixed positional column in the ResMan Market Rent Schedule Detail export. If ResMan adds or removes a column before index 7, the loader will silently read the wrong value.</w:t>
      </w:r>
    </w:p>
    <w:p>
      <w:pPr>
        <w:pStyle w:val="ListBullet"/>
      </w:pPr>
      <w:r>
        <w:rPr>
          <w:b/>
          <w:sz w:val="20"/>
        </w:rPr>
        <w:t>Concession amounts are negative in projection CSVs:</w:t>
      </w:r>
      <w:r>
        <w:rPr>
          <w:sz w:val="20"/>
        </w:rPr>
        <w:t xml:space="preserve"> It is assumed that ResMan always exports concession amounts as negative values in the Transaction Projection CSV. The NER engine and Stage 1 concession checks both apply </w:t>
      </w:r>
      <w:r>
        <w:rPr>
          <w:rFonts w:ascii="Courier New" w:hAnsi="Courier New"/>
          <w:sz w:val="18"/>
        </w:rPr>
        <w:t>abs()</w:t>
      </w:r>
      <w:r>
        <w:rPr>
          <w:sz w:val="20"/>
        </w:rPr>
        <w:t xml:space="preserve"> before threshold comparisons. If ResMan changes the sign convention, all concession-related calculations would invert silently.</w:t>
      </w:r>
    </w:p>
    <w:p>
      <w:pPr>
        <w:pStyle w:val="ListBullet"/>
      </w:pPr>
      <w:r>
        <w:rPr>
          <w:b/>
          <w:sz w:val="20"/>
        </w:rPr>
        <w:t>`python-docx` dependency is dormant:</w:t>
      </w:r>
      <w:r>
        <w:rPr>
          <w:sz w:val="20"/>
        </w:rPr>
        <w:t xml:space="preserve"> The </w:t>
      </w:r>
      <w:r>
        <w:rPr>
          <w:rFonts w:ascii="Courier New" w:hAnsi="Courier New"/>
          <w:sz w:val="18"/>
        </w:rPr>
        <w:t>python-docx</w:t>
      </w:r>
      <w:r>
        <w:rPr>
          <w:sz w:val="20"/>
        </w:rPr>
        <w:t xml:space="preserve"> package is listed as installed in the virtual environment (noted in CONTEXT.md) but is not imported or used anywhere in the current </w:t>
      </w:r>
      <w:r>
        <w:rPr>
          <w:rFonts w:ascii="Courier New" w:hAnsi="Courier New"/>
          <w:sz w:val="18"/>
        </w:rPr>
        <w:t>audit_bot.py</w:t>
      </w:r>
      <w:r>
        <w:rPr>
          <w:sz w:val="20"/>
        </w:rPr>
        <w:t xml:space="preserve"> or </w:t>
      </w:r>
      <w:r>
        <w:rPr>
          <w:rFonts w:ascii="Courier New" w:hAnsi="Courier New"/>
          <w:sz w:val="18"/>
        </w:rPr>
        <w:t>app.py</w:t>
      </w:r>
      <w:r>
        <w:rPr>
          <w:sz w:val="20"/>
        </w:rPr>
        <w:t xml:space="preserve"> codebase. It was likely installed during an earlier iteration when fee schedules were being parsed from </w:t>
      </w:r>
      <w:r>
        <w:rPr>
          <w:rFonts w:ascii="Courier New" w:hAnsi="Courier New"/>
          <w:sz w:val="18"/>
        </w:rPr>
        <w:t>.docx</w:t>
      </w:r>
      <w:r>
        <w:rPr>
          <w:sz w:val="20"/>
        </w:rPr>
        <w:t xml:space="preserve"> files. All fee schedule data has since been hardcoded into </w:t>
      </w:r>
      <w:r>
        <w:rPr>
          <w:rFonts w:ascii="Courier New" w:hAnsi="Courier New"/>
          <w:sz w:val="18"/>
        </w:rPr>
        <w:t>PROPERTY_FEE_SCHEDULE</w:t>
      </w:r>
      <w:r>
        <w:rPr>
          <w:sz w:val="20"/>
        </w:rPr>
        <w:t>.</w:t>
      </w:r>
    </w:p>
    <w:p>
      <w:pPr>
        <w:pStyle w:val="Heading2"/>
      </w:pPr>
      <w:r>
        <w:rPr>
          <w:color w:val="2E74B5"/>
        </w:rPr>
        <w:t>8.2 Pending Integration Dependencies</w:t>
      </w:r>
    </w:p>
    <w:p>
      <w:pPr>
        <w:pStyle w:val="ListBullet"/>
      </w:pPr>
      <w:r>
        <w:rPr>
          <w:b/>
          <w:sz w:val="20"/>
        </w:rPr>
        <w:t>ResMan Document API (Lease Addenda):</w:t>
      </w:r>
      <w:r>
        <w:rPr>
          <w:sz w:val="20"/>
        </w:rPr>
        <w:t xml:space="preserve"> Rule R5 (Missing Addendum) was </w:t>
      </w:r>
      <w:r>
        <w:rPr>
          <w:b/>
          <w:sz w:val="20"/>
        </w:rPr>
        <w:t>disabled on April 30, 2026</w:t>
      </w:r>
      <w:r>
        <w:rPr>
          <w:sz w:val="20"/>
        </w:rPr>
        <w:t xml:space="preserve"> because lease addendum PDFs are stored in ResMan's Documents module, which is not accessible from CSV exports. There is no current data source that allows the bot to confirm whether a signed addendum exists for a given unit. </w:t>
      </w:r>
      <w:r>
        <w:rPr>
          <w:b/>
          <w:sz w:val="20"/>
        </w:rPr>
        <w:t>Open item:</w:t>
      </w:r>
      <w:r>
        <w:rPr>
          <w:sz w:val="20"/>
        </w:rPr>
        <w:t xml:space="preserve"> If ResMan exposes a Documents API or if John provides a manual addendum tracker spreadsheet, R5 can be re-enabled using that source as the addendum lookup. Until then, the </w:t>
      </w:r>
      <w:r>
        <w:rPr>
          <w:rFonts w:ascii="Courier New" w:hAnsi="Courier New"/>
          <w:sz w:val="18"/>
        </w:rPr>
        <w:t>if in_tx and not in_rr</w:t>
      </w:r>
      <w:r>
        <w:rPr>
          <w:sz w:val="20"/>
        </w:rPr>
        <w:t xml:space="preserve"> block remains commented out.</w:t>
      </w:r>
    </w:p>
    <w:p>
      <w:pPr>
        <w:pStyle w:val="ListBullet"/>
      </w:pPr>
      <w:r>
        <w:rPr>
          <w:b/>
          <w:sz w:val="20"/>
        </w:rPr>
        <w:t>Incorrect Frequency Setup rule (unimplemented):</w:t>
      </w:r>
      <w:r>
        <w:rPr>
          <w:sz w:val="20"/>
        </w:rPr>
        <w:t xml:space="preserve"> A planned rule that checks whether a concession's recurring frequency setup matches the approved term (one-time, 12-month, MTM) was designed but never implemented. It requires a data source showing the approved concession term per unit — this is not present in any of the seven current ResMan CSV export types. </w:t>
      </w:r>
      <w:r>
        <w:rPr>
          <w:b/>
          <w:sz w:val="20"/>
        </w:rPr>
        <w:t>Open item:</w:t>
      </w:r>
      <w:r>
        <w:rPr>
          <w:sz w:val="20"/>
        </w:rPr>
        <w:t xml:space="preserve"> John B. was asked to provide a manual tracker for approved concession frequencies. This tracker has not been received as of July 2026. The rule remains documented in CONTEXT.md as a future requirement.</w:t>
      </w:r>
    </w:p>
    <w:p>
      <w:pPr>
        <w:pStyle w:val="ListBullet"/>
      </w:pPr>
      <w:r>
        <w:rPr>
          <w:b/>
          <w:sz w:val="20"/>
        </w:rPr>
        <w:t>NER Floors — Highland Park and Valencia Plaza confirmation:</w:t>
      </w:r>
      <w:r>
        <w:rPr>
          <w:sz w:val="20"/>
        </w:rPr>
        <w:t xml:space="preserve"> The NER floors for Highland Park (1BR: $799, 2BR: $999) and Valencia Plaza (1BR: $999) are marked </w:t>
      </w:r>
      <w:r>
        <w:rPr>
          <w:rFonts w:ascii="Courier New" w:hAnsi="Courier New"/>
          <w:sz w:val="18"/>
        </w:rPr>
        <w:t>⚠️ needs re-confirmation</w:t>
      </w:r>
      <w:r>
        <w:rPr>
          <w:sz w:val="20"/>
        </w:rPr>
        <w:t xml:space="preserve"> in CONTEXT.md. These values were entered based on initial guidance from Daniel Twito but were flagged as potentially needing revision. </w:t>
      </w:r>
      <w:r>
        <w:rPr>
          <w:b/>
          <w:sz w:val="20"/>
        </w:rPr>
        <w:t>Open item:</w:t>
      </w:r>
      <w:r>
        <w:rPr>
          <w:sz w:val="20"/>
        </w:rPr>
        <w:t xml:space="preserve"> Daniel Twito must formally confirm or correct the NER floors for these two properties before the values in </w:t>
      </w:r>
      <w:r>
        <w:rPr>
          <w:rFonts w:ascii="Courier New" w:hAnsi="Courier New"/>
          <w:sz w:val="18"/>
        </w:rPr>
        <w:t>PROPERTY_NER_FLOORS</w:t>
      </w:r>
      <w:r>
        <w:rPr>
          <w:sz w:val="20"/>
        </w:rPr>
        <w:t xml:space="preserve"> can be treated as verified policy.</w:t>
      </w:r>
    </w:p>
    <w:p>
      <w:pPr>
        <w:pStyle w:val="ListBullet"/>
      </w:pPr>
      <w:r>
        <w:rPr>
          <w:b/>
          <w:sz w:val="20"/>
        </w:rPr>
        <w:t>Western Station NER floor (not defined):</w:t>
      </w:r>
      <w:r>
        <w:rPr>
          <w:sz w:val="20"/>
        </w:rPr>
        <w:t xml:space="preserve"> Western Station has no NER floor defined in either </w:t>
      </w:r>
      <w:r>
        <w:rPr>
          <w:rFonts w:ascii="Courier New" w:hAnsi="Courier New"/>
          <w:sz w:val="18"/>
        </w:rPr>
        <w:t>PROPERTY_NER_FLOORS</w:t>
      </w:r>
      <w:r>
        <w:rPr>
          <w:sz w:val="20"/>
        </w:rPr>
        <w:t xml:space="preserve"> or </w:t>
      </w:r>
      <w:r>
        <w:rPr>
          <w:rFonts w:ascii="Courier New" w:hAnsi="Courier New"/>
          <w:sz w:val="18"/>
        </w:rPr>
        <w:t>PROPERTY_NER_DISCOUNT</w:t>
      </w:r>
      <w:r>
        <w:rPr>
          <w:sz w:val="20"/>
        </w:rPr>
        <w:t xml:space="preserve">. CONTEXT.md notes that "floor varies by floorplan — not a simple market-minus rule." </w:t>
      </w:r>
      <w:r>
        <w:rPr>
          <w:b/>
          <w:sz w:val="20"/>
        </w:rPr>
        <w:t>Open item:</w:t>
      </w:r>
      <w:r>
        <w:rPr>
          <w:sz w:val="20"/>
        </w:rPr>
        <w:t xml:space="preserve"> Daniel Twito must provide a per-floorplan NER floor matrix for Western Station. Until received, all Western Station units are excluded from NER floor checks.</w:t>
      </w:r>
    </w:p>
    <w:p>
      <w:pPr>
        <w:pStyle w:val="ListBullet"/>
      </w:pPr>
      <w:r>
        <w:rPr>
          <w:b/>
          <w:sz w:val="20"/>
        </w:rPr>
        <w:t>Live ResMan API integration:</w:t>
      </w:r>
      <w:r>
        <w:rPr>
          <w:sz w:val="20"/>
        </w:rPr>
        <w:t xml:space="preserve"> The current architecture is entirely file-based. All seven CSV types must be manually exported from ResMan and copied into </w:t>
      </w:r>
      <w:r>
        <w:rPr>
          <w:rFonts w:ascii="Courier New" w:hAnsi="Courier New"/>
          <w:sz w:val="18"/>
        </w:rPr>
        <w:t>data/</w:t>
      </w:r>
      <w:r>
        <w:rPr>
          <w:sz w:val="20"/>
        </w:rPr>
        <w:t xml:space="preserve"> subfolders before each run. </w:t>
      </w:r>
      <w:r>
        <w:rPr>
          <w:b/>
          <w:sz w:val="20"/>
        </w:rPr>
        <w:t>Open item:</w:t>
      </w:r>
      <w:r>
        <w:rPr>
          <w:sz w:val="20"/>
        </w:rPr>
        <w:t xml:space="preserve"> If LiveNjoy obtains access to the ResMan REST API or a scheduled data export mechanism, the seven </w:t>
      </w:r>
      <w:r>
        <w:rPr>
          <w:rFonts w:ascii="Courier New" w:hAnsi="Courier New"/>
          <w:sz w:val="18"/>
        </w:rPr>
        <w:t>_csv_files()</w:t>
      </w:r>
      <w:r>
        <w:rPr>
          <w:sz w:val="20"/>
        </w:rPr>
        <w:t xml:space="preserve"> / </w:t>
      </w:r>
      <w:r>
        <w:rPr>
          <w:rFonts w:ascii="Courier New" w:hAnsi="Courier New"/>
          <w:sz w:val="18"/>
        </w:rPr>
        <w:t>_read_csv()</w:t>
      </w:r>
      <w:r>
        <w:rPr>
          <w:sz w:val="20"/>
        </w:rPr>
        <w:t xml:space="preserve"> loader pairs could be replaced with API calls, eliminating the manual export step and enabling fully automated monthly runs.</w:t>
      </w:r>
    </w:p>
    <w:p>
      <w:pPr>
        <w:pStyle w:val="ListBullet"/>
      </w:pPr>
      <w:r>
        <w:rPr>
          <w:b/>
          <w:sz w:val="20"/>
        </w:rPr>
        <w:t>Automated scheduling:</w:t>
      </w:r>
      <w:r>
        <w:rPr>
          <w:sz w:val="20"/>
        </w:rPr>
        <w:t xml:space="preserve"> There is no scheduled or triggered execution of the audit. The bot is run manually via </w:t>
      </w:r>
      <w:r>
        <w:rPr>
          <w:rFonts w:ascii="Courier New" w:hAnsi="Courier New"/>
          <w:sz w:val="18"/>
        </w:rPr>
        <w:t>python audit_bot.py</w:t>
      </w:r>
      <w:r>
        <w:rPr>
          <w:sz w:val="20"/>
        </w:rPr>
        <w:t xml:space="preserve"> or via the Streamlit sidebar button. </w:t>
      </w:r>
      <w:r>
        <w:rPr>
          <w:b/>
          <w:sz w:val="20"/>
        </w:rPr>
        <w:t>Open item:</w:t>
      </w:r>
      <w:r>
        <w:rPr>
          <w:sz w:val="20"/>
        </w:rPr>
        <w:t xml:space="preserve"> A Windows Task Scheduler job, a cloud scheduler (e.g. AWS EventBridge), or a CI/CD pipeline step could be configured to automate monthly execution once the data export step is also automated.</w:t>
      </w:r>
    </w:p>
    <w:p>
      <w:pPr>
        <w:pStyle w:val="ListBullet"/>
      </w:pPr>
      <w:r>
        <w:rPr>
          <w:b/>
          <w:sz w:val="20"/>
        </w:rPr>
        <w:t>Cloud or shared deployment of the Streamlit dashboard:</w:t>
      </w:r>
      <w:r>
        <w:rPr>
          <w:sz w:val="20"/>
        </w:rPr>
        <w:t xml:space="preserve"> The dashboard currently runs exclusively on </w:t>
      </w:r>
      <w:r>
        <w:rPr>
          <w:rFonts w:ascii="Courier New" w:hAnsi="Courier New"/>
          <w:sz w:val="18"/>
        </w:rPr>
        <w:t>localhost:8501</w:t>
      </w:r>
      <w:r>
        <w:rPr>
          <w:sz w:val="20"/>
        </w:rPr>
        <w:t xml:space="preserve"> on the developer's machine. There is no production deployment to a shared server, intranet host, or Streamlit Community Cloud. </w:t>
      </w:r>
      <w:r>
        <w:rPr>
          <w:b/>
          <w:sz w:val="20"/>
        </w:rPr>
        <w:t>Open item:</w:t>
      </w:r>
      <w:r>
        <w:rPr>
          <w:sz w:val="20"/>
        </w:rPr>
        <w:t xml:space="preserve"> If leadership requires self-service access to the dashboard without running the bot locally, a deployment target (Streamlit Community Cloud, Azure App Service, or an internal server) must be selected, and an authentication mechanism must be added since the current app has no login protection.</w:t>
      </w:r>
    </w:p>
    <w:p>
      <w:pPr>
        <w:pStyle w:val="ListBullet"/>
      </w:pPr>
      <w:r>
        <w:rPr>
          <w:b/>
          <w:sz w:val="20"/>
        </w:rPr>
        <w:t>`requirements.txt` / dependency pinning:</w:t>
      </w:r>
      <w:r>
        <w:rPr>
          <w:sz w:val="20"/>
        </w:rPr>
        <w:t xml:space="preserve"> The project has no </w:t>
      </w:r>
      <w:r>
        <w:rPr>
          <w:rFonts w:ascii="Courier New" w:hAnsi="Courier New"/>
          <w:sz w:val="18"/>
        </w:rPr>
        <w:t>requirements.txt</w:t>
      </w:r>
      <w:r>
        <w:rPr>
          <w:sz w:val="20"/>
        </w:rPr>
        <w:t xml:space="preserve"> or </w:t>
      </w:r>
      <w:r>
        <w:rPr>
          <w:rFonts w:ascii="Courier New" w:hAnsi="Courier New"/>
          <w:sz w:val="18"/>
        </w:rPr>
        <w:t>pyproject.toml</w:t>
      </w:r>
      <w:r>
        <w:rPr>
          <w:sz w:val="20"/>
        </w:rPr>
        <w:t xml:space="preserve"> pinning package versions. The virtual environment was created with specific versions (e.g. Streamlit 1.54.0) but these are not documented in a reproducible lockfile. </w:t>
      </w:r>
      <w:r>
        <w:rPr>
          <w:b/>
          <w:sz w:val="20"/>
        </w:rPr>
        <w:t>Open item:</w:t>
      </w:r>
      <w:r>
        <w:rPr>
          <w:sz w:val="20"/>
        </w:rPr>
        <w:t xml:space="preserve"> A </w:t>
      </w:r>
      <w:r>
        <w:rPr>
          <w:rFonts w:ascii="Courier New" w:hAnsi="Courier New"/>
          <w:sz w:val="18"/>
        </w:rPr>
        <w:t>pip freeze &gt; requirements.txt</w:t>
      </w:r>
      <w:r>
        <w:rPr>
          <w:sz w:val="20"/>
        </w:rPr>
        <w:t xml:space="preserve"> or a </w:t>
      </w:r>
      <w:r>
        <w:rPr>
          <w:rFonts w:ascii="Courier New" w:hAnsi="Courier New"/>
          <w:sz w:val="18"/>
        </w:rPr>
        <w:t>pyproject.toml</w:t>
      </w:r>
      <w:r>
        <w:rPr>
          <w:sz w:val="20"/>
        </w:rPr>
        <w:t xml:space="preserve"> with pinned versions should be committed to the repository to ensure reproducible installs across machines and future environments.</w:t>
      </w:r>
    </w:p>
    <w:p>
      <w:pPr>
        <w:pStyle w:val="ListBullet"/>
      </w:pPr>
      <w:r>
        <w:rPr>
          <w:b/>
          <w:sz w:val="20"/>
        </w:rPr>
        <w:t>Resident Ledger PDF parsing:</w:t>
      </w:r>
      <w:r>
        <w:rPr>
          <w:sz w:val="20"/>
        </w:rPr>
        <w:t xml:space="preserve"> Resident Ledger PDFs are stored in </w:t>
      </w:r>
      <w:r>
        <w:rPr>
          <w:rFonts w:ascii="Courier New" w:hAnsi="Courier New"/>
          <w:sz w:val="18"/>
        </w:rPr>
        <w:t>exports/Resident Ledgers/</w:t>
      </w:r>
      <w:r>
        <w:rPr>
          <w:sz w:val="20"/>
        </w:rPr>
        <w:t xml:space="preserve"> but are explicitly documented as manual-review-only. The bot prints a note in the Streamlit sidebar: "⚠️ Resident Ledgers are PDFs — not processed by the bot." </w:t>
      </w:r>
      <w:r>
        <w:rPr>
          <w:b/>
          <w:sz w:val="20"/>
        </w:rPr>
        <w:t>Open item:</w:t>
      </w:r>
      <w:r>
        <w:rPr>
          <w:sz w:val="20"/>
        </w:rPr>
        <w:t xml:space="preserve"> If automated ledger analysis is required in a future version, a PDF extraction library (e.g., </w:t>
      </w:r>
      <w:r>
        <w:rPr>
          <w:rFonts w:ascii="Courier New" w:hAnsi="Courier New"/>
          <w:sz w:val="18"/>
        </w:rPr>
        <w:t>pdfplumber</w:t>
      </w:r>
      <w:r>
        <w:rPr>
          <w:sz w:val="20"/>
        </w:rPr>
        <w:t xml:space="preserve">, </w:t>
      </w:r>
      <w:r>
        <w:rPr>
          <w:rFonts w:ascii="Courier New" w:hAnsi="Courier New"/>
          <w:sz w:val="18"/>
        </w:rPr>
        <w:t>PyMuPDF</w:t>
      </w:r>
      <w:r>
        <w:rPr>
          <w:sz w:val="20"/>
        </w:rPr>
        <w:t>) would need to be integrated, along with a parser for ResMan's specific ledger layout.</w:t>
      </w:r>
    </w:p>
    <w:p>
      <w:pPr>
        <w:pStyle w:val="ListBullet"/>
      </w:pPr>
      <w:r>
        <w:rPr>
          <w:b/>
          <w:sz w:val="20"/>
        </w:rPr>
        <w:t>Multi-month trend reporting:</w:t>
      </w:r>
      <w:r>
        <w:rPr>
          <w:sz w:val="20"/>
        </w:rPr>
        <w:t xml:space="preserve"> The current system audits one month per run. The multi-month projection data (</w:t>
      </w:r>
      <w:r>
        <w:rPr>
          <w:rFonts w:ascii="Courier New" w:hAnsi="Courier New"/>
          <w:sz w:val="18"/>
        </w:rPr>
        <w:t>df_proj_full</w:t>
      </w:r>
      <w:r>
        <w:rPr>
          <w:sz w:val="20"/>
        </w:rPr>
        <w:t xml:space="preserve">) is loaded and used internally for NER calculations but is not surfaced as a trend view in the dashboard or Excel output. </w:t>
      </w:r>
      <w:r>
        <w:rPr>
          <w:b/>
          <w:sz w:val="20"/>
        </w:rPr>
        <w:t>Open item:</w:t>
      </w:r>
      <w:r>
        <w:rPr>
          <w:sz w:val="20"/>
        </w:rPr>
        <w:t xml:space="preserve"> A future version could add a month-over-month comparison view showing which flags are new, which are recurring violations, and how total portfolio exposure has trended across audit periods.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