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201" w:rsidRDefault="00996201" w:rsidP="00996201">
      <w:r>
        <w:t>Schema of NlsLinks2011 as of November 6, 2011.</w:t>
      </w:r>
    </w:p>
    <w:p w:rsidR="00E839B2" w:rsidRDefault="00E839B2" w:rsidP="00E839B2">
      <w:pPr>
        <w:pStyle w:val="Heading1"/>
      </w:pPr>
      <w:r>
        <w:t>Steps</w:t>
      </w:r>
    </w:p>
    <w:p w:rsidR="00111991" w:rsidRDefault="00111991" w:rsidP="00682628">
      <w:pPr>
        <w:pStyle w:val="Heading3"/>
      </w:pPr>
      <w:r>
        <w:t>Extract tables</w:t>
      </w:r>
    </w:p>
    <w:p w:rsidR="00111991" w:rsidRPr="00111991" w:rsidRDefault="00111991" w:rsidP="00111991">
      <w:r>
        <w:t xml:space="preserve">To keep the pieces manageable, the </w:t>
      </w:r>
      <w:r w:rsidR="00DF37F4">
        <w:t xml:space="preserve">NLSY variables were kept in smallish </w:t>
      </w:r>
      <w:proofErr w:type="spellStart"/>
      <w:r w:rsidR="00DF37F4">
        <w:t>Tagsets</w:t>
      </w:r>
      <w:proofErr w:type="spellEnd"/>
      <w:r w:rsidR="00DF37F4">
        <w:t xml:space="preserve"> (instead of two big ones for Gen1 and Gen2).  But the distinction is lost once all the extract tables are dumped into </w:t>
      </w:r>
      <w:proofErr w:type="spellStart"/>
      <w:r w:rsidR="00DF37F4">
        <w:t>tblResponse</w:t>
      </w:r>
      <w:proofErr w:type="spellEnd"/>
      <w:r w:rsidR="00DF37F4">
        <w:t>.</w:t>
      </w:r>
    </w:p>
    <w:p w:rsidR="00682628" w:rsidRPr="00682628" w:rsidRDefault="00682628" w:rsidP="00682628">
      <w:pPr>
        <w:pStyle w:val="Heading3"/>
      </w:pPr>
      <w:proofErr w:type="spellStart"/>
      <w:proofErr w:type="gramStart"/>
      <w:r>
        <w:t>tblSubject</w:t>
      </w:r>
      <w:proofErr w:type="spellEnd"/>
      <w:proofErr w:type="gramEnd"/>
    </w:p>
    <w:p w:rsidR="00682628" w:rsidRPr="0097073E" w:rsidRDefault="00682628" w:rsidP="008638E6">
      <w:proofErr w:type="gramStart"/>
      <w:r w:rsidRPr="003E39C1">
        <w:rPr>
          <w:i/>
        </w:rPr>
        <w:t xml:space="preserve">The basic, unavoidable </w:t>
      </w:r>
      <w:r w:rsidRPr="003E39C1">
        <w:t>subject</w:t>
      </w:r>
      <w:r w:rsidRPr="003E39C1">
        <w:rPr>
          <w:i/>
        </w:rPr>
        <w:t xml:space="preserve"> information</w:t>
      </w:r>
      <w:r>
        <w:t>.</w:t>
      </w:r>
      <w:proofErr w:type="gramEnd"/>
      <w:r>
        <w:t xml:space="preserve">  The key SubjectTag is created for Gen1 by appending “00” to the end of their </w:t>
      </w:r>
      <w:proofErr w:type="spellStart"/>
      <w:r>
        <w:t>CaseID</w:t>
      </w:r>
      <w:proofErr w:type="spellEnd"/>
      <w:r>
        <w:t xml:space="preserve">; for Gen2, the SubjectTag is exactly their </w:t>
      </w:r>
      <w:proofErr w:type="spellStart"/>
      <w:r>
        <w:t>CPubID</w:t>
      </w:r>
      <w:proofErr w:type="spellEnd"/>
      <w:r>
        <w:t xml:space="preserve">.  </w:t>
      </w:r>
      <w:proofErr w:type="gramStart"/>
      <w:r>
        <w:t>One row per subject.</w:t>
      </w:r>
      <w:proofErr w:type="gramEnd"/>
      <w:r w:rsidR="00CC49BF">
        <w:t xml:space="preserve">  The </w:t>
      </w:r>
      <w:proofErr w:type="spellStart"/>
      <w:r w:rsidR="00CC49BF">
        <w:t>ExtendedID</w:t>
      </w:r>
      <w:proofErr w:type="spellEnd"/>
      <w:r w:rsidR="00CC49BF">
        <w:t xml:space="preserve"> identifies the extended family; this value comes from the Gen1 HHID field.</w:t>
      </w:r>
      <w:r w:rsidR="0097073E">
        <w:t xml:space="preserve"> </w:t>
      </w:r>
      <w:r w:rsidR="0097073E">
        <w:rPr>
          <w:i/>
        </w:rPr>
        <w:t>N </w:t>
      </w:r>
      <w:r w:rsidR="0097073E">
        <w:t>= </w:t>
      </w:r>
      <w:r w:rsidR="0097073E" w:rsidRPr="0097073E">
        <w:t>24</w:t>
      </w:r>
      <w:r w:rsidR="0097073E">
        <w:t>,</w:t>
      </w:r>
      <w:r w:rsidR="0097073E" w:rsidRPr="0097073E">
        <w:t>181</w:t>
      </w:r>
      <w:r w:rsidR="00FC7281">
        <w:t>;</w:t>
      </w:r>
      <w:r w:rsidR="00FC7281" w:rsidRPr="00FC7281">
        <w:rPr>
          <w:i/>
        </w:rPr>
        <w:t xml:space="preserve"> </w:t>
      </w:r>
      <w:r w:rsidR="00FC7281">
        <w:rPr>
          <w:i/>
        </w:rPr>
        <w:t>N</w:t>
      </w:r>
      <w:r w:rsidR="00FC7281">
        <w:rPr>
          <w:vertAlign w:val="subscript"/>
        </w:rPr>
        <w:t>Gen1</w:t>
      </w:r>
      <w:r w:rsidR="00FC7281">
        <w:rPr>
          <w:i/>
        </w:rPr>
        <w:t> </w:t>
      </w:r>
      <w:r w:rsidR="00FC7281">
        <w:t xml:space="preserve">= 12,686; </w:t>
      </w:r>
      <w:r w:rsidR="00FC7281">
        <w:rPr>
          <w:i/>
        </w:rPr>
        <w:t>N</w:t>
      </w:r>
      <w:r w:rsidR="00FC7281" w:rsidRPr="00FC7281">
        <w:rPr>
          <w:vertAlign w:val="subscript"/>
        </w:rPr>
        <w:t>Gen2</w:t>
      </w:r>
      <w:r w:rsidR="00FC7281">
        <w:rPr>
          <w:i/>
        </w:rPr>
        <w:t> </w:t>
      </w:r>
      <w:r w:rsidR="00FC7281">
        <w:t>= 11,495</w:t>
      </w:r>
    </w:p>
    <w:p w:rsidR="00682628" w:rsidRDefault="00682628" w:rsidP="00682628">
      <w:pPr>
        <w:pStyle w:val="Heading3"/>
      </w:pPr>
      <w:proofErr w:type="spellStart"/>
      <w:proofErr w:type="gramStart"/>
      <w:r>
        <w:t>tblRelatedStructure</w:t>
      </w:r>
      <w:proofErr w:type="spellEnd"/>
      <w:proofErr w:type="gramEnd"/>
    </w:p>
    <w:p w:rsidR="00682628" w:rsidRPr="0097073E" w:rsidRDefault="00682628" w:rsidP="00682628">
      <w:proofErr w:type="gramStart"/>
      <w:r w:rsidRPr="003E39C1">
        <w:rPr>
          <w:i/>
        </w:rPr>
        <w:t xml:space="preserve">The basic, unavoidable </w:t>
      </w:r>
      <w:r w:rsidRPr="003E39C1">
        <w:t>pair</w:t>
      </w:r>
      <w:r w:rsidRPr="003E39C1">
        <w:rPr>
          <w:i/>
        </w:rPr>
        <w:t xml:space="preserve"> information</w:t>
      </w:r>
      <w:r>
        <w:t>.</w:t>
      </w:r>
      <w:proofErr w:type="gramEnd"/>
      <w:r>
        <w:t xml:space="preserve">  Each possible</w:t>
      </w:r>
      <w:r w:rsidR="00CC49BF">
        <w:t xml:space="preserve"> pair within an extended family is enumerated.  For example one row has Subject1Tag=201 and Subject2Tag=202.  Another rows has Subject1Tag=202 and Subject2Tag=201.</w:t>
      </w:r>
      <w:r w:rsidR="00193204">
        <w:t xml:space="preserve">  The </w:t>
      </w:r>
      <w:r w:rsidR="005B2DE1">
        <w:t xml:space="preserve">possible values for </w:t>
      </w:r>
      <w:r w:rsidR="00193204">
        <w:t>‘</w:t>
      </w:r>
      <w:proofErr w:type="spellStart"/>
      <w:r w:rsidR="00193204">
        <w:t>RelationshipPath</w:t>
      </w:r>
      <w:proofErr w:type="spellEnd"/>
      <w:r w:rsidR="00193204">
        <w:t xml:space="preserve">’ </w:t>
      </w:r>
      <w:r w:rsidR="005B2DE1">
        <w:t>are listed below</w:t>
      </w:r>
      <w:r w:rsidR="00193204">
        <w:t xml:space="preserve">.  The pair will have a true value for </w:t>
      </w:r>
      <w:proofErr w:type="spellStart"/>
      <w:r w:rsidR="00193204">
        <w:t>EverSharedHouse</w:t>
      </w:r>
      <w:proofErr w:type="spellEnd"/>
      <w:r w:rsidR="00193204">
        <w:t xml:space="preserve"> if they were (a) Gen1Housemates, (b) Gen2Siblings, or (c) </w:t>
      </w:r>
      <w:proofErr w:type="spellStart"/>
      <w:r w:rsidR="00193204">
        <w:t>ParentChild</w:t>
      </w:r>
      <w:proofErr w:type="spellEnd"/>
      <w:r w:rsidR="00193204">
        <w:t>.</w:t>
      </w:r>
      <w:r w:rsidR="0097073E">
        <w:t xml:space="preserve">  </w:t>
      </w:r>
      <w:r w:rsidR="0097073E">
        <w:rPr>
          <w:i/>
        </w:rPr>
        <w:t>N</w:t>
      </w:r>
      <w:r w:rsidR="0097073E">
        <w:t> = </w:t>
      </w:r>
      <w:r w:rsidR="0097073E" w:rsidRPr="0097073E">
        <w:t>85</w:t>
      </w:r>
      <w:r w:rsidR="0097073E">
        <w:t>,</w:t>
      </w:r>
      <w:r w:rsidR="0097073E" w:rsidRPr="0097073E">
        <w:t>428</w:t>
      </w:r>
      <w:r w:rsidR="002F57D6">
        <w:t>.</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316"/>
        <w:gridCol w:w="1741"/>
        <w:gridCol w:w="3002"/>
      </w:tblGrid>
      <w:tr w:rsidR="002F57D6" w:rsidRPr="002F57D6" w:rsidTr="001836B6">
        <w:trPr>
          <w:tblCellSpacing w:w="15" w:type="dxa"/>
        </w:trPr>
        <w:tc>
          <w:tcPr>
            <w:tcW w:w="0" w:type="auto"/>
            <w:vAlign w:val="center"/>
          </w:tcPr>
          <w:p w:rsidR="002F57D6" w:rsidRPr="002F57D6" w:rsidRDefault="002F57D6" w:rsidP="00193204">
            <w:pPr>
              <w:rPr>
                <w:rFonts w:ascii="Courier New" w:eastAsia="Times New Roman" w:hAnsi="Courier New" w:cs="Courier New"/>
                <w:color w:val="auto"/>
                <w:sz w:val="20"/>
                <w:szCs w:val="24"/>
                <w:u w:val="single"/>
              </w:rPr>
            </w:pPr>
            <w:r w:rsidRPr="002F57D6">
              <w:rPr>
                <w:rFonts w:ascii="Courier New" w:eastAsia="Times New Roman" w:hAnsi="Courier New" w:cs="Courier New"/>
                <w:color w:val="auto"/>
                <w:sz w:val="20"/>
                <w:szCs w:val="24"/>
                <w:u w:val="single"/>
              </w:rPr>
              <w:t>ID</w:t>
            </w:r>
          </w:p>
        </w:tc>
        <w:tc>
          <w:tcPr>
            <w:tcW w:w="0" w:type="auto"/>
            <w:vAlign w:val="center"/>
          </w:tcPr>
          <w:p w:rsidR="002F57D6" w:rsidRPr="002F57D6" w:rsidRDefault="002F57D6" w:rsidP="00193204">
            <w:pPr>
              <w:rPr>
                <w:rFonts w:ascii="Courier New" w:eastAsia="Times New Roman" w:hAnsi="Courier New" w:cs="Courier New"/>
                <w:color w:val="auto"/>
                <w:sz w:val="20"/>
                <w:szCs w:val="24"/>
                <w:u w:val="single"/>
              </w:rPr>
            </w:pPr>
            <w:r w:rsidRPr="002F57D6">
              <w:rPr>
                <w:rFonts w:ascii="Courier New" w:eastAsia="Times New Roman" w:hAnsi="Courier New" w:cs="Courier New"/>
                <w:color w:val="auto"/>
                <w:sz w:val="20"/>
                <w:szCs w:val="24"/>
                <w:u w:val="single"/>
              </w:rPr>
              <w:t>Label</w:t>
            </w:r>
          </w:p>
        </w:tc>
        <w:tc>
          <w:tcPr>
            <w:tcW w:w="0" w:type="auto"/>
          </w:tcPr>
          <w:p w:rsidR="002F57D6" w:rsidRPr="00B35456" w:rsidRDefault="002F57D6" w:rsidP="00193204">
            <w:pPr>
              <w:rPr>
                <w:rFonts w:ascii="Courier New" w:eastAsia="Times New Roman" w:hAnsi="Courier New" w:cs="Courier New"/>
                <w:color w:val="auto"/>
                <w:sz w:val="20"/>
                <w:szCs w:val="24"/>
              </w:rPr>
            </w:pPr>
            <w:r w:rsidRPr="00B35456">
              <w:rPr>
                <w:rFonts w:ascii="Courier New" w:eastAsia="Times New Roman" w:hAnsi="Courier New" w:cs="Courier New"/>
                <w:color w:val="auto"/>
                <w:sz w:val="20"/>
                <w:szCs w:val="24"/>
                <w:u w:val="single"/>
              </w:rPr>
              <w:t>Count</w:t>
            </w:r>
            <w:r w:rsidRPr="004E3117">
              <w:rPr>
                <w:sz w:val="20"/>
              </w:rPr>
              <w:t>(</w:t>
            </w:r>
            <w:r w:rsidR="00B35456" w:rsidRPr="004E3117">
              <w:rPr>
                <w:sz w:val="20"/>
              </w:rPr>
              <w:t xml:space="preserve">remember they’re </w:t>
            </w:r>
            <w:r w:rsidRPr="004E3117">
              <w:rPr>
                <w:sz w:val="20"/>
              </w:rPr>
              <w:t>doubled)</w:t>
            </w:r>
          </w:p>
        </w:tc>
      </w:tr>
      <w:tr w:rsidR="002F57D6" w:rsidRPr="00193204" w:rsidTr="001836B6">
        <w:trPr>
          <w:tblCellSpacing w:w="15" w:type="dxa"/>
        </w:trPr>
        <w:tc>
          <w:tcPr>
            <w:tcW w:w="0" w:type="auto"/>
            <w:vAlign w:val="center"/>
            <w:hideMark/>
          </w:tcPr>
          <w:p w:rsidR="002F57D6" w:rsidRPr="00193204" w:rsidRDefault="002F57D6" w:rsidP="00193204">
            <w:pPr>
              <w:rPr>
                <w:rFonts w:ascii="Courier New" w:eastAsia="Times New Roman" w:hAnsi="Courier New" w:cs="Courier New"/>
                <w:color w:val="auto"/>
                <w:sz w:val="20"/>
                <w:szCs w:val="24"/>
              </w:rPr>
            </w:pPr>
            <w:r w:rsidRPr="00193204">
              <w:rPr>
                <w:rFonts w:ascii="Courier New" w:eastAsia="Times New Roman" w:hAnsi="Courier New" w:cs="Courier New"/>
                <w:color w:val="auto"/>
                <w:sz w:val="20"/>
                <w:szCs w:val="24"/>
              </w:rPr>
              <w:t>1</w:t>
            </w:r>
          </w:p>
        </w:tc>
        <w:tc>
          <w:tcPr>
            <w:tcW w:w="0" w:type="auto"/>
            <w:vAlign w:val="center"/>
            <w:hideMark/>
          </w:tcPr>
          <w:p w:rsidR="002F57D6" w:rsidRPr="00193204" w:rsidRDefault="002F57D6" w:rsidP="00193204">
            <w:pPr>
              <w:rPr>
                <w:rFonts w:ascii="Courier New" w:eastAsia="Times New Roman" w:hAnsi="Courier New" w:cs="Courier New"/>
                <w:color w:val="auto"/>
                <w:sz w:val="20"/>
                <w:szCs w:val="24"/>
              </w:rPr>
            </w:pPr>
            <w:r>
              <w:rPr>
                <w:rFonts w:ascii="Courier New" w:eastAsia="Times New Roman" w:hAnsi="Courier New" w:cs="Courier New"/>
                <w:color w:val="auto"/>
                <w:sz w:val="20"/>
                <w:szCs w:val="24"/>
              </w:rPr>
              <w:t>Gen1Housemates</w:t>
            </w:r>
          </w:p>
        </w:tc>
        <w:tc>
          <w:tcPr>
            <w:tcW w:w="0" w:type="auto"/>
          </w:tcPr>
          <w:p w:rsidR="002F57D6" w:rsidRDefault="002F57D6" w:rsidP="00193204">
            <w:pPr>
              <w:rPr>
                <w:rFonts w:ascii="Courier New" w:eastAsia="Times New Roman" w:hAnsi="Courier New" w:cs="Courier New"/>
                <w:color w:val="auto"/>
                <w:sz w:val="20"/>
                <w:szCs w:val="24"/>
              </w:rPr>
            </w:pPr>
            <w:r>
              <w:rPr>
                <w:rFonts w:ascii="Courier New" w:eastAsia="Times New Roman" w:hAnsi="Courier New" w:cs="Courier New"/>
                <w:color w:val="auto"/>
                <w:sz w:val="20"/>
                <w:szCs w:val="24"/>
              </w:rPr>
              <w:t>10,604</w:t>
            </w:r>
          </w:p>
        </w:tc>
      </w:tr>
      <w:tr w:rsidR="002F57D6" w:rsidRPr="00193204" w:rsidTr="001836B6">
        <w:trPr>
          <w:tblCellSpacing w:w="15" w:type="dxa"/>
        </w:trPr>
        <w:tc>
          <w:tcPr>
            <w:tcW w:w="0" w:type="auto"/>
            <w:vAlign w:val="center"/>
            <w:hideMark/>
          </w:tcPr>
          <w:p w:rsidR="002F57D6" w:rsidRPr="00193204" w:rsidRDefault="002F57D6" w:rsidP="00193204">
            <w:pPr>
              <w:rPr>
                <w:rFonts w:ascii="Courier New" w:eastAsia="Times New Roman" w:hAnsi="Courier New" w:cs="Courier New"/>
                <w:color w:val="auto"/>
                <w:sz w:val="20"/>
                <w:szCs w:val="24"/>
              </w:rPr>
            </w:pPr>
            <w:r w:rsidRPr="00193204">
              <w:rPr>
                <w:rFonts w:ascii="Courier New" w:eastAsia="Times New Roman" w:hAnsi="Courier New" w:cs="Courier New"/>
                <w:color w:val="auto"/>
                <w:sz w:val="20"/>
                <w:szCs w:val="24"/>
              </w:rPr>
              <w:t>2</w:t>
            </w:r>
          </w:p>
        </w:tc>
        <w:tc>
          <w:tcPr>
            <w:tcW w:w="0" w:type="auto"/>
            <w:vAlign w:val="center"/>
            <w:hideMark/>
          </w:tcPr>
          <w:p w:rsidR="002F57D6" w:rsidRPr="00193204" w:rsidRDefault="002F57D6" w:rsidP="00193204">
            <w:pPr>
              <w:rPr>
                <w:rFonts w:ascii="Courier New" w:eastAsia="Times New Roman" w:hAnsi="Courier New" w:cs="Courier New"/>
                <w:color w:val="auto"/>
                <w:sz w:val="20"/>
                <w:szCs w:val="24"/>
              </w:rPr>
            </w:pPr>
            <w:r w:rsidRPr="00193204">
              <w:rPr>
                <w:rFonts w:ascii="Courier New" w:eastAsia="Times New Roman" w:hAnsi="Courier New" w:cs="Courier New"/>
                <w:color w:val="auto"/>
                <w:sz w:val="20"/>
                <w:szCs w:val="24"/>
              </w:rPr>
              <w:t>Gen2Siblings</w:t>
            </w:r>
          </w:p>
        </w:tc>
        <w:tc>
          <w:tcPr>
            <w:tcW w:w="0" w:type="auto"/>
          </w:tcPr>
          <w:p w:rsidR="002F57D6" w:rsidRPr="00193204" w:rsidRDefault="002F57D6" w:rsidP="00193204">
            <w:pPr>
              <w:rPr>
                <w:rFonts w:ascii="Courier New" w:eastAsia="Times New Roman" w:hAnsi="Courier New" w:cs="Courier New"/>
                <w:color w:val="auto"/>
                <w:sz w:val="20"/>
                <w:szCs w:val="24"/>
              </w:rPr>
            </w:pPr>
            <w:r>
              <w:rPr>
                <w:rFonts w:ascii="Courier New" w:eastAsia="Times New Roman" w:hAnsi="Courier New" w:cs="Courier New"/>
                <w:color w:val="auto"/>
                <w:sz w:val="20"/>
                <w:szCs w:val="24"/>
              </w:rPr>
              <w:t>22,150</w:t>
            </w:r>
          </w:p>
        </w:tc>
      </w:tr>
      <w:tr w:rsidR="002F57D6" w:rsidRPr="00193204" w:rsidTr="001836B6">
        <w:trPr>
          <w:tblCellSpacing w:w="15" w:type="dxa"/>
        </w:trPr>
        <w:tc>
          <w:tcPr>
            <w:tcW w:w="0" w:type="auto"/>
            <w:vAlign w:val="center"/>
            <w:hideMark/>
          </w:tcPr>
          <w:p w:rsidR="002F57D6" w:rsidRPr="00193204" w:rsidRDefault="002F57D6" w:rsidP="00193204">
            <w:pPr>
              <w:rPr>
                <w:rFonts w:ascii="Courier New" w:eastAsia="Times New Roman" w:hAnsi="Courier New" w:cs="Courier New"/>
                <w:color w:val="auto"/>
                <w:sz w:val="20"/>
                <w:szCs w:val="24"/>
              </w:rPr>
            </w:pPr>
            <w:r w:rsidRPr="00193204">
              <w:rPr>
                <w:rFonts w:ascii="Courier New" w:eastAsia="Times New Roman" w:hAnsi="Courier New" w:cs="Courier New"/>
                <w:color w:val="auto"/>
                <w:sz w:val="20"/>
                <w:szCs w:val="24"/>
              </w:rPr>
              <w:t>3</w:t>
            </w:r>
          </w:p>
        </w:tc>
        <w:tc>
          <w:tcPr>
            <w:tcW w:w="0" w:type="auto"/>
            <w:vAlign w:val="center"/>
            <w:hideMark/>
          </w:tcPr>
          <w:p w:rsidR="002F57D6" w:rsidRPr="00193204" w:rsidRDefault="002F57D6" w:rsidP="00193204">
            <w:pPr>
              <w:rPr>
                <w:rFonts w:ascii="Courier New" w:eastAsia="Times New Roman" w:hAnsi="Courier New" w:cs="Courier New"/>
                <w:color w:val="auto"/>
                <w:sz w:val="20"/>
                <w:szCs w:val="24"/>
              </w:rPr>
            </w:pPr>
            <w:r>
              <w:rPr>
                <w:rFonts w:ascii="Courier New" w:eastAsia="Times New Roman" w:hAnsi="Courier New" w:cs="Courier New"/>
                <w:color w:val="auto"/>
                <w:sz w:val="20"/>
                <w:szCs w:val="24"/>
              </w:rPr>
              <w:t>Gen2Cousins</w:t>
            </w:r>
          </w:p>
        </w:tc>
        <w:tc>
          <w:tcPr>
            <w:tcW w:w="0" w:type="auto"/>
          </w:tcPr>
          <w:p w:rsidR="002F57D6" w:rsidRDefault="00B35456" w:rsidP="00193204">
            <w:pPr>
              <w:rPr>
                <w:rFonts w:ascii="Courier New" w:eastAsia="Times New Roman" w:hAnsi="Courier New" w:cs="Courier New"/>
                <w:color w:val="auto"/>
                <w:sz w:val="20"/>
                <w:szCs w:val="24"/>
              </w:rPr>
            </w:pPr>
            <w:r>
              <w:rPr>
                <w:rFonts w:ascii="Courier New" w:eastAsia="Times New Roman" w:hAnsi="Courier New" w:cs="Courier New"/>
                <w:color w:val="auto"/>
                <w:sz w:val="20"/>
                <w:szCs w:val="24"/>
              </w:rPr>
              <w:t xml:space="preserve"> </w:t>
            </w:r>
            <w:r w:rsidR="002F57D6">
              <w:rPr>
                <w:rFonts w:ascii="Courier New" w:eastAsia="Times New Roman" w:hAnsi="Courier New" w:cs="Courier New"/>
                <w:color w:val="auto"/>
                <w:sz w:val="20"/>
                <w:szCs w:val="24"/>
              </w:rPr>
              <w:t>9,944</w:t>
            </w:r>
          </w:p>
        </w:tc>
      </w:tr>
      <w:tr w:rsidR="002F57D6" w:rsidRPr="00193204" w:rsidTr="001836B6">
        <w:trPr>
          <w:tblCellSpacing w:w="15" w:type="dxa"/>
        </w:trPr>
        <w:tc>
          <w:tcPr>
            <w:tcW w:w="0" w:type="auto"/>
            <w:vAlign w:val="center"/>
            <w:hideMark/>
          </w:tcPr>
          <w:p w:rsidR="002F57D6" w:rsidRPr="00193204" w:rsidRDefault="002F57D6" w:rsidP="00193204">
            <w:pPr>
              <w:rPr>
                <w:rFonts w:ascii="Courier New" w:eastAsia="Times New Roman" w:hAnsi="Courier New" w:cs="Courier New"/>
                <w:color w:val="auto"/>
                <w:sz w:val="20"/>
                <w:szCs w:val="24"/>
              </w:rPr>
            </w:pPr>
            <w:r w:rsidRPr="00193204">
              <w:rPr>
                <w:rFonts w:ascii="Courier New" w:eastAsia="Times New Roman" w:hAnsi="Courier New" w:cs="Courier New"/>
                <w:color w:val="auto"/>
                <w:sz w:val="20"/>
                <w:szCs w:val="24"/>
              </w:rPr>
              <w:t>4</w:t>
            </w:r>
          </w:p>
        </w:tc>
        <w:tc>
          <w:tcPr>
            <w:tcW w:w="0" w:type="auto"/>
            <w:vAlign w:val="center"/>
            <w:hideMark/>
          </w:tcPr>
          <w:p w:rsidR="002F57D6" w:rsidRPr="00193204" w:rsidRDefault="002F57D6" w:rsidP="00193204">
            <w:pPr>
              <w:rPr>
                <w:rFonts w:ascii="Courier New" w:eastAsia="Times New Roman" w:hAnsi="Courier New" w:cs="Courier New"/>
                <w:color w:val="auto"/>
                <w:sz w:val="20"/>
                <w:szCs w:val="24"/>
              </w:rPr>
            </w:pPr>
            <w:proofErr w:type="spellStart"/>
            <w:r w:rsidRPr="00193204">
              <w:rPr>
                <w:rFonts w:ascii="Courier New" w:eastAsia="Times New Roman" w:hAnsi="Courier New" w:cs="Courier New"/>
                <w:color w:val="auto"/>
                <w:sz w:val="20"/>
                <w:szCs w:val="24"/>
              </w:rPr>
              <w:t>ParentChild</w:t>
            </w:r>
            <w:proofErr w:type="spellEnd"/>
          </w:p>
        </w:tc>
        <w:tc>
          <w:tcPr>
            <w:tcW w:w="0" w:type="auto"/>
          </w:tcPr>
          <w:p w:rsidR="002F57D6" w:rsidRPr="00193204" w:rsidRDefault="002F57D6" w:rsidP="00193204">
            <w:pPr>
              <w:rPr>
                <w:rFonts w:ascii="Courier New" w:eastAsia="Times New Roman" w:hAnsi="Courier New" w:cs="Courier New"/>
                <w:color w:val="auto"/>
                <w:sz w:val="20"/>
                <w:szCs w:val="24"/>
              </w:rPr>
            </w:pPr>
            <w:r>
              <w:rPr>
                <w:rFonts w:ascii="Courier New" w:eastAsia="Times New Roman" w:hAnsi="Courier New" w:cs="Courier New"/>
                <w:color w:val="auto"/>
                <w:sz w:val="20"/>
                <w:szCs w:val="24"/>
              </w:rPr>
              <w:t>22,990</w:t>
            </w:r>
          </w:p>
        </w:tc>
      </w:tr>
      <w:tr w:rsidR="002F57D6" w:rsidRPr="00193204" w:rsidTr="001836B6">
        <w:trPr>
          <w:tblCellSpacing w:w="15" w:type="dxa"/>
        </w:trPr>
        <w:tc>
          <w:tcPr>
            <w:tcW w:w="0" w:type="auto"/>
            <w:vAlign w:val="center"/>
            <w:hideMark/>
          </w:tcPr>
          <w:p w:rsidR="002F57D6" w:rsidRPr="00193204" w:rsidRDefault="002F57D6" w:rsidP="00193204">
            <w:pPr>
              <w:rPr>
                <w:rFonts w:ascii="Courier New" w:eastAsia="Times New Roman" w:hAnsi="Courier New" w:cs="Courier New"/>
                <w:color w:val="auto"/>
                <w:sz w:val="20"/>
                <w:szCs w:val="24"/>
              </w:rPr>
            </w:pPr>
            <w:r w:rsidRPr="00193204">
              <w:rPr>
                <w:rFonts w:ascii="Courier New" w:eastAsia="Times New Roman" w:hAnsi="Courier New" w:cs="Courier New"/>
                <w:color w:val="auto"/>
                <w:sz w:val="20"/>
                <w:szCs w:val="24"/>
              </w:rPr>
              <w:t>5</w:t>
            </w:r>
          </w:p>
        </w:tc>
        <w:tc>
          <w:tcPr>
            <w:tcW w:w="0" w:type="auto"/>
            <w:vAlign w:val="center"/>
            <w:hideMark/>
          </w:tcPr>
          <w:p w:rsidR="002F57D6" w:rsidRPr="00193204" w:rsidRDefault="002F57D6" w:rsidP="00193204">
            <w:pPr>
              <w:rPr>
                <w:rFonts w:ascii="Courier New" w:eastAsia="Times New Roman" w:hAnsi="Courier New" w:cs="Courier New"/>
                <w:color w:val="auto"/>
                <w:sz w:val="20"/>
                <w:szCs w:val="24"/>
              </w:rPr>
            </w:pPr>
            <w:proofErr w:type="spellStart"/>
            <w:r>
              <w:rPr>
                <w:rFonts w:ascii="Courier New" w:eastAsia="Times New Roman" w:hAnsi="Courier New" w:cs="Courier New"/>
                <w:color w:val="auto"/>
                <w:sz w:val="20"/>
                <w:szCs w:val="24"/>
              </w:rPr>
              <w:t>AuntNiece</w:t>
            </w:r>
            <w:proofErr w:type="spellEnd"/>
          </w:p>
        </w:tc>
        <w:tc>
          <w:tcPr>
            <w:tcW w:w="0" w:type="auto"/>
          </w:tcPr>
          <w:p w:rsidR="002F57D6" w:rsidRDefault="002F57D6" w:rsidP="00193204">
            <w:pPr>
              <w:rPr>
                <w:rFonts w:ascii="Courier New" w:eastAsia="Times New Roman" w:hAnsi="Courier New" w:cs="Courier New"/>
                <w:color w:val="auto"/>
                <w:sz w:val="20"/>
                <w:szCs w:val="24"/>
              </w:rPr>
            </w:pPr>
            <w:r>
              <w:rPr>
                <w:rFonts w:ascii="Courier New" w:eastAsia="Times New Roman" w:hAnsi="Courier New" w:cs="Courier New"/>
                <w:color w:val="auto"/>
                <w:sz w:val="20"/>
                <w:szCs w:val="24"/>
              </w:rPr>
              <w:t>19,740</w:t>
            </w:r>
          </w:p>
        </w:tc>
      </w:tr>
    </w:tbl>
    <w:p w:rsidR="00CC49BF" w:rsidRDefault="0097073E" w:rsidP="00193204">
      <w:pPr>
        <w:pStyle w:val="Heading3"/>
      </w:pPr>
      <w:proofErr w:type="spellStart"/>
      <w:proofErr w:type="gramStart"/>
      <w:r>
        <w:t>tblResponse</w:t>
      </w:r>
      <w:proofErr w:type="spellEnd"/>
      <w:proofErr w:type="gramEnd"/>
    </w:p>
    <w:p w:rsidR="00CC49BF" w:rsidRDefault="00094FD8" w:rsidP="00682628">
      <w:proofErr w:type="gramStart"/>
      <w:r w:rsidRPr="003E39C1">
        <w:rPr>
          <w:i/>
        </w:rPr>
        <w:t xml:space="preserve">Every </w:t>
      </w:r>
      <w:proofErr w:type="spellStart"/>
      <w:r w:rsidRPr="003E39C1">
        <w:rPr>
          <w:i/>
        </w:rPr>
        <w:t>nonmissing</w:t>
      </w:r>
      <w:proofErr w:type="spellEnd"/>
      <w:r w:rsidRPr="003E39C1">
        <w:rPr>
          <w:i/>
        </w:rPr>
        <w:t xml:space="preserve"> response for every subject for every survey year</w:t>
      </w:r>
      <w:r w:rsidR="003E39C1">
        <w:t>.</w:t>
      </w:r>
      <w:proofErr w:type="gramEnd"/>
      <w:r w:rsidR="003E39C1">
        <w:t xml:space="preserve"> Each</w:t>
      </w:r>
      <w:r>
        <w:t xml:space="preserve"> becomes its own row.  This later allows the software to use very simple queries to retrieve the desired data point. </w:t>
      </w:r>
      <w:proofErr w:type="gramStart"/>
      <w:r>
        <w:rPr>
          <w:i/>
        </w:rPr>
        <w:t>N</w:t>
      </w:r>
      <w:r>
        <w:t> ≥ </w:t>
      </w:r>
      <w:r w:rsidRPr="00094FD8">
        <w:t>1</w:t>
      </w:r>
      <w:r>
        <w:t>,</w:t>
      </w:r>
      <w:r w:rsidRPr="00094FD8">
        <w:t>790</w:t>
      </w:r>
      <w:r>
        <w:t>,</w:t>
      </w:r>
      <w:r w:rsidRPr="00094FD8">
        <w:t>612</w:t>
      </w:r>
      <w:r>
        <w:t>.</w:t>
      </w:r>
      <w:proofErr w:type="gramEnd"/>
    </w:p>
    <w:p w:rsidR="00094FD8" w:rsidRDefault="00094FD8" w:rsidP="00094FD8">
      <w:pPr>
        <w:pStyle w:val="Heading3"/>
      </w:pPr>
      <w:proofErr w:type="spellStart"/>
      <w:proofErr w:type="gramStart"/>
      <w:r>
        <w:t>tblSurveyTime</w:t>
      </w:r>
      <w:proofErr w:type="spellEnd"/>
      <w:proofErr w:type="gramEnd"/>
    </w:p>
    <w:p w:rsidR="005B2DE1" w:rsidRDefault="003E39C1" w:rsidP="00682628">
      <w:proofErr w:type="gramStart"/>
      <w:r w:rsidRPr="003E39C1">
        <w:rPr>
          <w:i/>
        </w:rPr>
        <w:t>General information for e</w:t>
      </w:r>
      <w:r w:rsidR="00094FD8" w:rsidRPr="003E39C1">
        <w:rPr>
          <w:i/>
        </w:rPr>
        <w:t>very survey for every subject</w:t>
      </w:r>
      <w:r>
        <w:t>.</w:t>
      </w:r>
      <w:proofErr w:type="gramEnd"/>
      <w:r>
        <w:t xml:space="preserve">  Each </w:t>
      </w:r>
      <w:r w:rsidR="005B2DE1">
        <w:t xml:space="preserve">becomes its own row, even if it’s missing.  The self-reported and calculated ages are included.  This table allows the program to later easily determine the </w:t>
      </w:r>
      <w:proofErr w:type="gramStart"/>
      <w:r w:rsidR="005B2DE1">
        <w:t>last  completed</w:t>
      </w:r>
      <w:proofErr w:type="gramEnd"/>
      <w:r w:rsidR="005B2DE1">
        <w:t xml:space="preserve"> survey for a subject.  </w:t>
      </w:r>
      <w:r w:rsidR="00C17BF5">
        <w:t xml:space="preserve">We plan to release this table in the R package, because it can be helpful to other researchers’ data manipulations too.  </w:t>
      </w:r>
      <w:r w:rsidR="005B2DE1">
        <w:t xml:space="preserve">The possible values for </w:t>
      </w:r>
      <w:proofErr w:type="spellStart"/>
      <w:r w:rsidR="005B2DE1">
        <w:t>SurveySource</w:t>
      </w:r>
      <w:proofErr w:type="spellEnd"/>
      <w:r w:rsidR="005B2DE1">
        <w:t xml:space="preserve"> are below.  </w:t>
      </w:r>
      <w:r w:rsidR="005B2DE1">
        <w:rPr>
          <w:i/>
        </w:rPr>
        <w:t>N</w:t>
      </w:r>
      <w:r w:rsidR="005B2DE1">
        <w:t> = </w:t>
      </w:r>
      <w:r w:rsidR="00766AA2" w:rsidRPr="00766AA2">
        <w:t>556</w:t>
      </w:r>
      <w:r w:rsidR="00766AA2">
        <w:t>,</w:t>
      </w:r>
      <w:r w:rsidR="00766AA2" w:rsidRPr="00766AA2">
        <w:t>163</w:t>
      </w:r>
      <w:r w:rsidR="005B2DE1">
        <w:t>.</w:t>
      </w:r>
    </w:p>
    <w:p w:rsidR="00766AA2" w:rsidRDefault="00766AA2" w:rsidP="00682628"/>
    <w:p w:rsidR="00766AA2" w:rsidRPr="00766AA2" w:rsidRDefault="00766AA2" w:rsidP="00766AA2">
      <w:pPr>
        <w:autoSpaceDE w:val="0"/>
        <w:autoSpaceDN w:val="0"/>
        <w:adjustRightInd w:val="0"/>
      </w:pPr>
      <w:r>
        <w:t xml:space="preserve">Every Gen1 and Gen2 subject will have a value for the </w:t>
      </w:r>
      <w:r w:rsidR="00934481">
        <w:t xml:space="preserve">23 </w:t>
      </w:r>
      <w:r w:rsidR="001E0360">
        <w:t>waves</w:t>
      </w:r>
      <w:r>
        <w:t xml:space="preserve"> </w:t>
      </w:r>
      <w:r>
        <w:rPr>
          <w:rFonts w:ascii="Consolas" w:hAnsi="Consolas" w:cs="Consolas"/>
          <w:color w:val="auto"/>
          <w:sz w:val="19"/>
          <w:szCs w:val="19"/>
        </w:rPr>
        <w:t>{1979,1980,1981,1982,1983,1984,</w:t>
      </w:r>
      <w:r w:rsidR="00934481">
        <w:rPr>
          <w:rFonts w:ascii="Consolas" w:hAnsi="Consolas" w:cs="Consolas"/>
          <w:color w:val="auto"/>
          <w:sz w:val="19"/>
          <w:szCs w:val="19"/>
        </w:rPr>
        <w:t xml:space="preserve"> </w:t>
      </w:r>
      <w:r>
        <w:rPr>
          <w:rFonts w:ascii="Consolas" w:hAnsi="Consolas" w:cs="Consolas"/>
          <w:color w:val="auto"/>
          <w:sz w:val="19"/>
          <w:szCs w:val="19"/>
        </w:rPr>
        <w:t>1985,1986,1987,1988,1989,1990,1991,1992,1993,1994,1996,1998,2000,2002,2004,2006,2008}</w:t>
      </w:r>
      <w:r>
        <w:t>.  It may</w:t>
      </w:r>
      <w:r w:rsidR="00622B15">
        <w:t xml:space="preserve"> be</w:t>
      </w:r>
      <w:r>
        <w:t xml:space="preserve"> surprising that Gen2 has values for the early years; it’s because of items like </w:t>
      </w:r>
      <w:r w:rsidRPr="00766AA2">
        <w:t>C00038.00</w:t>
      </w:r>
      <w:r>
        <w:t>: “</w:t>
      </w:r>
      <w:r w:rsidRPr="00766AA2">
        <w:t>AGE OF CHILD AT 1979 INTERVIEW DATE OF MOTHER</w:t>
      </w:r>
      <w:r>
        <w:t>”</w:t>
      </w:r>
      <w:r w:rsidR="001E0360">
        <w:t>.  24,181 subjects × 23 waves = 556,163</w:t>
      </w:r>
      <w:r w:rsidR="00DF4971">
        <w:t xml:space="preserve"> rows</w:t>
      </w:r>
      <w:r w:rsidR="001E0360">
        <w:t>.</w:t>
      </w:r>
    </w:p>
    <w:p w:rsidR="00766AA2" w:rsidRPr="005B2DE1" w:rsidRDefault="00766AA2" w:rsidP="00682628"/>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316"/>
        <w:gridCol w:w="1381"/>
        <w:gridCol w:w="916"/>
      </w:tblGrid>
      <w:tr w:rsidR="00FC7281" w:rsidRPr="005B2DE1" w:rsidTr="001836B6">
        <w:trPr>
          <w:tblCellSpacing w:w="15" w:type="dxa"/>
        </w:trPr>
        <w:tc>
          <w:tcPr>
            <w:tcW w:w="0" w:type="auto"/>
            <w:vAlign w:val="center"/>
            <w:hideMark/>
          </w:tcPr>
          <w:p w:rsidR="00FC7281" w:rsidRPr="001E0360" w:rsidRDefault="00FC7281" w:rsidP="001836B6">
            <w:pPr>
              <w:rPr>
                <w:rFonts w:ascii="Courier New" w:eastAsia="Times New Roman" w:hAnsi="Courier New" w:cs="Courier New"/>
                <w:color w:val="auto"/>
                <w:sz w:val="20"/>
                <w:szCs w:val="24"/>
                <w:u w:val="single"/>
              </w:rPr>
            </w:pPr>
            <w:r w:rsidRPr="001E0360">
              <w:rPr>
                <w:rFonts w:ascii="Courier New" w:eastAsia="Times New Roman" w:hAnsi="Courier New" w:cs="Courier New"/>
                <w:color w:val="auto"/>
                <w:sz w:val="20"/>
                <w:szCs w:val="24"/>
                <w:u w:val="single"/>
              </w:rPr>
              <w:t>ID</w:t>
            </w:r>
          </w:p>
        </w:tc>
        <w:tc>
          <w:tcPr>
            <w:tcW w:w="0" w:type="auto"/>
            <w:vAlign w:val="center"/>
            <w:hideMark/>
          </w:tcPr>
          <w:p w:rsidR="00FC7281" w:rsidRPr="001E0360" w:rsidRDefault="00FC7281" w:rsidP="001836B6">
            <w:pPr>
              <w:rPr>
                <w:rFonts w:ascii="Courier New" w:eastAsia="Times New Roman" w:hAnsi="Courier New" w:cs="Courier New"/>
                <w:color w:val="auto"/>
                <w:sz w:val="20"/>
                <w:szCs w:val="24"/>
                <w:u w:val="single"/>
              </w:rPr>
            </w:pPr>
            <w:r w:rsidRPr="001E0360">
              <w:rPr>
                <w:rFonts w:ascii="Courier New" w:eastAsia="Times New Roman" w:hAnsi="Courier New" w:cs="Courier New"/>
                <w:color w:val="auto"/>
                <w:sz w:val="20"/>
                <w:szCs w:val="24"/>
                <w:u w:val="single"/>
              </w:rPr>
              <w:t>Label</w:t>
            </w:r>
          </w:p>
        </w:tc>
        <w:tc>
          <w:tcPr>
            <w:tcW w:w="0" w:type="auto"/>
          </w:tcPr>
          <w:p w:rsidR="00FC7281" w:rsidRPr="001E0360" w:rsidRDefault="00FC7281" w:rsidP="001836B6">
            <w:pPr>
              <w:rPr>
                <w:rFonts w:ascii="Courier New" w:eastAsia="Times New Roman" w:hAnsi="Courier New" w:cs="Courier New"/>
                <w:color w:val="auto"/>
                <w:sz w:val="20"/>
                <w:szCs w:val="24"/>
                <w:u w:val="single"/>
              </w:rPr>
            </w:pPr>
            <w:r w:rsidRPr="001E0360">
              <w:rPr>
                <w:rFonts w:ascii="Courier New" w:eastAsia="Times New Roman" w:hAnsi="Courier New" w:cs="Courier New"/>
                <w:color w:val="auto"/>
                <w:sz w:val="20"/>
                <w:szCs w:val="24"/>
                <w:u w:val="single"/>
              </w:rPr>
              <w:t>Count</w:t>
            </w:r>
          </w:p>
        </w:tc>
      </w:tr>
      <w:tr w:rsidR="00FC7281" w:rsidRPr="005B2DE1" w:rsidTr="001836B6">
        <w:trPr>
          <w:tblCellSpacing w:w="15" w:type="dxa"/>
        </w:trPr>
        <w:tc>
          <w:tcPr>
            <w:tcW w:w="0" w:type="auto"/>
            <w:vAlign w:val="center"/>
            <w:hideMark/>
          </w:tcPr>
          <w:p w:rsidR="00FC7281" w:rsidRPr="005B2DE1" w:rsidRDefault="00FC7281" w:rsidP="005B2DE1">
            <w:pPr>
              <w:rPr>
                <w:rFonts w:ascii="Courier New" w:eastAsia="Times New Roman" w:hAnsi="Courier New" w:cs="Courier New"/>
                <w:color w:val="auto"/>
                <w:sz w:val="20"/>
                <w:szCs w:val="24"/>
              </w:rPr>
            </w:pPr>
            <w:r w:rsidRPr="005B2DE1">
              <w:rPr>
                <w:rFonts w:ascii="Courier New" w:eastAsia="Times New Roman" w:hAnsi="Courier New" w:cs="Courier New"/>
                <w:color w:val="auto"/>
                <w:sz w:val="20"/>
                <w:szCs w:val="24"/>
              </w:rPr>
              <w:t>0</w:t>
            </w:r>
          </w:p>
        </w:tc>
        <w:tc>
          <w:tcPr>
            <w:tcW w:w="0" w:type="auto"/>
            <w:vAlign w:val="center"/>
            <w:hideMark/>
          </w:tcPr>
          <w:p w:rsidR="00FC7281" w:rsidRPr="005B2DE1" w:rsidRDefault="00FC7281" w:rsidP="005B2DE1">
            <w:pPr>
              <w:rPr>
                <w:rFonts w:ascii="Courier New" w:eastAsia="Times New Roman" w:hAnsi="Courier New" w:cs="Courier New"/>
                <w:color w:val="auto"/>
                <w:sz w:val="20"/>
                <w:szCs w:val="24"/>
              </w:rPr>
            </w:pPr>
            <w:proofErr w:type="spellStart"/>
            <w:r w:rsidRPr="005B2DE1">
              <w:rPr>
                <w:rFonts w:ascii="Courier New" w:eastAsia="Times New Roman" w:hAnsi="Courier New" w:cs="Courier New"/>
                <w:color w:val="auto"/>
                <w:sz w:val="20"/>
                <w:szCs w:val="24"/>
              </w:rPr>
              <w:t>NoInterview</w:t>
            </w:r>
            <w:proofErr w:type="spellEnd"/>
            <w:r w:rsidRPr="005B2DE1">
              <w:rPr>
                <w:rFonts w:ascii="Courier New" w:eastAsia="Times New Roman" w:hAnsi="Courier New" w:cs="Courier New"/>
                <w:color w:val="auto"/>
                <w:sz w:val="20"/>
                <w:szCs w:val="24"/>
              </w:rPr>
              <w:t xml:space="preserve"> </w:t>
            </w:r>
          </w:p>
        </w:tc>
        <w:tc>
          <w:tcPr>
            <w:tcW w:w="0" w:type="auto"/>
          </w:tcPr>
          <w:p w:rsidR="00FC7281" w:rsidRPr="005B2DE1" w:rsidRDefault="00766AA2" w:rsidP="005B2DE1">
            <w:pPr>
              <w:rPr>
                <w:rFonts w:ascii="Courier New" w:eastAsia="Times New Roman" w:hAnsi="Courier New" w:cs="Courier New"/>
                <w:color w:val="auto"/>
                <w:sz w:val="20"/>
                <w:szCs w:val="24"/>
              </w:rPr>
            </w:pPr>
            <w:r w:rsidRPr="00766AA2">
              <w:rPr>
                <w:rFonts w:ascii="Courier New" w:eastAsia="Times New Roman" w:hAnsi="Courier New" w:cs="Courier New"/>
                <w:color w:val="auto"/>
                <w:sz w:val="20"/>
                <w:szCs w:val="24"/>
              </w:rPr>
              <w:t>246</w:t>
            </w:r>
            <w:r>
              <w:rPr>
                <w:rFonts w:ascii="Courier New" w:eastAsia="Times New Roman" w:hAnsi="Courier New" w:cs="Courier New"/>
                <w:color w:val="auto"/>
                <w:sz w:val="20"/>
                <w:szCs w:val="24"/>
              </w:rPr>
              <w:t>,</w:t>
            </w:r>
            <w:r w:rsidRPr="00766AA2">
              <w:rPr>
                <w:rFonts w:ascii="Courier New" w:eastAsia="Times New Roman" w:hAnsi="Courier New" w:cs="Courier New"/>
                <w:color w:val="auto"/>
                <w:sz w:val="20"/>
                <w:szCs w:val="24"/>
              </w:rPr>
              <w:t>913</w:t>
            </w:r>
          </w:p>
        </w:tc>
      </w:tr>
      <w:tr w:rsidR="00FC7281" w:rsidRPr="005B2DE1" w:rsidTr="001836B6">
        <w:trPr>
          <w:tblCellSpacing w:w="15" w:type="dxa"/>
        </w:trPr>
        <w:tc>
          <w:tcPr>
            <w:tcW w:w="0" w:type="auto"/>
            <w:vAlign w:val="center"/>
            <w:hideMark/>
          </w:tcPr>
          <w:p w:rsidR="00FC7281" w:rsidRPr="005B2DE1" w:rsidRDefault="00FC7281" w:rsidP="005B2DE1">
            <w:pPr>
              <w:rPr>
                <w:rFonts w:ascii="Courier New" w:eastAsia="Times New Roman" w:hAnsi="Courier New" w:cs="Courier New"/>
                <w:color w:val="auto"/>
                <w:sz w:val="20"/>
                <w:szCs w:val="24"/>
              </w:rPr>
            </w:pPr>
            <w:r w:rsidRPr="005B2DE1">
              <w:rPr>
                <w:rFonts w:ascii="Courier New" w:eastAsia="Times New Roman" w:hAnsi="Courier New" w:cs="Courier New"/>
                <w:color w:val="auto"/>
                <w:sz w:val="20"/>
                <w:szCs w:val="24"/>
              </w:rPr>
              <w:t>1</w:t>
            </w:r>
          </w:p>
        </w:tc>
        <w:tc>
          <w:tcPr>
            <w:tcW w:w="0" w:type="auto"/>
            <w:vAlign w:val="center"/>
            <w:hideMark/>
          </w:tcPr>
          <w:p w:rsidR="00FC7281" w:rsidRPr="005B2DE1" w:rsidRDefault="00FC7281" w:rsidP="00F60DD0">
            <w:pPr>
              <w:rPr>
                <w:rFonts w:ascii="Courier New" w:eastAsia="Times New Roman" w:hAnsi="Courier New" w:cs="Courier New"/>
                <w:color w:val="auto"/>
                <w:sz w:val="20"/>
                <w:szCs w:val="24"/>
              </w:rPr>
            </w:pPr>
            <w:r>
              <w:rPr>
                <w:rFonts w:ascii="Courier New" w:eastAsia="Times New Roman" w:hAnsi="Courier New" w:cs="Courier New"/>
                <w:color w:val="auto"/>
                <w:sz w:val="20"/>
                <w:szCs w:val="24"/>
              </w:rPr>
              <w:t>Gen1</w:t>
            </w:r>
          </w:p>
        </w:tc>
        <w:tc>
          <w:tcPr>
            <w:tcW w:w="0" w:type="auto"/>
          </w:tcPr>
          <w:p w:rsidR="00FC7281" w:rsidRDefault="00FC7281" w:rsidP="00F60DD0">
            <w:pPr>
              <w:rPr>
                <w:rFonts w:ascii="Courier New" w:eastAsia="Times New Roman" w:hAnsi="Courier New" w:cs="Courier New"/>
                <w:color w:val="auto"/>
                <w:sz w:val="20"/>
                <w:szCs w:val="24"/>
              </w:rPr>
            </w:pPr>
            <w:r>
              <w:rPr>
                <w:rFonts w:ascii="Courier New" w:eastAsia="Times New Roman" w:hAnsi="Courier New" w:cs="Courier New"/>
                <w:color w:val="auto"/>
                <w:sz w:val="20"/>
                <w:szCs w:val="24"/>
              </w:rPr>
              <w:t>228,773</w:t>
            </w:r>
          </w:p>
        </w:tc>
      </w:tr>
      <w:tr w:rsidR="00FC7281" w:rsidRPr="005B2DE1" w:rsidTr="001836B6">
        <w:trPr>
          <w:tblCellSpacing w:w="15" w:type="dxa"/>
        </w:trPr>
        <w:tc>
          <w:tcPr>
            <w:tcW w:w="0" w:type="auto"/>
            <w:vAlign w:val="center"/>
            <w:hideMark/>
          </w:tcPr>
          <w:p w:rsidR="00FC7281" w:rsidRPr="005B2DE1" w:rsidRDefault="00FC7281" w:rsidP="005B2DE1">
            <w:pPr>
              <w:rPr>
                <w:rFonts w:ascii="Courier New" w:eastAsia="Times New Roman" w:hAnsi="Courier New" w:cs="Courier New"/>
                <w:color w:val="auto"/>
                <w:sz w:val="20"/>
                <w:szCs w:val="24"/>
              </w:rPr>
            </w:pPr>
            <w:r w:rsidRPr="005B2DE1">
              <w:rPr>
                <w:rFonts w:ascii="Courier New" w:eastAsia="Times New Roman" w:hAnsi="Courier New" w:cs="Courier New"/>
                <w:color w:val="auto"/>
                <w:sz w:val="20"/>
                <w:szCs w:val="24"/>
              </w:rPr>
              <w:lastRenderedPageBreak/>
              <w:t>2</w:t>
            </w:r>
          </w:p>
        </w:tc>
        <w:tc>
          <w:tcPr>
            <w:tcW w:w="0" w:type="auto"/>
            <w:vAlign w:val="center"/>
            <w:hideMark/>
          </w:tcPr>
          <w:p w:rsidR="00FC7281" w:rsidRPr="005B2DE1" w:rsidRDefault="00FC7281" w:rsidP="00F60DD0">
            <w:pPr>
              <w:rPr>
                <w:rFonts w:ascii="Courier New" w:eastAsia="Times New Roman" w:hAnsi="Courier New" w:cs="Courier New"/>
                <w:color w:val="auto"/>
                <w:sz w:val="20"/>
                <w:szCs w:val="24"/>
              </w:rPr>
            </w:pPr>
            <w:r>
              <w:rPr>
                <w:rFonts w:ascii="Courier New" w:eastAsia="Times New Roman" w:hAnsi="Courier New" w:cs="Courier New"/>
                <w:color w:val="auto"/>
                <w:sz w:val="20"/>
                <w:szCs w:val="24"/>
              </w:rPr>
              <w:t>Gen2C</w:t>
            </w:r>
          </w:p>
        </w:tc>
        <w:tc>
          <w:tcPr>
            <w:tcW w:w="0" w:type="auto"/>
          </w:tcPr>
          <w:p w:rsidR="00FC7281" w:rsidRDefault="00FC7281" w:rsidP="00F60DD0">
            <w:pPr>
              <w:rPr>
                <w:rFonts w:ascii="Courier New" w:eastAsia="Times New Roman" w:hAnsi="Courier New" w:cs="Courier New"/>
                <w:color w:val="auto"/>
                <w:sz w:val="20"/>
                <w:szCs w:val="24"/>
              </w:rPr>
            </w:pPr>
            <w:r>
              <w:rPr>
                <w:rFonts w:ascii="Courier New" w:eastAsia="Times New Roman" w:hAnsi="Courier New" w:cs="Courier New"/>
                <w:color w:val="auto"/>
                <w:sz w:val="20"/>
                <w:szCs w:val="24"/>
              </w:rPr>
              <w:t xml:space="preserve"> 51,249</w:t>
            </w:r>
          </w:p>
        </w:tc>
      </w:tr>
      <w:tr w:rsidR="00FC7281" w:rsidRPr="005B2DE1" w:rsidTr="001836B6">
        <w:trPr>
          <w:tblCellSpacing w:w="15" w:type="dxa"/>
        </w:trPr>
        <w:tc>
          <w:tcPr>
            <w:tcW w:w="0" w:type="auto"/>
            <w:vAlign w:val="center"/>
            <w:hideMark/>
          </w:tcPr>
          <w:p w:rsidR="00FC7281" w:rsidRPr="005B2DE1" w:rsidRDefault="00FC7281" w:rsidP="005B2DE1">
            <w:pPr>
              <w:rPr>
                <w:rFonts w:ascii="Courier New" w:eastAsia="Times New Roman" w:hAnsi="Courier New" w:cs="Courier New"/>
                <w:color w:val="auto"/>
                <w:sz w:val="20"/>
                <w:szCs w:val="24"/>
              </w:rPr>
            </w:pPr>
            <w:r w:rsidRPr="005B2DE1">
              <w:rPr>
                <w:rFonts w:ascii="Courier New" w:eastAsia="Times New Roman" w:hAnsi="Courier New" w:cs="Courier New"/>
                <w:color w:val="auto"/>
                <w:sz w:val="20"/>
                <w:szCs w:val="24"/>
              </w:rPr>
              <w:t>3</w:t>
            </w:r>
          </w:p>
        </w:tc>
        <w:tc>
          <w:tcPr>
            <w:tcW w:w="0" w:type="auto"/>
            <w:vAlign w:val="center"/>
            <w:hideMark/>
          </w:tcPr>
          <w:p w:rsidR="00FC7281" w:rsidRPr="005B2DE1" w:rsidRDefault="00FC7281" w:rsidP="00F60DD0">
            <w:pPr>
              <w:rPr>
                <w:rFonts w:ascii="Courier New" w:eastAsia="Times New Roman" w:hAnsi="Courier New" w:cs="Courier New"/>
                <w:color w:val="auto"/>
                <w:sz w:val="20"/>
                <w:szCs w:val="24"/>
              </w:rPr>
            </w:pPr>
            <w:r>
              <w:rPr>
                <w:rFonts w:ascii="Courier New" w:eastAsia="Times New Roman" w:hAnsi="Courier New" w:cs="Courier New"/>
                <w:color w:val="auto"/>
                <w:sz w:val="20"/>
                <w:szCs w:val="24"/>
              </w:rPr>
              <w:t>Gen2YA</w:t>
            </w:r>
          </w:p>
        </w:tc>
        <w:tc>
          <w:tcPr>
            <w:tcW w:w="0" w:type="auto"/>
          </w:tcPr>
          <w:p w:rsidR="00FC7281" w:rsidRDefault="00FC7281" w:rsidP="00F60DD0">
            <w:pPr>
              <w:rPr>
                <w:rFonts w:ascii="Courier New" w:eastAsia="Times New Roman" w:hAnsi="Courier New" w:cs="Courier New"/>
                <w:color w:val="auto"/>
                <w:sz w:val="20"/>
                <w:szCs w:val="24"/>
              </w:rPr>
            </w:pPr>
            <w:r>
              <w:rPr>
                <w:rFonts w:ascii="Courier New" w:eastAsia="Times New Roman" w:hAnsi="Courier New" w:cs="Courier New"/>
                <w:color w:val="auto"/>
                <w:sz w:val="20"/>
                <w:szCs w:val="24"/>
              </w:rPr>
              <w:t xml:space="preserve"> 29,228</w:t>
            </w:r>
          </w:p>
        </w:tc>
      </w:tr>
    </w:tbl>
    <w:p w:rsidR="00AA527B" w:rsidRDefault="00AA527B" w:rsidP="00AA527B">
      <w:pPr>
        <w:pStyle w:val="Heading3"/>
      </w:pPr>
      <w:r>
        <w:t>tblMotherOfGen1</w:t>
      </w:r>
    </w:p>
    <w:p w:rsidR="00AA527B" w:rsidRPr="005B2DE1" w:rsidRDefault="00AA527B" w:rsidP="00AA527B">
      <w:r w:rsidRPr="003E39C1">
        <w:rPr>
          <w:i/>
        </w:rPr>
        <w:t xml:space="preserve">The responses of Gen1 subjects </w:t>
      </w:r>
      <w:proofErr w:type="spellStart"/>
      <w:r w:rsidRPr="003E39C1">
        <w:rPr>
          <w:i/>
        </w:rPr>
        <w:t>abour</w:t>
      </w:r>
      <w:proofErr w:type="spellEnd"/>
      <w:r w:rsidRPr="003E39C1">
        <w:rPr>
          <w:i/>
        </w:rPr>
        <w:t xml:space="preserve"> their Gen0 mothers</w:t>
      </w:r>
      <w:r>
        <w:t xml:space="preserve">.  For each </w:t>
      </w:r>
      <w:proofErr w:type="spellStart"/>
      <w:r>
        <w:t>nonmissing</w:t>
      </w:r>
      <w:proofErr w:type="spellEnd"/>
      <w:r>
        <w:t xml:space="preserve"> survey</w:t>
      </w:r>
      <w:r w:rsidR="00FB6B9E">
        <w:t xml:space="preserve"> year</w:t>
      </w:r>
      <w:r>
        <w:t xml:space="preserve"> for each subject, the x possible responses are combined in a single row.  This table is necessary only for Gen1, because Gen2 siblings share the same biological mother.</w:t>
      </w:r>
      <w:r w:rsidR="00012ABE">
        <w:t xml:space="preserve">  </w:t>
      </w:r>
    </w:p>
    <w:p w:rsidR="00AA527B" w:rsidRDefault="00AA527B" w:rsidP="00AA527B">
      <w:pPr>
        <w:pStyle w:val="Heading3"/>
      </w:pPr>
      <w:r>
        <w:t>tblFatherOfGen1</w:t>
      </w:r>
    </w:p>
    <w:p w:rsidR="00AA527B" w:rsidRPr="005B2DE1" w:rsidRDefault="00AA527B" w:rsidP="00AA527B">
      <w:r w:rsidRPr="003E39C1">
        <w:rPr>
          <w:i/>
        </w:rPr>
        <w:t xml:space="preserve">The responses of Gen1 subjects </w:t>
      </w:r>
      <w:proofErr w:type="spellStart"/>
      <w:r w:rsidRPr="003E39C1">
        <w:rPr>
          <w:i/>
        </w:rPr>
        <w:t>abour</w:t>
      </w:r>
      <w:proofErr w:type="spellEnd"/>
      <w:r w:rsidRPr="003E39C1">
        <w:rPr>
          <w:i/>
        </w:rPr>
        <w:t xml:space="preserve"> their Gen0 fathers</w:t>
      </w:r>
      <w:r>
        <w:t xml:space="preserve">.  For each </w:t>
      </w:r>
      <w:proofErr w:type="spellStart"/>
      <w:r>
        <w:t>nonmissing</w:t>
      </w:r>
      <w:proofErr w:type="spellEnd"/>
      <w:r>
        <w:t xml:space="preserve"> </w:t>
      </w:r>
      <w:r w:rsidR="00FB6B9E">
        <w:t xml:space="preserve">survey year </w:t>
      </w:r>
      <w:r>
        <w:t xml:space="preserve">for each subject, the x possible responses are combined in a single row. </w:t>
      </w:r>
    </w:p>
    <w:p w:rsidR="0021186D" w:rsidRDefault="0021186D" w:rsidP="0021186D">
      <w:pPr>
        <w:pStyle w:val="Heading3"/>
      </w:pPr>
      <w:r>
        <w:t>tblFatherOfGen2</w:t>
      </w:r>
    </w:p>
    <w:p w:rsidR="0021186D" w:rsidRDefault="0021186D" w:rsidP="0021186D">
      <w:r w:rsidRPr="003E39C1">
        <w:rPr>
          <w:i/>
        </w:rPr>
        <w:t xml:space="preserve">The responses of Gen2 subjects </w:t>
      </w:r>
      <w:proofErr w:type="spellStart"/>
      <w:r w:rsidRPr="003E39C1">
        <w:rPr>
          <w:i/>
        </w:rPr>
        <w:t>abour</w:t>
      </w:r>
      <w:proofErr w:type="spellEnd"/>
      <w:r w:rsidRPr="003E39C1">
        <w:rPr>
          <w:i/>
        </w:rPr>
        <w:t xml:space="preserve"> their Gen1 fathers</w:t>
      </w:r>
      <w:r>
        <w:t xml:space="preserve">.  For each </w:t>
      </w:r>
      <w:proofErr w:type="spellStart"/>
      <w:r w:rsidR="00B576F4">
        <w:t>nonmissing</w:t>
      </w:r>
      <w:proofErr w:type="spellEnd"/>
      <w:r w:rsidR="00B576F4">
        <w:t xml:space="preserve"> </w:t>
      </w:r>
      <w:r w:rsidR="00FB6B9E">
        <w:t xml:space="preserve">survey year </w:t>
      </w:r>
      <w:r>
        <w:t>for each subject, the x possible responses are combined in a single row.</w:t>
      </w:r>
      <w:r w:rsidR="00070D27">
        <w:t xml:space="preserve"> </w:t>
      </w:r>
      <w:r>
        <w:t xml:space="preserve"> </w:t>
      </w:r>
      <w:r w:rsidR="00012ABE">
        <w:t xml:space="preserve">These are </w:t>
      </w:r>
      <w:proofErr w:type="spellStart"/>
      <w:r w:rsidR="00012ABE">
        <w:t>itemsaddress</w:t>
      </w:r>
      <w:proofErr w:type="spellEnd"/>
      <w:r w:rsidR="00012ABE">
        <w:t xml:space="preserve"> only the subject’s father.  The </w:t>
      </w:r>
      <w:proofErr w:type="spellStart"/>
      <w:r w:rsidR="00012ABE">
        <w:t>ShareBiodad</w:t>
      </w:r>
      <w:proofErr w:type="spellEnd"/>
      <w:r w:rsidR="00012ABE">
        <w:t xml:space="preserve"> item is not included, because that wouldn’t fit in the table’s schema (because a new row would be needed for each pair, for each survey wave after 2005).  </w:t>
      </w:r>
      <w:r w:rsidR="00211E02">
        <w:rPr>
          <w:i/>
        </w:rPr>
        <w:t>N</w:t>
      </w:r>
      <w:r w:rsidR="00211E02">
        <w:t> </w:t>
      </w:r>
      <w:r w:rsidR="006610A3">
        <w:t>≥</w:t>
      </w:r>
      <w:r w:rsidR="00211E02">
        <w:t> </w:t>
      </w:r>
      <w:r w:rsidR="00211E02" w:rsidRPr="00211E02">
        <w:t>51</w:t>
      </w:r>
      <w:r w:rsidR="00211E02">
        <w:t>,</w:t>
      </w:r>
      <w:r w:rsidR="00211E02" w:rsidRPr="00211E02">
        <w:t>249</w:t>
      </w:r>
    </w:p>
    <w:p w:rsidR="0021186D" w:rsidRDefault="0021186D" w:rsidP="0021186D">
      <w:pPr>
        <w:pStyle w:val="Heading3"/>
      </w:pPr>
      <w:proofErr w:type="spellStart"/>
      <w:proofErr w:type="gramStart"/>
      <w:r>
        <w:t>tblBabyDaddy</w:t>
      </w:r>
      <w:proofErr w:type="spellEnd"/>
      <w:proofErr w:type="gramEnd"/>
    </w:p>
    <w:p w:rsidR="0021186D" w:rsidRPr="00211E02" w:rsidRDefault="0021186D" w:rsidP="0021186D">
      <w:r w:rsidRPr="003E39C1">
        <w:rPr>
          <w:i/>
        </w:rPr>
        <w:t xml:space="preserve">The responses of Gen1 mother </w:t>
      </w:r>
      <w:proofErr w:type="spellStart"/>
      <w:r w:rsidRPr="003E39C1">
        <w:rPr>
          <w:i/>
        </w:rPr>
        <w:t>abour</w:t>
      </w:r>
      <w:proofErr w:type="spellEnd"/>
      <w:r w:rsidRPr="003E39C1">
        <w:rPr>
          <w:i/>
        </w:rPr>
        <w:t xml:space="preserve"> the Gen1 fathers of their Gen2 children</w:t>
      </w:r>
      <w:r>
        <w:t xml:space="preserve">.  For each survey for </w:t>
      </w:r>
      <w:r w:rsidR="00303292">
        <w:t xml:space="preserve">each </w:t>
      </w:r>
      <w:proofErr w:type="gramStart"/>
      <w:r w:rsidR="00303292">
        <w:t>Gen2  subject</w:t>
      </w:r>
      <w:proofErr w:type="gramEnd"/>
      <w:r>
        <w:t xml:space="preserve">, the x possible responses are combined in a single row. </w:t>
      </w:r>
      <w:r w:rsidR="008D6B7B">
        <w:t xml:space="preserve"> If a Gen1 mother has 3 biological children, she</w:t>
      </w:r>
      <w:r w:rsidR="00A56BE6">
        <w:t xml:space="preserve"> </w:t>
      </w:r>
      <w:proofErr w:type="gramStart"/>
      <w:r w:rsidR="00303292">
        <w:t>be</w:t>
      </w:r>
      <w:proofErr w:type="gramEnd"/>
      <w:r w:rsidR="00303292">
        <w:t xml:space="preserve"> associated with (up to)</w:t>
      </w:r>
      <w:r w:rsidR="00A56BE6">
        <w:t xml:space="preserve"> three rows for each survey year.</w:t>
      </w:r>
      <w:r w:rsidR="00070D27">
        <w:t xml:space="preserve"> </w:t>
      </w:r>
      <w:r w:rsidR="00211E02">
        <w:t xml:space="preserve"> </w:t>
      </w:r>
      <w:r w:rsidR="00211E02">
        <w:rPr>
          <w:i/>
        </w:rPr>
        <w:t>N</w:t>
      </w:r>
      <w:r w:rsidR="00211E02">
        <w:t> = </w:t>
      </w:r>
      <w:r w:rsidR="00351DDA" w:rsidRPr="00351DDA">
        <w:t>170</w:t>
      </w:r>
      <w:r w:rsidR="00351DDA">
        <w:t>,</w:t>
      </w:r>
      <w:r w:rsidR="00351DDA" w:rsidRPr="00351DDA">
        <w:t>660</w:t>
      </w:r>
      <w:r w:rsidR="00B576F4">
        <w:t xml:space="preserve"> (</w:t>
      </w:r>
      <w:r w:rsidR="002B3E2A">
        <w:t>I</w:t>
      </w:r>
      <w:r w:rsidR="00B576F4">
        <w:t xml:space="preserve">f there were rows for missing surveys, there would be </w:t>
      </w:r>
      <w:r w:rsidR="00B576F4" w:rsidRPr="00B576F4">
        <w:t>206,892</w:t>
      </w:r>
      <w:r w:rsidR="00B576F4">
        <w:t xml:space="preserve"> rows).</w:t>
      </w:r>
    </w:p>
    <w:p w:rsidR="00111991" w:rsidRDefault="00B30111" w:rsidP="00B30111">
      <w:pPr>
        <w:pStyle w:val="Heading3"/>
      </w:pPr>
      <w:proofErr w:type="spellStart"/>
      <w:proofErr w:type="gramStart"/>
      <w:r>
        <w:t>tblSubjectDetails</w:t>
      </w:r>
      <w:proofErr w:type="spellEnd"/>
      <w:proofErr w:type="gramEnd"/>
    </w:p>
    <w:p w:rsidR="00B30111" w:rsidRDefault="00377270" w:rsidP="00B30111">
      <w:proofErr w:type="gramStart"/>
      <w:r w:rsidRPr="003E39C1">
        <w:rPr>
          <w:i/>
        </w:rPr>
        <w:t>Values that help the algorithm plumbing</w:t>
      </w:r>
      <w:r>
        <w:t>, such as their birth order and number of siblings.</w:t>
      </w:r>
      <w:proofErr w:type="gramEnd"/>
      <w:r>
        <w:t xml:space="preserve">  It has a few variables that will be helpful in survival analyses, such as </w:t>
      </w:r>
      <w:proofErr w:type="spellStart"/>
      <w:r>
        <w:t>IsDead</w:t>
      </w:r>
      <w:proofErr w:type="spellEnd"/>
      <w:r>
        <w:t xml:space="preserve">, </w:t>
      </w:r>
      <w:proofErr w:type="spellStart"/>
      <w:r>
        <w:t>DeathDate</w:t>
      </w:r>
      <w:proofErr w:type="spellEnd"/>
      <w:r>
        <w:t xml:space="preserve">, </w:t>
      </w:r>
      <w:proofErr w:type="spellStart"/>
      <w:r>
        <w:t>IsBiodadDead</w:t>
      </w:r>
      <w:proofErr w:type="spellEnd"/>
      <w:r>
        <w:t xml:space="preserve">, and </w:t>
      </w:r>
      <w:proofErr w:type="spellStart"/>
      <w:r>
        <w:t>BiodadDeathDate</w:t>
      </w:r>
      <w:proofErr w:type="spellEnd"/>
      <w:r>
        <w:t>.</w:t>
      </w:r>
    </w:p>
    <w:p w:rsidR="0029349A" w:rsidRDefault="0029349A" w:rsidP="00B30111"/>
    <w:p w:rsidR="00111991" w:rsidRDefault="00111991">
      <w:pPr>
        <w:spacing w:after="200" w:line="276" w:lineRule="auto"/>
      </w:pPr>
      <w:r>
        <w:t xml:space="preserve">Note: Almost everything until now has been a series of data arrangements; in theory, you could work backwards from these latter tables and produce the tables from the NLS Extracts.  However, the remaining steps are not lossless.  Almost all the subjectivity of the algorithm </w:t>
      </w:r>
      <w:proofErr w:type="gramStart"/>
      <w:r>
        <w:t>are</w:t>
      </w:r>
      <w:proofErr w:type="gramEnd"/>
      <w:r>
        <w:t xml:space="preserve"> in the final two steps.</w:t>
      </w:r>
    </w:p>
    <w:p w:rsidR="00EF3030" w:rsidRDefault="00EF3030" w:rsidP="00624CEB">
      <w:pPr>
        <w:pStyle w:val="Heading3"/>
      </w:pPr>
      <w:r>
        <w:t>tblMarkerGen1</w:t>
      </w:r>
    </w:p>
    <w:p w:rsidR="00EF3030" w:rsidRDefault="00EF3030" w:rsidP="00EF3030">
      <w:r>
        <w:t xml:space="preserve">A ‘marker’ is one indication </w:t>
      </w:r>
      <w:r w:rsidR="00302812">
        <w:t xml:space="preserve">of a pair’s relatedness.  For instance, the Gen2CFatherInHH item responses are compared for two </w:t>
      </w:r>
      <w:proofErr w:type="spellStart"/>
      <w:r w:rsidR="00302812">
        <w:t>sibilngs</w:t>
      </w:r>
      <w:proofErr w:type="spellEnd"/>
      <w:r w:rsidR="00302812">
        <w:t xml:space="preserve">.  If there is strong agreement the </w:t>
      </w:r>
      <w:proofErr w:type="spellStart"/>
      <w:r w:rsidR="00302812">
        <w:t>MarkerEvidence</w:t>
      </w:r>
      <w:proofErr w:type="spellEnd"/>
      <w:r w:rsidR="00302812">
        <w:t xml:space="preserve"> will be </w:t>
      </w:r>
      <w:proofErr w:type="spellStart"/>
      <w:r w:rsidR="009B1FF6">
        <w:rPr>
          <w:rFonts w:ascii="Courier New" w:eastAsia="Times New Roman" w:hAnsi="Courier New" w:cs="Courier New"/>
          <w:color w:val="auto"/>
          <w:sz w:val="20"/>
          <w:szCs w:val="20"/>
        </w:rPr>
        <w:t>StronglySupports</w:t>
      </w:r>
      <w:proofErr w:type="spellEnd"/>
      <w:r w:rsidR="00302812">
        <w:t xml:space="preserve"> for the </w:t>
      </w:r>
      <w:r w:rsidR="00302812" w:rsidRPr="00EF3030">
        <w:rPr>
          <w:rFonts w:ascii="Courier New" w:eastAsia="Times New Roman" w:hAnsi="Courier New" w:cs="Courier New"/>
          <w:color w:val="auto"/>
          <w:sz w:val="20"/>
          <w:szCs w:val="20"/>
        </w:rPr>
        <w:t>Gen2CFatherDistanceFromHH</w:t>
      </w:r>
      <w:r w:rsidR="00302812">
        <w:t xml:space="preserve"> </w:t>
      </w:r>
      <w:proofErr w:type="spellStart"/>
      <w:r w:rsidR="00302812">
        <w:t>MarkerType</w:t>
      </w:r>
      <w:proofErr w:type="spellEnd"/>
      <w:r w:rsidR="00302812">
        <w:t>.</w:t>
      </w:r>
      <w:r w:rsidR="009B1FF6">
        <w:t xml:space="preserve">  There will be one row per Marker for each Gen1Housemate.</w:t>
      </w:r>
    </w:p>
    <w:p w:rsidR="0011253B" w:rsidRDefault="0011253B" w:rsidP="00EF3030"/>
    <w:p w:rsidR="003B6EAF" w:rsidRDefault="0011253B" w:rsidP="00EF3030">
      <w:r>
        <w:t xml:space="preserve">There are many subjective decisions behind this operation.  For instance, </w:t>
      </w:r>
      <w:r w:rsidR="003B6EAF">
        <w:t>suppose</w:t>
      </w:r>
      <w:r>
        <w:t xml:space="preserve"> </w:t>
      </w:r>
      <w:r w:rsidR="003B6EAF">
        <w:t xml:space="preserve">two siblings agree 4 out of 5 years (say on the date their father left the HH); should that be </w:t>
      </w:r>
      <w:proofErr w:type="spellStart"/>
      <w:r w:rsidR="003B6EAF">
        <w:t>StronglySupports</w:t>
      </w:r>
      <w:proofErr w:type="spellEnd"/>
      <w:r w:rsidR="003B6EAF">
        <w:t>, or just Supports?  Or suppose they disagree one out of two years; should that be Ambiguous or Unlikely?</w:t>
      </w:r>
      <w:r w:rsidR="00E839B2">
        <w:t xml:space="preserve">  </w:t>
      </w:r>
      <w:r w:rsidR="003B6EAF">
        <w:t>Not to say this process was haphazard.  See the later section called, “Tuning”.</w:t>
      </w:r>
    </w:p>
    <w:p w:rsidR="000D66AA" w:rsidRDefault="000D66AA" w:rsidP="00EF3030"/>
    <w:p w:rsidR="000D66AA" w:rsidRPr="000D66AA" w:rsidRDefault="000D66AA" w:rsidP="000D66AA">
      <w:pPr>
        <w:autoSpaceDE w:val="0"/>
        <w:autoSpaceDN w:val="0"/>
        <w:adjustRightInd w:val="0"/>
      </w:pPr>
      <w:r>
        <w:t xml:space="preserve">The item </w:t>
      </w:r>
      <w:proofErr w:type="gramStart"/>
      <w:r>
        <w:t>responses for the first subjects is</w:t>
      </w:r>
      <w:proofErr w:type="gramEnd"/>
      <w:r>
        <w:t xml:space="preserve"> loaded into a </w:t>
      </w:r>
      <w:proofErr w:type="spellStart"/>
      <w:r>
        <w:t>TrendLineInteger</w:t>
      </w:r>
      <w:proofErr w:type="spellEnd"/>
      <w:r>
        <w:t xml:space="preserve"> (or </w:t>
      </w:r>
      <w:proofErr w:type="spellStart"/>
      <w:r>
        <w:t>TrendLineDate</w:t>
      </w:r>
      <w:proofErr w:type="spellEnd"/>
      <w:r>
        <w:t xml:space="preserve">) object.  The responses for the second subject are loaded into a second </w:t>
      </w:r>
      <w:proofErr w:type="spellStart"/>
      <w:r>
        <w:t>TrendLineXXX</w:t>
      </w:r>
      <w:proofErr w:type="spellEnd"/>
      <w:r>
        <w:t xml:space="preserve"> object.  The pair of trend lines is loaded into a </w:t>
      </w:r>
      <w:proofErr w:type="spellStart"/>
      <w:r>
        <w:t>TrendComparisonInteger</w:t>
      </w:r>
      <w:proofErr w:type="spellEnd"/>
      <w:r>
        <w:t xml:space="preserve"> (or </w:t>
      </w:r>
      <w:proofErr w:type="spellStart"/>
      <w:r>
        <w:t>TrendComparisonDate</w:t>
      </w:r>
      <w:proofErr w:type="spellEnd"/>
      <w:r>
        <w:t xml:space="preserve">) object.  The trend comparison object doesn’t make any decisions; it only calculates and exposes descriptive information, such as </w:t>
      </w:r>
      <w:r>
        <w:rPr>
          <w:rFonts w:ascii="Consolas" w:hAnsi="Consolas" w:cs="Consolas"/>
          <w:color w:val="auto"/>
          <w:sz w:val="19"/>
          <w:szCs w:val="19"/>
        </w:rPr>
        <w:t>Count,</w:t>
      </w:r>
      <w:r w:rsidRPr="000D66AA">
        <w:t xml:space="preserve"> </w:t>
      </w:r>
      <w:proofErr w:type="spellStart"/>
      <w:r>
        <w:rPr>
          <w:rFonts w:ascii="Consolas" w:hAnsi="Consolas" w:cs="Consolas"/>
          <w:color w:val="auto"/>
          <w:sz w:val="19"/>
          <w:szCs w:val="19"/>
        </w:rPr>
        <w:t>AgreementCountExcludingNulls</w:t>
      </w:r>
      <w:proofErr w:type="spellEnd"/>
      <w:r>
        <w:t>,</w:t>
      </w:r>
      <w:r w:rsidRPr="000D66AA">
        <w:t xml:space="preserve"> </w:t>
      </w:r>
      <w:proofErr w:type="spellStart"/>
      <w:proofErr w:type="gramStart"/>
      <w:r>
        <w:rPr>
          <w:rFonts w:ascii="Consolas" w:hAnsi="Consolas" w:cs="Consolas"/>
          <w:color w:val="auto"/>
          <w:sz w:val="19"/>
          <w:szCs w:val="19"/>
        </w:rPr>
        <w:t>PointsAgreePerfectly</w:t>
      </w:r>
      <w:proofErr w:type="spellEnd"/>
      <w:proofErr w:type="gramEnd"/>
      <w:r>
        <w:rPr>
          <w:rFonts w:ascii="Consolas" w:hAnsi="Consolas" w:cs="Consolas"/>
          <w:color w:val="auto"/>
          <w:sz w:val="19"/>
          <w:szCs w:val="19"/>
        </w:rPr>
        <w:t>.</w:t>
      </w:r>
    </w:p>
    <w:p w:rsidR="000D66AA" w:rsidRDefault="000D66AA" w:rsidP="000D66AA">
      <w:pPr>
        <w:autoSpaceDE w:val="0"/>
        <w:autoSpaceDN w:val="0"/>
        <w:adjustRightInd w:val="0"/>
      </w:pPr>
    </w:p>
    <w:p w:rsidR="000D66AA" w:rsidRDefault="0022211A" w:rsidP="0022211A">
      <w:pPr>
        <w:autoSpaceDE w:val="0"/>
        <w:autoSpaceDN w:val="0"/>
        <w:adjustRightInd w:val="0"/>
      </w:pPr>
      <w:r>
        <w:t>A</w:t>
      </w:r>
      <w:r w:rsidR="000D66AA">
        <w:t xml:space="preserve"> </w:t>
      </w:r>
      <w:proofErr w:type="spellStart"/>
      <w:r w:rsidR="000D66AA">
        <w:t>TrendComparison</w:t>
      </w:r>
      <w:r>
        <w:t>Integer</w:t>
      </w:r>
      <w:proofErr w:type="spellEnd"/>
      <w:r w:rsidR="000D66AA">
        <w:t xml:space="preserve"> object is </w:t>
      </w:r>
      <w:r>
        <w:t xml:space="preserve">passed to functions like </w:t>
      </w:r>
      <w:r w:rsidRPr="0022211A">
        <w:rPr>
          <w:rFonts w:ascii="Consolas" w:hAnsi="Consolas" w:cs="Consolas"/>
          <w:sz w:val="20"/>
        </w:rPr>
        <w:t>DetermineShareGen1Father.Alive</w:t>
      </w:r>
      <w:r w:rsidRPr="0022211A">
        <w:t xml:space="preserve"> or </w:t>
      </w:r>
      <w:r w:rsidRPr="0022211A">
        <w:rPr>
          <w:rFonts w:ascii="Consolas" w:hAnsi="Consolas" w:cs="Consolas"/>
          <w:sz w:val="20"/>
        </w:rPr>
        <w:t>DetermineShareGen1Father.</w:t>
      </w:r>
      <w:r>
        <w:rPr>
          <w:rFonts w:ascii="Consolas" w:hAnsi="Consolas" w:cs="Consolas"/>
          <w:sz w:val="20"/>
        </w:rPr>
        <w:t>InHousehold.</w:t>
      </w:r>
      <w:r w:rsidRPr="0022211A">
        <w:t xml:space="preserve">  </w:t>
      </w:r>
      <w:r>
        <w:t xml:space="preserve">Different functions are needed because for different </w:t>
      </w:r>
      <w:proofErr w:type="spellStart"/>
      <w:r>
        <w:t>MarkerTypes</w:t>
      </w:r>
      <w:proofErr w:type="spellEnd"/>
      <w:r>
        <w:t>.  For instance, if two subjects in 1984 said their father was alive (so the Alive value is ‘1’), very little information is provided if they’re referring to the same person.  But if they say their father(s) lives in the HH, we have more confidence they’re referring to the same person.</w:t>
      </w:r>
    </w:p>
    <w:p w:rsidR="000D66AA" w:rsidRDefault="000D66AA" w:rsidP="00EF3030"/>
    <w:p w:rsidR="00AA527B" w:rsidRDefault="00AA527B" w:rsidP="00EF3030">
      <w:r>
        <w:t xml:space="preserve">The levels of </w:t>
      </w:r>
      <w:proofErr w:type="spellStart"/>
      <w:r>
        <w:t>MarkerEvidence</w:t>
      </w:r>
      <w:proofErr w:type="spellEnd"/>
      <w:r>
        <w:t xml:space="preserve"> are:</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96"/>
        <w:gridCol w:w="1996"/>
      </w:tblGrid>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0</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Pr>
                <w:rFonts w:ascii="Courier New" w:eastAsia="Times New Roman" w:hAnsi="Courier New" w:cs="Courier New"/>
                <w:color w:val="auto"/>
                <w:sz w:val="20"/>
                <w:szCs w:val="20"/>
              </w:rPr>
              <w:t>Irrelevant</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1</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proofErr w:type="spellStart"/>
            <w:r>
              <w:rPr>
                <w:rFonts w:ascii="Courier New" w:eastAsia="Times New Roman" w:hAnsi="Courier New" w:cs="Courier New"/>
                <w:color w:val="auto"/>
                <w:sz w:val="20"/>
                <w:szCs w:val="20"/>
              </w:rPr>
              <w:t>StronglySupports</w:t>
            </w:r>
            <w:proofErr w:type="spellEnd"/>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2</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Pr>
                <w:rFonts w:ascii="Courier New" w:eastAsia="Times New Roman" w:hAnsi="Courier New" w:cs="Courier New"/>
                <w:color w:val="auto"/>
                <w:sz w:val="20"/>
                <w:szCs w:val="20"/>
              </w:rPr>
              <w:t>Supports</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3</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Pr>
                <w:rFonts w:ascii="Courier New" w:eastAsia="Times New Roman" w:hAnsi="Courier New" w:cs="Courier New"/>
                <w:color w:val="auto"/>
                <w:sz w:val="20"/>
                <w:szCs w:val="20"/>
              </w:rPr>
              <w:t>Consistent</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4</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Pr>
                <w:rFonts w:ascii="Courier New" w:eastAsia="Times New Roman" w:hAnsi="Courier New" w:cs="Courier New"/>
                <w:color w:val="auto"/>
                <w:sz w:val="20"/>
                <w:szCs w:val="20"/>
              </w:rPr>
              <w:t>Ambiguous</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5</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Pr>
                <w:rFonts w:ascii="Courier New" w:eastAsia="Times New Roman" w:hAnsi="Courier New" w:cs="Courier New"/>
                <w:color w:val="auto"/>
                <w:sz w:val="20"/>
                <w:szCs w:val="20"/>
              </w:rPr>
              <w:t>Missing</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6</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Pr>
                <w:rFonts w:ascii="Courier New" w:eastAsia="Times New Roman" w:hAnsi="Courier New" w:cs="Courier New"/>
                <w:color w:val="auto"/>
                <w:sz w:val="20"/>
                <w:szCs w:val="20"/>
              </w:rPr>
              <w:t>Unlikely</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7</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Pr>
                <w:rFonts w:ascii="Courier New" w:eastAsia="Times New Roman" w:hAnsi="Courier New" w:cs="Courier New"/>
                <w:color w:val="auto"/>
                <w:sz w:val="20"/>
                <w:szCs w:val="20"/>
              </w:rPr>
              <w:t>Disconfirms</w:t>
            </w:r>
          </w:p>
        </w:tc>
      </w:tr>
    </w:tbl>
    <w:p w:rsidR="00EF3030" w:rsidRPr="00EF3030" w:rsidRDefault="00EF3030" w:rsidP="00EF3030"/>
    <w:p w:rsidR="00EF3030" w:rsidRPr="00EF3030" w:rsidRDefault="00AA527B" w:rsidP="00EF3030">
      <w:r>
        <w:t xml:space="preserve">The </w:t>
      </w:r>
      <w:r w:rsidR="00295273">
        <w:t xml:space="preserve">(combined Gen1 and Gen2) </w:t>
      </w:r>
      <w:proofErr w:type="spellStart"/>
      <w:r>
        <w:t>MarkerTypes</w:t>
      </w:r>
      <w:proofErr w:type="spellEnd"/>
      <w:r>
        <w:t xml:space="preserve"> are:</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316"/>
        <w:gridCol w:w="3061"/>
        <w:gridCol w:w="1036"/>
      </w:tblGrid>
      <w:tr w:rsidR="00EF3030" w:rsidRPr="00EF3030" w:rsidTr="00EF3030">
        <w:trPr>
          <w:tblCellSpacing w:w="15" w:type="dxa"/>
        </w:trPr>
        <w:tc>
          <w:tcPr>
            <w:tcW w:w="0" w:type="auto"/>
            <w:vAlign w:val="center"/>
            <w:hideMark/>
          </w:tcPr>
          <w:p w:rsidR="00EF3030" w:rsidRPr="00EF3030" w:rsidRDefault="00EF3030" w:rsidP="0011253B">
            <w:pPr>
              <w:rPr>
                <w:rFonts w:ascii="Courier New" w:eastAsia="Times New Roman" w:hAnsi="Courier New" w:cs="Courier New"/>
                <w:color w:val="auto"/>
                <w:sz w:val="20"/>
                <w:szCs w:val="20"/>
                <w:u w:val="single"/>
              </w:rPr>
            </w:pPr>
            <w:r w:rsidRPr="00AD14C3">
              <w:rPr>
                <w:rFonts w:ascii="Courier New" w:eastAsia="Times New Roman" w:hAnsi="Courier New" w:cs="Courier New"/>
                <w:color w:val="auto"/>
                <w:sz w:val="20"/>
                <w:szCs w:val="20"/>
                <w:u w:val="single"/>
              </w:rPr>
              <w:t>ID</w:t>
            </w:r>
          </w:p>
        </w:tc>
        <w:tc>
          <w:tcPr>
            <w:tcW w:w="0" w:type="auto"/>
            <w:vAlign w:val="center"/>
            <w:hideMark/>
          </w:tcPr>
          <w:p w:rsidR="00EF3030" w:rsidRPr="00EF3030" w:rsidRDefault="00EF3030" w:rsidP="0011253B">
            <w:pPr>
              <w:rPr>
                <w:rFonts w:ascii="Courier New" w:eastAsia="Times New Roman" w:hAnsi="Courier New" w:cs="Courier New"/>
                <w:color w:val="auto"/>
                <w:sz w:val="20"/>
                <w:szCs w:val="20"/>
                <w:u w:val="single"/>
              </w:rPr>
            </w:pPr>
            <w:r w:rsidRPr="00AD14C3">
              <w:rPr>
                <w:rFonts w:ascii="Courier New" w:eastAsia="Times New Roman" w:hAnsi="Courier New" w:cs="Courier New"/>
                <w:color w:val="auto"/>
                <w:sz w:val="20"/>
                <w:szCs w:val="20"/>
                <w:u w:val="single"/>
              </w:rPr>
              <w:t>Label</w:t>
            </w:r>
          </w:p>
        </w:tc>
        <w:tc>
          <w:tcPr>
            <w:tcW w:w="0" w:type="auto"/>
            <w:vAlign w:val="center"/>
            <w:hideMark/>
          </w:tcPr>
          <w:p w:rsidR="00EF3030" w:rsidRPr="00EF3030" w:rsidRDefault="00EF3030" w:rsidP="0011253B">
            <w:pPr>
              <w:rPr>
                <w:rFonts w:ascii="Courier New" w:eastAsia="Times New Roman" w:hAnsi="Courier New" w:cs="Courier New"/>
                <w:color w:val="auto"/>
                <w:sz w:val="20"/>
                <w:szCs w:val="20"/>
                <w:u w:val="single"/>
              </w:rPr>
            </w:pPr>
            <w:r w:rsidRPr="00AD14C3">
              <w:rPr>
                <w:rFonts w:ascii="Courier New" w:eastAsia="Times New Roman" w:hAnsi="Courier New" w:cs="Courier New"/>
                <w:color w:val="auto"/>
                <w:sz w:val="20"/>
                <w:szCs w:val="20"/>
                <w:u w:val="single"/>
              </w:rPr>
              <w:t>Explicit</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1</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RosterGen1</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True</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2</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proofErr w:type="spellStart"/>
            <w:r w:rsidRPr="00EF3030">
              <w:rPr>
                <w:rFonts w:ascii="Courier New" w:eastAsia="Times New Roman" w:hAnsi="Courier New" w:cs="Courier New"/>
                <w:color w:val="auto"/>
                <w:sz w:val="20"/>
                <w:szCs w:val="20"/>
              </w:rPr>
              <w:t>ShareBiomom</w:t>
            </w:r>
            <w:proofErr w:type="spellEnd"/>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True</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3</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proofErr w:type="spellStart"/>
            <w:r w:rsidRPr="00EF3030">
              <w:rPr>
                <w:rFonts w:ascii="Courier New" w:eastAsia="Times New Roman" w:hAnsi="Courier New" w:cs="Courier New"/>
                <w:color w:val="auto"/>
                <w:sz w:val="20"/>
                <w:szCs w:val="20"/>
              </w:rPr>
              <w:t>ShareBiodad</w:t>
            </w:r>
            <w:proofErr w:type="spellEnd"/>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True</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5</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proofErr w:type="spellStart"/>
            <w:r w:rsidRPr="00EF3030">
              <w:rPr>
                <w:rFonts w:ascii="Courier New" w:eastAsia="Times New Roman" w:hAnsi="Courier New" w:cs="Courier New"/>
                <w:color w:val="auto"/>
                <w:sz w:val="20"/>
                <w:szCs w:val="20"/>
              </w:rPr>
              <w:t>DobSeparation</w:t>
            </w:r>
            <w:proofErr w:type="spellEnd"/>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False</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6</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proofErr w:type="spellStart"/>
            <w:r w:rsidRPr="00EF3030">
              <w:rPr>
                <w:rFonts w:ascii="Courier New" w:eastAsia="Times New Roman" w:hAnsi="Courier New" w:cs="Courier New"/>
                <w:color w:val="auto"/>
                <w:sz w:val="20"/>
                <w:szCs w:val="20"/>
              </w:rPr>
              <w:t>GenderAgreement</w:t>
            </w:r>
            <w:proofErr w:type="spellEnd"/>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False</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10</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proofErr w:type="spellStart"/>
            <w:r w:rsidRPr="00EF3030">
              <w:rPr>
                <w:rFonts w:ascii="Courier New" w:eastAsia="Times New Roman" w:hAnsi="Courier New" w:cs="Courier New"/>
                <w:color w:val="auto"/>
                <w:sz w:val="20"/>
                <w:szCs w:val="20"/>
              </w:rPr>
              <w:t>FatherAsthma</w:t>
            </w:r>
            <w:proofErr w:type="spellEnd"/>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False</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11</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proofErr w:type="spellStart"/>
            <w:r w:rsidRPr="00EF3030">
              <w:rPr>
                <w:rFonts w:ascii="Courier New" w:eastAsia="Times New Roman" w:hAnsi="Courier New" w:cs="Courier New"/>
                <w:color w:val="auto"/>
                <w:sz w:val="20"/>
                <w:szCs w:val="20"/>
              </w:rPr>
              <w:t>BabyDaddyAsthma</w:t>
            </w:r>
            <w:proofErr w:type="spellEnd"/>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False</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12</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proofErr w:type="spellStart"/>
            <w:r w:rsidRPr="00EF3030">
              <w:rPr>
                <w:rFonts w:ascii="Courier New" w:eastAsia="Times New Roman" w:hAnsi="Courier New" w:cs="Courier New"/>
                <w:color w:val="auto"/>
                <w:sz w:val="20"/>
                <w:szCs w:val="20"/>
              </w:rPr>
              <w:t>BabyDaddyLeftHHDate</w:t>
            </w:r>
            <w:proofErr w:type="spellEnd"/>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False</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13</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proofErr w:type="spellStart"/>
            <w:r w:rsidRPr="00EF3030">
              <w:rPr>
                <w:rFonts w:ascii="Courier New" w:eastAsia="Times New Roman" w:hAnsi="Courier New" w:cs="Courier New"/>
                <w:color w:val="auto"/>
                <w:sz w:val="20"/>
                <w:szCs w:val="20"/>
              </w:rPr>
              <w:t>BabyDaddyDeathDate</w:t>
            </w:r>
            <w:proofErr w:type="spellEnd"/>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False</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14</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proofErr w:type="spellStart"/>
            <w:r w:rsidRPr="00EF3030">
              <w:rPr>
                <w:rFonts w:ascii="Courier New" w:eastAsia="Times New Roman" w:hAnsi="Courier New" w:cs="Courier New"/>
                <w:color w:val="auto"/>
                <w:sz w:val="20"/>
                <w:szCs w:val="20"/>
              </w:rPr>
              <w:t>BabyDaddyAlive</w:t>
            </w:r>
            <w:proofErr w:type="spellEnd"/>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False</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15</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proofErr w:type="spellStart"/>
            <w:r w:rsidRPr="00EF3030">
              <w:rPr>
                <w:rFonts w:ascii="Courier New" w:eastAsia="Times New Roman" w:hAnsi="Courier New" w:cs="Courier New"/>
                <w:color w:val="auto"/>
                <w:sz w:val="20"/>
                <w:szCs w:val="20"/>
              </w:rPr>
              <w:t>BabyDaddyInHH</w:t>
            </w:r>
            <w:proofErr w:type="spellEnd"/>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False</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16</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proofErr w:type="spellStart"/>
            <w:r w:rsidRPr="00EF3030">
              <w:rPr>
                <w:rFonts w:ascii="Courier New" w:eastAsia="Times New Roman" w:hAnsi="Courier New" w:cs="Courier New"/>
                <w:color w:val="auto"/>
                <w:sz w:val="20"/>
                <w:szCs w:val="20"/>
              </w:rPr>
              <w:t>BabyDaddyDistanceFromHH</w:t>
            </w:r>
            <w:proofErr w:type="spellEnd"/>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False</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17</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Gen2CFatherAlive</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False</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18</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Gen2CFatherInHH</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False</w:t>
            </w:r>
          </w:p>
        </w:tc>
      </w:tr>
      <w:tr w:rsidR="00EF3030" w:rsidRPr="00EF3030" w:rsidTr="00EF3030">
        <w:trPr>
          <w:tblCellSpacing w:w="15" w:type="dxa"/>
        </w:trPr>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19</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Gen2CFatherDistanceFromHH</w:t>
            </w:r>
          </w:p>
        </w:tc>
        <w:tc>
          <w:tcPr>
            <w:tcW w:w="0" w:type="auto"/>
            <w:vAlign w:val="center"/>
            <w:hideMark/>
          </w:tcPr>
          <w:p w:rsidR="00EF3030" w:rsidRPr="00EF3030" w:rsidRDefault="00EF3030" w:rsidP="00EF3030">
            <w:pPr>
              <w:rPr>
                <w:rFonts w:ascii="Courier New" w:eastAsia="Times New Roman" w:hAnsi="Courier New" w:cs="Courier New"/>
                <w:color w:val="auto"/>
                <w:sz w:val="20"/>
                <w:szCs w:val="20"/>
              </w:rPr>
            </w:pPr>
            <w:r w:rsidRPr="00EF3030">
              <w:rPr>
                <w:rFonts w:ascii="Courier New" w:eastAsia="Times New Roman" w:hAnsi="Courier New" w:cs="Courier New"/>
                <w:color w:val="auto"/>
                <w:sz w:val="20"/>
                <w:szCs w:val="20"/>
              </w:rPr>
              <w:t>False</w:t>
            </w:r>
          </w:p>
        </w:tc>
      </w:tr>
    </w:tbl>
    <w:p w:rsidR="00040742" w:rsidRDefault="00040742" w:rsidP="00040742">
      <w:pPr>
        <w:pStyle w:val="Heading3"/>
      </w:pPr>
      <w:r>
        <w:t>tblMarkerGen2</w:t>
      </w:r>
    </w:p>
    <w:p w:rsidR="00040742" w:rsidRPr="00040742" w:rsidRDefault="00040742" w:rsidP="00040742">
      <w:proofErr w:type="spellStart"/>
      <w:r>
        <w:t>Procedes</w:t>
      </w:r>
      <w:proofErr w:type="spellEnd"/>
      <w:r>
        <w:t xml:space="preserve"> like Gen1, but doesn’t determine if two siblings share a biological mother.</w:t>
      </w:r>
    </w:p>
    <w:p w:rsidR="00E4633F" w:rsidRDefault="00E4633F" w:rsidP="00E4633F">
      <w:pPr>
        <w:pStyle w:val="Heading3"/>
      </w:pPr>
      <w:proofErr w:type="spellStart"/>
      <w:proofErr w:type="gramStart"/>
      <w:r>
        <w:t>tblMzManual</w:t>
      </w:r>
      <w:proofErr w:type="spellEnd"/>
      <w:proofErr w:type="gramEnd"/>
      <w:r>
        <w:t xml:space="preserve"> (Gen1</w:t>
      </w:r>
      <w:r>
        <w:t>)</w:t>
      </w:r>
    </w:p>
    <w:p w:rsidR="00E4633F" w:rsidRPr="00E4633F" w:rsidRDefault="00E4633F" w:rsidP="00E4633F">
      <w:r>
        <w:t xml:space="preserve">Eye color was used to reject twins as MZ, as MZ twins </w:t>
      </w:r>
      <w:proofErr w:type="spellStart"/>
      <w:proofErr w:type="gramStart"/>
      <w:r>
        <w:t>havea</w:t>
      </w:r>
      <w:proofErr w:type="spellEnd"/>
      <w:r>
        <w:t xml:space="preserve">  concordance</w:t>
      </w:r>
      <w:proofErr w:type="gramEnd"/>
      <w:r>
        <w:t xml:space="preserve"> of </w:t>
      </w:r>
      <w:r>
        <w:rPr>
          <w:i/>
        </w:rPr>
        <w:t>r</w:t>
      </w:r>
      <w:r>
        <w:t>=.98 (</w:t>
      </w:r>
      <w:proofErr w:type="spellStart"/>
      <w:r>
        <w:t>Bito</w:t>
      </w:r>
      <w:proofErr w:type="spellEnd"/>
      <w:r>
        <w:t xml:space="preserve">, Matheny, </w:t>
      </w:r>
      <w:proofErr w:type="spellStart"/>
      <w:r>
        <w:t>Cruickshaks</w:t>
      </w:r>
      <w:proofErr w:type="spellEnd"/>
      <w:r>
        <w:t xml:space="preserve">, </w:t>
      </w:r>
      <w:proofErr w:type="spellStart"/>
      <w:r>
        <w:t>Nondahl</w:t>
      </w:r>
      <w:proofErr w:type="spellEnd"/>
      <w:r>
        <w:t xml:space="preserve">, </w:t>
      </w:r>
      <w:proofErr w:type="spellStart"/>
      <w:r>
        <w:t>Carino</w:t>
      </w:r>
      <w:proofErr w:type="spellEnd"/>
      <w:r>
        <w:t xml:space="preserve">, 1997 - </w:t>
      </w:r>
      <w:hyperlink r:id="rId5" w:history="1">
        <w:r>
          <w:rPr>
            <w:rStyle w:val="Hyperlink"/>
          </w:rPr>
          <w:t>http://www.ncbi.nlm.nih.gov/pubmed/9152135</w:t>
        </w:r>
      </w:hyperlink>
      <w:r w:rsidR="00A67392">
        <w:t xml:space="preserve">; </w:t>
      </w:r>
      <w:proofErr w:type="spellStart"/>
      <w:r w:rsidR="00A67392">
        <w:t>Posthuma</w:t>
      </w:r>
      <w:proofErr w:type="spellEnd"/>
      <w:r w:rsidR="00A67392">
        <w:t xml:space="preserve">, </w:t>
      </w:r>
      <w:proofErr w:type="spellStart"/>
      <w:r w:rsidR="00A67392">
        <w:t>Visscher</w:t>
      </w:r>
      <w:proofErr w:type="spellEnd"/>
      <w:r w:rsidR="00A67392">
        <w:t xml:space="preserve">, </w:t>
      </w:r>
      <w:proofErr w:type="spellStart"/>
      <w:r w:rsidR="00A67392">
        <w:t>Willemsen</w:t>
      </w:r>
      <w:proofErr w:type="spellEnd"/>
      <w:r w:rsidR="00A67392">
        <w:t xml:space="preserve">, Zhu, Martin, </w:t>
      </w:r>
      <w:proofErr w:type="spellStart"/>
      <w:r w:rsidR="00A67392">
        <w:t>Slagboom</w:t>
      </w:r>
      <w:proofErr w:type="spellEnd"/>
      <w:r w:rsidR="00A67392">
        <w:t xml:space="preserve">, de </w:t>
      </w:r>
      <w:proofErr w:type="spellStart"/>
      <w:r w:rsidR="00A67392">
        <w:t>Geus</w:t>
      </w:r>
      <w:proofErr w:type="spellEnd"/>
      <w:r w:rsidR="00A67392">
        <w:t xml:space="preserve">, &amp; </w:t>
      </w:r>
      <w:proofErr w:type="spellStart"/>
      <w:r w:rsidR="00A67392">
        <w:t>Boomsma</w:t>
      </w:r>
      <w:proofErr w:type="spellEnd"/>
      <w:r w:rsidR="00A67392">
        <w:t xml:space="preserve">, 2006 - </w:t>
      </w:r>
      <w:hyperlink r:id="rId6" w:history="1">
        <w:r w:rsidR="00A67392">
          <w:rPr>
            <w:rStyle w:val="Hyperlink"/>
          </w:rPr>
          <w:t>http://www.ncbi.nlm.nih.gov/pubmed/16341609</w:t>
        </w:r>
      </w:hyperlink>
      <w:bookmarkStart w:id="0" w:name="_GoBack"/>
      <w:bookmarkEnd w:id="0"/>
      <w:r>
        <w:t>)</w:t>
      </w:r>
    </w:p>
    <w:p w:rsidR="00040742" w:rsidRDefault="00040742" w:rsidP="00040742">
      <w:pPr>
        <w:pStyle w:val="Heading3"/>
      </w:pPr>
      <w:proofErr w:type="spellStart"/>
      <w:proofErr w:type="gramStart"/>
      <w:r>
        <w:t>tblMzManual</w:t>
      </w:r>
      <w:proofErr w:type="spellEnd"/>
      <w:proofErr w:type="gramEnd"/>
      <w:r w:rsidR="00E4633F">
        <w:t xml:space="preserve"> (Gen2)</w:t>
      </w:r>
    </w:p>
    <w:p w:rsidR="00F31206" w:rsidRDefault="003E39C1" w:rsidP="00D93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sidRPr="003E39C1">
        <w:rPr>
          <w:i/>
        </w:rPr>
        <w:t>Zygosity</w:t>
      </w:r>
      <w:proofErr w:type="spellEnd"/>
      <w:r w:rsidRPr="003E39C1">
        <w:rPr>
          <w:i/>
        </w:rPr>
        <w:t xml:space="preserve"> for</w:t>
      </w:r>
      <w:r>
        <w:rPr>
          <w:i/>
        </w:rPr>
        <w:t xml:space="preserve"> all identified twin and triple</w:t>
      </w:r>
      <w:r w:rsidRPr="003E39C1">
        <w:rPr>
          <w:i/>
        </w:rPr>
        <w:t>t</w:t>
      </w:r>
      <w:r>
        <w:rPr>
          <w:i/>
        </w:rPr>
        <w:t xml:space="preserve"> </w:t>
      </w:r>
      <w:r w:rsidRPr="003E39C1">
        <w:rPr>
          <w:i/>
        </w:rPr>
        <w:t>pairs</w:t>
      </w:r>
      <w:r>
        <w:t>.</w:t>
      </w:r>
      <w:proofErr w:type="gramEnd"/>
      <w:r>
        <w:t xml:space="preserve"> </w:t>
      </w:r>
      <w:r w:rsidR="00D93AFB">
        <w:t xml:space="preserve">The </w:t>
      </w:r>
      <w:r w:rsidR="00F31206">
        <w:t>i</w:t>
      </w:r>
      <w:r w:rsidR="00D93AFB">
        <w:t>t</w:t>
      </w:r>
      <w:r w:rsidR="00F31206">
        <w:t>ems for tw</w:t>
      </w:r>
      <w:r w:rsidR="00D93AFB">
        <w:t>i</w:t>
      </w:r>
      <w:r w:rsidR="00F31206">
        <w:t>ns</w:t>
      </w:r>
      <w:r w:rsidR="00D93AFB">
        <w:t xml:space="preserve">/trips leave a lot to be desired.  Even for the well-designed items, mothers (answering about their twins) are frequently inconsistent).  And </w:t>
      </w:r>
      <w:r w:rsidR="00D93AFB">
        <w:lastRenderedPageBreak/>
        <w:t>the items are inadequate when there’s more than a simple twin pair –like triplets or two twin pairs.  For example, even in 2008 they are asked, “</w:t>
      </w:r>
      <w:r w:rsidR="00D93AFB" w:rsidRPr="00D93AFB">
        <w:rPr>
          <w:rFonts w:ascii="Lucida Console" w:eastAsia="Times New Roman" w:hAnsi="Lucida Console" w:cs="Courier New"/>
          <w:color w:val="auto"/>
          <w:sz w:val="20"/>
          <w:szCs w:val="20"/>
        </w:rPr>
        <w:t>Are (CHILD NAME 1), (CHILD NAME 2) and (CHILD NAME 3) identical triplets or are</w:t>
      </w:r>
      <w:r w:rsidR="00D93AFB">
        <w:rPr>
          <w:rFonts w:ascii="Lucida Console" w:eastAsia="Times New Roman" w:hAnsi="Lucida Console" w:cs="Courier New"/>
          <w:color w:val="auto"/>
          <w:sz w:val="20"/>
          <w:szCs w:val="20"/>
        </w:rPr>
        <w:t xml:space="preserve"> </w:t>
      </w:r>
      <w:r w:rsidR="00D93AFB" w:rsidRPr="00D93AFB">
        <w:rPr>
          <w:rFonts w:ascii="Lucida Console" w:eastAsia="Times New Roman" w:hAnsi="Lucida Console" w:cs="Courier New"/>
          <w:color w:val="auto"/>
          <w:sz w:val="20"/>
          <w:szCs w:val="20"/>
        </w:rPr>
        <w:t>they fraternal triplets?)</w:t>
      </w:r>
      <w:r w:rsidR="00D93AFB" w:rsidRPr="00D93AFB">
        <w:t>”</w:t>
      </w:r>
      <w:r w:rsidR="00D93AFB">
        <w:t xml:space="preserve"> (T14876.00), which denies the possibility that one </w:t>
      </w:r>
      <w:proofErr w:type="gramStart"/>
      <w:r w:rsidR="00D93AFB">
        <w:t>pair</w:t>
      </w:r>
      <w:proofErr w:type="gramEnd"/>
      <w:r w:rsidR="00D93AFB">
        <w:t xml:space="preserve"> could be MZ, while the other two are DZ.</w:t>
      </w:r>
    </w:p>
    <w:p w:rsidR="009347F0" w:rsidRDefault="009347F0" w:rsidP="00D93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347F0" w:rsidRDefault="009347F0" w:rsidP="00D93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Because of these issues, and there are relatively few twins/trips, it made more sense to go through them manually instead of creating an algorithm to decide.</w:t>
      </w:r>
      <w:r w:rsidR="00791979">
        <w:t xml:space="preserve">  Joe raised the issue (Sept 2011) that the assignment wasn’t produced by a systematic and reproducible mechanism.  I believe that’s a tradeoff we have to live with, and the small pocket of irregular items would take too much time to develop.  </w:t>
      </w:r>
    </w:p>
    <w:p w:rsidR="00791979" w:rsidRDefault="00791979" w:rsidP="00D93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62215" w:rsidRDefault="00791979" w:rsidP="00D93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Furthermore, </w:t>
      </w:r>
      <w:r w:rsidR="00E4633F">
        <w:t xml:space="preserve">for Gen 2, </w:t>
      </w:r>
      <w:r>
        <w:t>there’s incredible agreement between my decisions and the results from the 2004 links.  They were done completely independently (I never peeked at their results until I was done).  The 2004 links assigned R=1 to all ambiguous twins.  I’m lean</w:t>
      </w:r>
      <w:r w:rsidR="00A62215">
        <w:t>ing that way for the 2011 links, so that the MZ</w:t>
      </w:r>
      <w:proofErr w:type="gramStart"/>
      <w:r w:rsidR="00A62215">
        <w:t>:DZ</w:t>
      </w:r>
      <w:proofErr w:type="gramEnd"/>
      <w:r w:rsidR="00A62215">
        <w:t xml:space="preserve"> sample ratio will resemble the population ratio.</w:t>
      </w:r>
    </w:p>
    <w:p w:rsidR="00A62215" w:rsidRDefault="00A62215" w:rsidP="00D93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347F0" w:rsidRDefault="00791979" w:rsidP="00D93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we do that, only 2 of the 129 twin/trip pairs will be classified differently (I thought they were MZ, while the 2004 links thought they were DZ).</w:t>
      </w:r>
    </w:p>
    <w:tbl>
      <w:tblPr>
        <w:tblW w:w="0" w:type="auto"/>
        <w:tblCellSpacing w:w="15" w:type="dxa"/>
        <w:tblInd w:w="1440" w:type="dxa"/>
        <w:tblLayout w:type="fixed"/>
        <w:tblCellMar>
          <w:top w:w="15" w:type="dxa"/>
          <w:left w:w="15" w:type="dxa"/>
          <w:bottom w:w="15" w:type="dxa"/>
          <w:right w:w="15" w:type="dxa"/>
        </w:tblCellMar>
        <w:tblLook w:val="04A0" w:firstRow="1" w:lastRow="0" w:firstColumn="1" w:lastColumn="0" w:noHBand="0" w:noVBand="1"/>
      </w:tblPr>
      <w:tblGrid>
        <w:gridCol w:w="676"/>
        <w:gridCol w:w="1621"/>
        <w:gridCol w:w="718"/>
        <w:gridCol w:w="990"/>
        <w:gridCol w:w="1800"/>
      </w:tblGrid>
      <w:tr w:rsidR="00791979" w:rsidRPr="009347F0" w:rsidTr="00A62215">
        <w:trPr>
          <w:tblCellSpacing w:w="15" w:type="dxa"/>
        </w:trPr>
        <w:tc>
          <w:tcPr>
            <w:tcW w:w="631" w:type="dxa"/>
            <w:vAlign w:val="center"/>
            <w:hideMark/>
          </w:tcPr>
          <w:p w:rsidR="00791979" w:rsidRPr="009347F0" w:rsidRDefault="00791979" w:rsidP="000D66AA">
            <w:pPr>
              <w:rPr>
                <w:rFonts w:ascii="Courier New" w:eastAsia="Times New Roman" w:hAnsi="Courier New" w:cs="Courier New"/>
                <w:color w:val="auto"/>
                <w:sz w:val="20"/>
                <w:szCs w:val="24"/>
                <w:u w:val="single"/>
              </w:rPr>
            </w:pPr>
            <w:r w:rsidRPr="009347F0">
              <w:rPr>
                <w:rFonts w:ascii="Courier New" w:eastAsia="Times New Roman" w:hAnsi="Courier New" w:cs="Courier New"/>
                <w:color w:val="auto"/>
                <w:sz w:val="20"/>
                <w:szCs w:val="24"/>
                <w:u w:val="single"/>
              </w:rPr>
              <w:t>Count</w:t>
            </w:r>
          </w:p>
        </w:tc>
        <w:tc>
          <w:tcPr>
            <w:tcW w:w="1591" w:type="dxa"/>
            <w:vAlign w:val="center"/>
            <w:hideMark/>
          </w:tcPr>
          <w:p w:rsidR="00791979" w:rsidRPr="009347F0" w:rsidRDefault="00791979" w:rsidP="000D66AA">
            <w:pPr>
              <w:rPr>
                <w:rFonts w:ascii="Courier New" w:eastAsia="Times New Roman" w:hAnsi="Courier New" w:cs="Courier New"/>
                <w:color w:val="auto"/>
                <w:sz w:val="20"/>
                <w:szCs w:val="24"/>
                <w:u w:val="single"/>
              </w:rPr>
            </w:pPr>
            <w:proofErr w:type="spellStart"/>
            <w:r w:rsidRPr="009347F0">
              <w:rPr>
                <w:rFonts w:ascii="Courier New" w:eastAsia="Times New Roman" w:hAnsi="Courier New" w:cs="Courier New"/>
                <w:color w:val="auto"/>
                <w:sz w:val="20"/>
                <w:szCs w:val="24"/>
                <w:u w:val="single"/>
              </w:rPr>
              <w:t>MultipleBirth</w:t>
            </w:r>
            <w:proofErr w:type="spellEnd"/>
          </w:p>
        </w:tc>
        <w:tc>
          <w:tcPr>
            <w:tcW w:w="688" w:type="dxa"/>
            <w:vAlign w:val="center"/>
            <w:hideMark/>
          </w:tcPr>
          <w:p w:rsidR="00791979" w:rsidRPr="009347F0" w:rsidRDefault="00791979" w:rsidP="000D66AA">
            <w:pPr>
              <w:rPr>
                <w:rFonts w:ascii="Courier New" w:eastAsia="Times New Roman" w:hAnsi="Courier New" w:cs="Courier New"/>
                <w:color w:val="auto"/>
                <w:sz w:val="20"/>
                <w:szCs w:val="24"/>
                <w:u w:val="single"/>
              </w:rPr>
            </w:pPr>
            <w:proofErr w:type="spellStart"/>
            <w:r w:rsidRPr="009347F0">
              <w:rPr>
                <w:rFonts w:ascii="Courier New" w:eastAsia="Times New Roman" w:hAnsi="Courier New" w:cs="Courier New"/>
                <w:color w:val="auto"/>
                <w:sz w:val="20"/>
                <w:szCs w:val="24"/>
                <w:u w:val="single"/>
              </w:rPr>
              <w:t>IsMZ</w:t>
            </w:r>
            <w:proofErr w:type="spellEnd"/>
          </w:p>
        </w:tc>
        <w:tc>
          <w:tcPr>
            <w:tcW w:w="960" w:type="dxa"/>
            <w:vAlign w:val="center"/>
          </w:tcPr>
          <w:p w:rsidR="00791979" w:rsidRPr="009347F0" w:rsidRDefault="00791979" w:rsidP="000D66AA">
            <w:pPr>
              <w:rPr>
                <w:rFonts w:ascii="Courier New" w:eastAsia="Times New Roman" w:hAnsi="Courier New" w:cs="Courier New"/>
                <w:color w:val="auto"/>
                <w:sz w:val="20"/>
                <w:szCs w:val="24"/>
                <w:u w:val="single"/>
              </w:rPr>
            </w:pPr>
            <w:r w:rsidRPr="009347F0">
              <w:rPr>
                <w:rFonts w:ascii="Courier New" w:eastAsia="Times New Roman" w:hAnsi="Courier New" w:cs="Courier New"/>
                <w:color w:val="auto"/>
                <w:sz w:val="20"/>
                <w:szCs w:val="24"/>
                <w:u w:val="single"/>
              </w:rPr>
              <w:t>RPass1</w:t>
            </w:r>
          </w:p>
        </w:tc>
        <w:tc>
          <w:tcPr>
            <w:tcW w:w="1755" w:type="dxa"/>
            <w:vAlign w:val="center"/>
            <w:hideMark/>
          </w:tcPr>
          <w:p w:rsidR="00791979" w:rsidRPr="009347F0" w:rsidRDefault="00791979" w:rsidP="000D66AA">
            <w:pPr>
              <w:rPr>
                <w:rFonts w:ascii="Courier New" w:eastAsia="Times New Roman" w:hAnsi="Courier New" w:cs="Courier New"/>
                <w:color w:val="auto"/>
                <w:sz w:val="20"/>
                <w:szCs w:val="24"/>
                <w:u w:val="single"/>
              </w:rPr>
            </w:pPr>
            <w:r w:rsidRPr="009347F0">
              <w:rPr>
                <w:rFonts w:ascii="Courier New" w:eastAsia="Times New Roman" w:hAnsi="Courier New" w:cs="Courier New"/>
                <w:color w:val="auto"/>
                <w:sz w:val="20"/>
                <w:szCs w:val="24"/>
                <w:u w:val="single"/>
              </w:rPr>
              <w:t>RImplicit</w:t>
            </w:r>
            <w:r>
              <w:rPr>
                <w:rFonts w:ascii="Courier New" w:eastAsia="Times New Roman" w:hAnsi="Courier New" w:cs="Courier New"/>
                <w:color w:val="auto"/>
                <w:sz w:val="20"/>
                <w:szCs w:val="24"/>
                <w:u w:val="single"/>
              </w:rPr>
              <w:t>2004</w:t>
            </w:r>
          </w:p>
        </w:tc>
      </w:tr>
      <w:tr w:rsidR="00791979" w:rsidRPr="009347F0" w:rsidTr="00A62215">
        <w:trPr>
          <w:tblCellSpacing w:w="15" w:type="dxa"/>
        </w:trPr>
        <w:tc>
          <w:tcPr>
            <w:tcW w:w="631"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81</w:t>
            </w:r>
          </w:p>
        </w:tc>
        <w:tc>
          <w:tcPr>
            <w:tcW w:w="1591" w:type="dxa"/>
            <w:vAlign w:val="center"/>
            <w:hideMark/>
          </w:tcPr>
          <w:p w:rsidR="00791979" w:rsidRPr="00F10680" w:rsidRDefault="00791979" w:rsidP="000D66AA">
            <w:pPr>
              <w:rPr>
                <w:rFonts w:ascii="Courier New" w:hAnsi="Courier New" w:cs="Courier New"/>
                <w:sz w:val="20"/>
                <w:szCs w:val="24"/>
              </w:rPr>
            </w:pPr>
            <w:r>
              <w:rPr>
                <w:rFonts w:ascii="Courier New" w:hAnsi="Courier New" w:cs="Courier New"/>
                <w:sz w:val="20"/>
              </w:rPr>
              <w:t>Twin</w:t>
            </w:r>
          </w:p>
        </w:tc>
        <w:tc>
          <w:tcPr>
            <w:tcW w:w="688"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0</w:t>
            </w:r>
          </w:p>
        </w:tc>
        <w:tc>
          <w:tcPr>
            <w:tcW w:w="960" w:type="dxa"/>
            <w:vAlign w:val="center"/>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0.5</w:t>
            </w:r>
          </w:p>
        </w:tc>
        <w:tc>
          <w:tcPr>
            <w:tcW w:w="1755"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0.5</w:t>
            </w:r>
          </w:p>
        </w:tc>
      </w:tr>
      <w:tr w:rsidR="00791979" w:rsidRPr="009347F0" w:rsidTr="00A62215">
        <w:trPr>
          <w:tblCellSpacing w:w="15" w:type="dxa"/>
        </w:trPr>
        <w:tc>
          <w:tcPr>
            <w:tcW w:w="631"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24</w:t>
            </w:r>
          </w:p>
        </w:tc>
        <w:tc>
          <w:tcPr>
            <w:tcW w:w="1591" w:type="dxa"/>
            <w:vAlign w:val="center"/>
            <w:hideMark/>
          </w:tcPr>
          <w:p w:rsidR="00791979" w:rsidRPr="00F10680" w:rsidRDefault="00791979" w:rsidP="000D66AA">
            <w:pPr>
              <w:rPr>
                <w:rFonts w:ascii="Courier New" w:hAnsi="Courier New" w:cs="Courier New"/>
                <w:sz w:val="20"/>
                <w:szCs w:val="24"/>
              </w:rPr>
            </w:pPr>
            <w:r>
              <w:rPr>
                <w:rFonts w:ascii="Courier New" w:hAnsi="Courier New" w:cs="Courier New"/>
                <w:sz w:val="20"/>
              </w:rPr>
              <w:t>Twin</w:t>
            </w:r>
          </w:p>
        </w:tc>
        <w:tc>
          <w:tcPr>
            <w:tcW w:w="688"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1</w:t>
            </w:r>
          </w:p>
        </w:tc>
        <w:tc>
          <w:tcPr>
            <w:tcW w:w="960" w:type="dxa"/>
            <w:vAlign w:val="center"/>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1</w:t>
            </w:r>
          </w:p>
        </w:tc>
        <w:tc>
          <w:tcPr>
            <w:tcW w:w="1755"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1</w:t>
            </w:r>
          </w:p>
        </w:tc>
      </w:tr>
      <w:tr w:rsidR="00791979" w:rsidRPr="009347F0" w:rsidTr="00A62215">
        <w:trPr>
          <w:tblCellSpacing w:w="15" w:type="dxa"/>
        </w:trPr>
        <w:tc>
          <w:tcPr>
            <w:tcW w:w="631"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12</w:t>
            </w:r>
          </w:p>
        </w:tc>
        <w:tc>
          <w:tcPr>
            <w:tcW w:w="1591" w:type="dxa"/>
            <w:vAlign w:val="center"/>
            <w:hideMark/>
          </w:tcPr>
          <w:p w:rsidR="00791979" w:rsidRPr="00F10680" w:rsidRDefault="00791979" w:rsidP="000D66AA">
            <w:pPr>
              <w:rPr>
                <w:rFonts w:ascii="Courier New" w:hAnsi="Courier New" w:cs="Courier New"/>
                <w:sz w:val="20"/>
                <w:szCs w:val="24"/>
              </w:rPr>
            </w:pPr>
            <w:r>
              <w:rPr>
                <w:rFonts w:ascii="Courier New" w:hAnsi="Courier New" w:cs="Courier New"/>
                <w:sz w:val="20"/>
              </w:rPr>
              <w:t>Twin</w:t>
            </w:r>
          </w:p>
        </w:tc>
        <w:tc>
          <w:tcPr>
            <w:tcW w:w="688" w:type="dxa"/>
            <w:vAlign w:val="center"/>
            <w:hideMark/>
          </w:tcPr>
          <w:p w:rsidR="00791979" w:rsidRPr="00F10680" w:rsidRDefault="00791979" w:rsidP="000D66AA">
            <w:pPr>
              <w:rPr>
                <w:rFonts w:ascii="Courier New" w:hAnsi="Courier New" w:cs="Courier New"/>
                <w:sz w:val="20"/>
                <w:szCs w:val="24"/>
              </w:rPr>
            </w:pPr>
            <w:r>
              <w:rPr>
                <w:rFonts w:ascii="Courier New" w:hAnsi="Courier New" w:cs="Courier New"/>
                <w:sz w:val="20"/>
              </w:rPr>
              <w:t>???</w:t>
            </w:r>
          </w:p>
        </w:tc>
        <w:tc>
          <w:tcPr>
            <w:tcW w:w="960" w:type="dxa"/>
            <w:vAlign w:val="center"/>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0.75</w:t>
            </w:r>
          </w:p>
        </w:tc>
        <w:tc>
          <w:tcPr>
            <w:tcW w:w="1755"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1</w:t>
            </w:r>
          </w:p>
        </w:tc>
      </w:tr>
      <w:tr w:rsidR="00791979" w:rsidRPr="009347F0" w:rsidTr="00A62215">
        <w:trPr>
          <w:tblCellSpacing w:w="15" w:type="dxa"/>
        </w:trPr>
        <w:tc>
          <w:tcPr>
            <w:tcW w:w="631"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4</w:t>
            </w:r>
          </w:p>
        </w:tc>
        <w:tc>
          <w:tcPr>
            <w:tcW w:w="1591" w:type="dxa"/>
            <w:vAlign w:val="center"/>
            <w:hideMark/>
          </w:tcPr>
          <w:p w:rsidR="00791979" w:rsidRPr="00F10680" w:rsidRDefault="00791979" w:rsidP="000D66AA">
            <w:pPr>
              <w:rPr>
                <w:rFonts w:ascii="Courier New" w:hAnsi="Courier New" w:cs="Courier New"/>
                <w:sz w:val="20"/>
                <w:szCs w:val="24"/>
              </w:rPr>
            </w:pPr>
            <w:r>
              <w:rPr>
                <w:rFonts w:ascii="Courier New" w:hAnsi="Courier New" w:cs="Courier New"/>
                <w:sz w:val="20"/>
              </w:rPr>
              <w:t>Triplet</w:t>
            </w:r>
          </w:p>
        </w:tc>
        <w:tc>
          <w:tcPr>
            <w:tcW w:w="688"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0</w:t>
            </w:r>
          </w:p>
        </w:tc>
        <w:tc>
          <w:tcPr>
            <w:tcW w:w="960" w:type="dxa"/>
            <w:vAlign w:val="center"/>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0.5</w:t>
            </w:r>
          </w:p>
        </w:tc>
        <w:tc>
          <w:tcPr>
            <w:tcW w:w="1755"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0.5</w:t>
            </w:r>
          </w:p>
        </w:tc>
      </w:tr>
      <w:tr w:rsidR="00791979" w:rsidRPr="009347F0" w:rsidTr="00A62215">
        <w:trPr>
          <w:tblCellSpacing w:w="15" w:type="dxa"/>
        </w:trPr>
        <w:tc>
          <w:tcPr>
            <w:tcW w:w="631"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2</w:t>
            </w:r>
          </w:p>
        </w:tc>
        <w:tc>
          <w:tcPr>
            <w:tcW w:w="1591" w:type="dxa"/>
            <w:vAlign w:val="center"/>
            <w:hideMark/>
          </w:tcPr>
          <w:p w:rsidR="00791979" w:rsidRPr="00F10680" w:rsidRDefault="00791979" w:rsidP="000D66AA">
            <w:pPr>
              <w:rPr>
                <w:rFonts w:ascii="Courier New" w:hAnsi="Courier New" w:cs="Courier New"/>
                <w:sz w:val="20"/>
                <w:szCs w:val="24"/>
              </w:rPr>
            </w:pPr>
            <w:r>
              <w:rPr>
                <w:rFonts w:ascii="Courier New" w:hAnsi="Courier New" w:cs="Courier New"/>
                <w:sz w:val="20"/>
              </w:rPr>
              <w:t>Triplet</w:t>
            </w:r>
          </w:p>
        </w:tc>
        <w:tc>
          <w:tcPr>
            <w:tcW w:w="688"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0</w:t>
            </w:r>
          </w:p>
        </w:tc>
        <w:tc>
          <w:tcPr>
            <w:tcW w:w="960" w:type="dxa"/>
            <w:vAlign w:val="center"/>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0.5</w:t>
            </w:r>
          </w:p>
        </w:tc>
        <w:tc>
          <w:tcPr>
            <w:tcW w:w="1755"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NULL</w:t>
            </w:r>
          </w:p>
        </w:tc>
      </w:tr>
      <w:tr w:rsidR="00791979" w:rsidRPr="009347F0" w:rsidTr="00A62215">
        <w:trPr>
          <w:tblCellSpacing w:w="15" w:type="dxa"/>
        </w:trPr>
        <w:tc>
          <w:tcPr>
            <w:tcW w:w="631"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2</w:t>
            </w:r>
          </w:p>
        </w:tc>
        <w:tc>
          <w:tcPr>
            <w:tcW w:w="1591" w:type="dxa"/>
            <w:vAlign w:val="center"/>
            <w:hideMark/>
          </w:tcPr>
          <w:p w:rsidR="00791979" w:rsidRPr="00F10680" w:rsidRDefault="00791979" w:rsidP="000D66AA">
            <w:pPr>
              <w:rPr>
                <w:rFonts w:ascii="Courier New" w:hAnsi="Courier New" w:cs="Courier New"/>
                <w:sz w:val="20"/>
                <w:szCs w:val="24"/>
              </w:rPr>
            </w:pPr>
            <w:r>
              <w:rPr>
                <w:rFonts w:ascii="Courier New" w:hAnsi="Courier New" w:cs="Courier New"/>
                <w:sz w:val="20"/>
              </w:rPr>
              <w:t>Twin</w:t>
            </w:r>
          </w:p>
        </w:tc>
        <w:tc>
          <w:tcPr>
            <w:tcW w:w="688"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0</w:t>
            </w:r>
          </w:p>
        </w:tc>
        <w:tc>
          <w:tcPr>
            <w:tcW w:w="960" w:type="dxa"/>
            <w:vAlign w:val="center"/>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0.5</w:t>
            </w:r>
          </w:p>
        </w:tc>
        <w:tc>
          <w:tcPr>
            <w:tcW w:w="1755"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NULL</w:t>
            </w:r>
          </w:p>
        </w:tc>
      </w:tr>
      <w:tr w:rsidR="00791979" w:rsidRPr="00791979" w:rsidTr="00A62215">
        <w:trPr>
          <w:tblCellSpacing w:w="15" w:type="dxa"/>
        </w:trPr>
        <w:tc>
          <w:tcPr>
            <w:tcW w:w="631" w:type="dxa"/>
            <w:vAlign w:val="center"/>
            <w:hideMark/>
          </w:tcPr>
          <w:p w:rsidR="00791979" w:rsidRPr="00791979" w:rsidRDefault="00791979" w:rsidP="000D66AA">
            <w:pPr>
              <w:rPr>
                <w:rFonts w:ascii="Courier New" w:hAnsi="Courier New" w:cs="Courier New"/>
                <w:b/>
                <w:color w:val="E36C0A" w:themeColor="accent6" w:themeShade="BF"/>
                <w:sz w:val="20"/>
                <w:szCs w:val="24"/>
              </w:rPr>
            </w:pPr>
            <w:r w:rsidRPr="00791979">
              <w:rPr>
                <w:rFonts w:ascii="Courier New" w:hAnsi="Courier New" w:cs="Courier New"/>
                <w:b/>
                <w:color w:val="E36C0A" w:themeColor="accent6" w:themeShade="BF"/>
                <w:sz w:val="20"/>
              </w:rPr>
              <w:t>2</w:t>
            </w:r>
          </w:p>
        </w:tc>
        <w:tc>
          <w:tcPr>
            <w:tcW w:w="1591" w:type="dxa"/>
            <w:vAlign w:val="center"/>
            <w:hideMark/>
          </w:tcPr>
          <w:p w:rsidR="00791979" w:rsidRPr="00791979" w:rsidRDefault="00791979" w:rsidP="000D66AA">
            <w:pPr>
              <w:rPr>
                <w:rFonts w:ascii="Courier New" w:hAnsi="Courier New" w:cs="Courier New"/>
                <w:b/>
                <w:color w:val="E36C0A" w:themeColor="accent6" w:themeShade="BF"/>
                <w:sz w:val="20"/>
                <w:szCs w:val="24"/>
              </w:rPr>
            </w:pPr>
            <w:r w:rsidRPr="00791979">
              <w:rPr>
                <w:rFonts w:ascii="Courier New" w:hAnsi="Courier New" w:cs="Courier New"/>
                <w:b/>
                <w:color w:val="E36C0A" w:themeColor="accent6" w:themeShade="BF"/>
                <w:sz w:val="20"/>
              </w:rPr>
              <w:t>Twin</w:t>
            </w:r>
          </w:p>
        </w:tc>
        <w:tc>
          <w:tcPr>
            <w:tcW w:w="688" w:type="dxa"/>
            <w:vAlign w:val="center"/>
            <w:hideMark/>
          </w:tcPr>
          <w:p w:rsidR="00791979" w:rsidRPr="00791979" w:rsidRDefault="00791979" w:rsidP="000D66AA">
            <w:pPr>
              <w:rPr>
                <w:rFonts w:ascii="Courier New" w:hAnsi="Courier New" w:cs="Courier New"/>
                <w:b/>
                <w:color w:val="E36C0A" w:themeColor="accent6" w:themeShade="BF"/>
                <w:sz w:val="20"/>
                <w:szCs w:val="24"/>
              </w:rPr>
            </w:pPr>
            <w:r w:rsidRPr="00791979">
              <w:rPr>
                <w:rFonts w:ascii="Courier New" w:hAnsi="Courier New" w:cs="Courier New"/>
                <w:b/>
                <w:color w:val="E36C0A" w:themeColor="accent6" w:themeShade="BF"/>
                <w:sz w:val="20"/>
              </w:rPr>
              <w:t>1</w:t>
            </w:r>
          </w:p>
        </w:tc>
        <w:tc>
          <w:tcPr>
            <w:tcW w:w="960" w:type="dxa"/>
            <w:vAlign w:val="center"/>
          </w:tcPr>
          <w:p w:rsidR="00791979" w:rsidRPr="00791979" w:rsidRDefault="00791979" w:rsidP="000D66AA">
            <w:pPr>
              <w:rPr>
                <w:rFonts w:ascii="Courier New" w:hAnsi="Courier New" w:cs="Courier New"/>
                <w:b/>
                <w:color w:val="E36C0A" w:themeColor="accent6" w:themeShade="BF"/>
                <w:sz w:val="20"/>
                <w:szCs w:val="24"/>
              </w:rPr>
            </w:pPr>
            <w:r w:rsidRPr="00791979">
              <w:rPr>
                <w:rFonts w:ascii="Courier New" w:hAnsi="Courier New" w:cs="Courier New"/>
                <w:b/>
                <w:color w:val="E36C0A" w:themeColor="accent6" w:themeShade="BF"/>
                <w:sz w:val="20"/>
              </w:rPr>
              <w:t>1</w:t>
            </w:r>
          </w:p>
        </w:tc>
        <w:tc>
          <w:tcPr>
            <w:tcW w:w="1755" w:type="dxa"/>
            <w:vAlign w:val="center"/>
            <w:hideMark/>
          </w:tcPr>
          <w:p w:rsidR="00791979" w:rsidRPr="00791979" w:rsidRDefault="00791979" w:rsidP="000D66AA">
            <w:pPr>
              <w:rPr>
                <w:rFonts w:ascii="Courier New" w:hAnsi="Courier New" w:cs="Courier New"/>
                <w:b/>
                <w:color w:val="E36C0A" w:themeColor="accent6" w:themeShade="BF"/>
                <w:sz w:val="20"/>
                <w:szCs w:val="24"/>
              </w:rPr>
            </w:pPr>
            <w:r w:rsidRPr="00791979">
              <w:rPr>
                <w:rFonts w:ascii="Courier New" w:hAnsi="Courier New" w:cs="Courier New"/>
                <w:b/>
                <w:color w:val="E36C0A" w:themeColor="accent6" w:themeShade="BF"/>
                <w:sz w:val="20"/>
              </w:rPr>
              <w:t>0.5</w:t>
            </w:r>
          </w:p>
        </w:tc>
      </w:tr>
      <w:tr w:rsidR="00791979" w:rsidRPr="009347F0" w:rsidTr="000D66AA">
        <w:trPr>
          <w:trHeight w:val="50"/>
          <w:tblCellSpacing w:w="15" w:type="dxa"/>
        </w:trPr>
        <w:tc>
          <w:tcPr>
            <w:tcW w:w="631"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1</w:t>
            </w:r>
          </w:p>
        </w:tc>
        <w:tc>
          <w:tcPr>
            <w:tcW w:w="1591" w:type="dxa"/>
            <w:vAlign w:val="center"/>
            <w:hideMark/>
          </w:tcPr>
          <w:p w:rsidR="00791979" w:rsidRPr="00F10680" w:rsidRDefault="00791979" w:rsidP="000D66AA">
            <w:pPr>
              <w:rPr>
                <w:rFonts w:ascii="Courier New" w:hAnsi="Courier New" w:cs="Courier New"/>
                <w:sz w:val="20"/>
                <w:szCs w:val="24"/>
              </w:rPr>
            </w:pPr>
            <w:r>
              <w:rPr>
                <w:rFonts w:ascii="Courier New" w:hAnsi="Courier New" w:cs="Courier New"/>
                <w:sz w:val="20"/>
              </w:rPr>
              <w:t>Twin</w:t>
            </w:r>
          </w:p>
        </w:tc>
        <w:tc>
          <w:tcPr>
            <w:tcW w:w="688"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1</w:t>
            </w:r>
          </w:p>
        </w:tc>
        <w:tc>
          <w:tcPr>
            <w:tcW w:w="960" w:type="dxa"/>
            <w:vAlign w:val="center"/>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1</w:t>
            </w:r>
          </w:p>
        </w:tc>
        <w:tc>
          <w:tcPr>
            <w:tcW w:w="1755"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NULL</w:t>
            </w:r>
          </w:p>
        </w:tc>
      </w:tr>
      <w:tr w:rsidR="00791979" w:rsidRPr="009347F0" w:rsidTr="000D66AA">
        <w:trPr>
          <w:trHeight w:val="50"/>
          <w:tblCellSpacing w:w="15" w:type="dxa"/>
        </w:trPr>
        <w:tc>
          <w:tcPr>
            <w:tcW w:w="631"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1</w:t>
            </w:r>
          </w:p>
        </w:tc>
        <w:tc>
          <w:tcPr>
            <w:tcW w:w="1591" w:type="dxa"/>
            <w:vAlign w:val="center"/>
            <w:hideMark/>
          </w:tcPr>
          <w:p w:rsidR="00791979" w:rsidRPr="00F10680" w:rsidRDefault="00791979" w:rsidP="000D66AA">
            <w:pPr>
              <w:rPr>
                <w:rFonts w:ascii="Courier New" w:hAnsi="Courier New" w:cs="Courier New"/>
                <w:sz w:val="20"/>
                <w:szCs w:val="24"/>
              </w:rPr>
            </w:pPr>
            <w:r>
              <w:rPr>
                <w:rFonts w:ascii="Courier New" w:hAnsi="Courier New" w:cs="Courier New"/>
                <w:sz w:val="20"/>
              </w:rPr>
              <w:t>Twin</w:t>
            </w:r>
          </w:p>
        </w:tc>
        <w:tc>
          <w:tcPr>
            <w:tcW w:w="688" w:type="dxa"/>
            <w:vAlign w:val="center"/>
            <w:hideMark/>
          </w:tcPr>
          <w:p w:rsidR="00791979" w:rsidRPr="00F10680" w:rsidRDefault="00791979" w:rsidP="000D66AA">
            <w:pPr>
              <w:rPr>
                <w:rFonts w:ascii="Courier New" w:hAnsi="Courier New" w:cs="Courier New"/>
                <w:sz w:val="20"/>
                <w:szCs w:val="24"/>
              </w:rPr>
            </w:pPr>
            <w:r>
              <w:rPr>
                <w:rFonts w:ascii="Courier New" w:hAnsi="Courier New" w:cs="Courier New"/>
                <w:sz w:val="20"/>
              </w:rPr>
              <w:t>???</w:t>
            </w:r>
          </w:p>
        </w:tc>
        <w:tc>
          <w:tcPr>
            <w:tcW w:w="960" w:type="dxa"/>
            <w:vAlign w:val="center"/>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0.75</w:t>
            </w:r>
          </w:p>
        </w:tc>
        <w:tc>
          <w:tcPr>
            <w:tcW w:w="1755" w:type="dxa"/>
            <w:vAlign w:val="center"/>
            <w:hideMark/>
          </w:tcPr>
          <w:p w:rsidR="00791979" w:rsidRPr="00F10680" w:rsidRDefault="00791979" w:rsidP="000D66AA">
            <w:pPr>
              <w:rPr>
                <w:rFonts w:ascii="Courier New" w:hAnsi="Courier New" w:cs="Courier New"/>
                <w:sz w:val="20"/>
                <w:szCs w:val="24"/>
              </w:rPr>
            </w:pPr>
            <w:r w:rsidRPr="00F10680">
              <w:rPr>
                <w:rFonts w:ascii="Courier New" w:hAnsi="Courier New" w:cs="Courier New"/>
                <w:sz w:val="20"/>
              </w:rPr>
              <w:t>NULL</w:t>
            </w:r>
          </w:p>
        </w:tc>
      </w:tr>
    </w:tbl>
    <w:p w:rsidR="00111991" w:rsidRDefault="00EF3030" w:rsidP="00624CEB">
      <w:pPr>
        <w:pStyle w:val="Heading3"/>
      </w:pPr>
      <w:proofErr w:type="spellStart"/>
      <w:proofErr w:type="gramStart"/>
      <w:r>
        <w:t>tblRelatedValues</w:t>
      </w:r>
      <w:proofErr w:type="spellEnd"/>
      <w:proofErr w:type="gramEnd"/>
    </w:p>
    <w:p w:rsidR="00040742" w:rsidRDefault="003E39C1" w:rsidP="00040742">
      <w:proofErr w:type="gramStart"/>
      <w:r w:rsidRPr="003E39C1">
        <w:rPr>
          <w:i/>
        </w:rPr>
        <w:t xml:space="preserve">The different </w:t>
      </w:r>
      <w:r>
        <w:rPr>
          <w:i/>
        </w:rPr>
        <w:t>variations on</w:t>
      </w:r>
      <w:r w:rsidRPr="003E39C1">
        <w:rPr>
          <w:i/>
        </w:rPr>
        <w:t xml:space="preserve"> R.</w:t>
      </w:r>
      <w:proofErr w:type="gramEnd"/>
      <w:r w:rsidRPr="006F101C">
        <w:t xml:space="preserve">  </w:t>
      </w:r>
      <w:r w:rsidR="001836B6">
        <w:t>The markers for each pair are…</w:t>
      </w:r>
    </w:p>
    <w:p w:rsidR="001836B6" w:rsidRDefault="001836B6" w:rsidP="00040742">
      <w:r>
        <w:t xml:space="preserve">{See the description </w:t>
      </w:r>
      <w:r w:rsidR="00996201">
        <w:t xml:space="preserve">on pages 1-3 </w:t>
      </w:r>
      <w:r>
        <w:t>in the document ‘Status2011-09-13.docx’.</w:t>
      </w:r>
    </w:p>
    <w:p w:rsidR="001836B6" w:rsidRDefault="001836B6" w:rsidP="00040742"/>
    <w:p w:rsidR="00040742" w:rsidRDefault="00E839B2" w:rsidP="00E839B2">
      <w:pPr>
        <w:pStyle w:val="Heading1"/>
      </w:pPr>
      <w:r>
        <w:t>Tuning</w:t>
      </w:r>
    </w:p>
    <w:p w:rsidR="00996201" w:rsidRDefault="00996201" w:rsidP="00996201">
      <w:r>
        <w:t>{See the description on pages 3 in the document ‘Status2011-09-13.docx’.</w:t>
      </w:r>
    </w:p>
    <w:p w:rsidR="00996201" w:rsidRPr="00996201" w:rsidRDefault="00996201" w:rsidP="00996201"/>
    <w:p w:rsidR="00111991" w:rsidRDefault="00111991">
      <w:pPr>
        <w:spacing w:after="200" w:line="276" w:lineRule="auto"/>
      </w:pPr>
      <w:r>
        <w:br w:type="page"/>
      </w:r>
    </w:p>
    <w:p w:rsidR="00682628" w:rsidRPr="00682628" w:rsidRDefault="00682628" w:rsidP="008638E6"/>
    <w:p w:rsidR="008638E6" w:rsidRDefault="00B80F49" w:rsidP="008638E6">
      <w:pPr>
        <w:rPr>
          <w:color w:val="1F497D"/>
        </w:rPr>
      </w:pPr>
      <w:r>
        <w:rPr>
          <w:noProof/>
          <w:color w:val="1F497D"/>
        </w:rPr>
        <w:drawing>
          <wp:inline distT="0" distB="0" distL="0" distR="0">
            <wp:extent cx="4572000" cy="34536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53669"/>
                    </a:xfrm>
                    <a:prstGeom prst="rect">
                      <a:avLst/>
                    </a:prstGeom>
                    <a:noFill/>
                    <a:ln>
                      <a:noFill/>
                    </a:ln>
                  </pic:spPr>
                </pic:pic>
              </a:graphicData>
            </a:graphic>
          </wp:inline>
        </w:drawing>
      </w:r>
    </w:p>
    <w:p w:rsidR="008638E6" w:rsidRDefault="008638E6" w:rsidP="008638E6">
      <w:pPr>
        <w:rPr>
          <w:color w:val="1F497D"/>
        </w:rPr>
      </w:pPr>
    </w:p>
    <w:p w:rsidR="008638E6" w:rsidRDefault="008F42B7" w:rsidP="008638E6">
      <w:pPr>
        <w:rPr>
          <w:color w:val="1F497D"/>
        </w:rPr>
      </w:pPr>
      <w:r>
        <w:rPr>
          <w:noProof/>
          <w:color w:val="1F497D"/>
        </w:rPr>
        <w:drawing>
          <wp:inline distT="0" distB="0" distL="0" distR="0">
            <wp:extent cx="4572000" cy="393792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937927"/>
                    </a:xfrm>
                    <a:prstGeom prst="rect">
                      <a:avLst/>
                    </a:prstGeom>
                    <a:noFill/>
                    <a:ln>
                      <a:noFill/>
                    </a:ln>
                  </pic:spPr>
                </pic:pic>
              </a:graphicData>
            </a:graphic>
          </wp:inline>
        </w:drawing>
      </w:r>
    </w:p>
    <w:p w:rsidR="008638E6" w:rsidRDefault="00212837" w:rsidP="008638E6">
      <w:pPr>
        <w:rPr>
          <w:color w:val="1F497D"/>
        </w:rPr>
      </w:pPr>
      <w:r>
        <w:rPr>
          <w:noProof/>
          <w:color w:val="1F497D"/>
        </w:rPr>
        <w:lastRenderedPageBreak/>
        <w:drawing>
          <wp:inline distT="0" distB="0" distL="0" distR="0">
            <wp:extent cx="8229600" cy="5960341"/>
            <wp:effectExtent l="0" t="8255"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229600" cy="5960341"/>
                    </a:xfrm>
                    <a:prstGeom prst="rect">
                      <a:avLst/>
                    </a:prstGeom>
                    <a:noFill/>
                    <a:ln>
                      <a:noFill/>
                    </a:ln>
                  </pic:spPr>
                </pic:pic>
              </a:graphicData>
            </a:graphic>
          </wp:inline>
        </w:drawing>
      </w:r>
    </w:p>
    <w:p w:rsidR="008638E6" w:rsidRDefault="008638E6" w:rsidP="008638E6">
      <w:pPr>
        <w:rPr>
          <w:color w:val="1F497D"/>
        </w:rPr>
      </w:pPr>
    </w:p>
    <w:p w:rsidR="008638E6" w:rsidRDefault="008638E6" w:rsidP="008638E6">
      <w:pPr>
        <w:rPr>
          <w:color w:val="1F497D"/>
        </w:rPr>
      </w:pPr>
    </w:p>
    <w:p w:rsidR="008638E6" w:rsidRDefault="008638E6" w:rsidP="008638E6">
      <w:pPr>
        <w:rPr>
          <w:color w:val="1F497D"/>
        </w:rPr>
      </w:pPr>
    </w:p>
    <w:p w:rsidR="008638E6" w:rsidRDefault="008638E6" w:rsidP="008638E6">
      <w:pPr>
        <w:rPr>
          <w:color w:val="1F497D"/>
        </w:rPr>
      </w:pPr>
      <w:proofErr w:type="spellStart"/>
      <w:proofErr w:type="gramStart"/>
      <w:r>
        <w:rPr>
          <w:color w:val="1F497D"/>
        </w:rPr>
        <w:t>tblItem</w:t>
      </w:r>
      <w:proofErr w:type="spellEnd"/>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061"/>
        <w:gridCol w:w="661"/>
        <w:gridCol w:w="1021"/>
        <w:gridCol w:w="916"/>
      </w:tblGrid>
      <w:tr w:rsidR="00040742" w:rsidRPr="00996201" w:rsidTr="00996201">
        <w:trPr>
          <w:tblCellSpacing w:w="15" w:type="dxa"/>
        </w:trPr>
        <w:tc>
          <w:tcPr>
            <w:tcW w:w="0" w:type="auto"/>
            <w:vAlign w:val="bottom"/>
            <w:hideMark/>
          </w:tcPr>
          <w:p w:rsidR="00040742" w:rsidRPr="00996201" w:rsidRDefault="00040742" w:rsidP="00996201">
            <w:pPr>
              <w:jc w:val="center"/>
              <w:rPr>
                <w:rFonts w:ascii="Courier New" w:eastAsia="Times New Roman" w:hAnsi="Courier New" w:cs="Courier New"/>
                <w:color w:val="auto"/>
                <w:sz w:val="20"/>
                <w:szCs w:val="20"/>
                <w:u w:val="single"/>
              </w:rPr>
            </w:pPr>
            <w:r w:rsidRPr="00996201">
              <w:rPr>
                <w:rFonts w:ascii="Courier New" w:eastAsia="Times New Roman" w:hAnsi="Courier New" w:cs="Courier New"/>
                <w:color w:val="auto"/>
                <w:sz w:val="20"/>
                <w:szCs w:val="20"/>
                <w:u w:val="single"/>
              </w:rPr>
              <w:t>ID</w:t>
            </w:r>
          </w:p>
        </w:tc>
        <w:tc>
          <w:tcPr>
            <w:tcW w:w="0" w:type="auto"/>
            <w:vAlign w:val="bottom"/>
            <w:hideMark/>
          </w:tcPr>
          <w:p w:rsidR="00040742" w:rsidRPr="00996201" w:rsidRDefault="00040742" w:rsidP="00996201">
            <w:pPr>
              <w:jc w:val="center"/>
              <w:rPr>
                <w:rFonts w:ascii="Courier New" w:eastAsia="Times New Roman" w:hAnsi="Courier New" w:cs="Courier New"/>
                <w:color w:val="auto"/>
                <w:sz w:val="20"/>
                <w:szCs w:val="20"/>
                <w:u w:val="single"/>
              </w:rPr>
            </w:pPr>
            <w:r w:rsidRPr="00996201">
              <w:rPr>
                <w:rFonts w:ascii="Courier New" w:eastAsia="Times New Roman" w:hAnsi="Courier New" w:cs="Courier New"/>
                <w:color w:val="auto"/>
                <w:sz w:val="20"/>
                <w:szCs w:val="20"/>
                <w:u w:val="single"/>
              </w:rPr>
              <w:t>Label</w:t>
            </w:r>
          </w:p>
        </w:tc>
        <w:tc>
          <w:tcPr>
            <w:tcW w:w="0" w:type="auto"/>
            <w:vAlign w:val="bottom"/>
            <w:hideMark/>
          </w:tcPr>
          <w:p w:rsidR="00040742" w:rsidRPr="00996201" w:rsidRDefault="00040742" w:rsidP="00996201">
            <w:pPr>
              <w:jc w:val="center"/>
              <w:rPr>
                <w:rFonts w:ascii="Courier New" w:eastAsia="Times New Roman" w:hAnsi="Courier New" w:cs="Courier New"/>
                <w:color w:val="auto"/>
                <w:sz w:val="20"/>
                <w:szCs w:val="20"/>
                <w:u w:val="single"/>
              </w:rPr>
            </w:pPr>
            <w:r w:rsidRPr="00996201">
              <w:rPr>
                <w:rFonts w:ascii="Courier New" w:eastAsia="Times New Roman" w:hAnsi="Courier New" w:cs="Courier New"/>
                <w:color w:val="auto"/>
                <w:sz w:val="20"/>
                <w:szCs w:val="20"/>
                <w:u w:val="single"/>
              </w:rPr>
              <w:t>Min</w:t>
            </w:r>
            <w:r w:rsidRPr="00996201">
              <w:rPr>
                <w:rFonts w:ascii="Courier New" w:eastAsia="Times New Roman" w:hAnsi="Courier New" w:cs="Courier New"/>
                <w:color w:val="auto"/>
                <w:sz w:val="20"/>
                <w:szCs w:val="20"/>
                <w:u w:val="single"/>
              </w:rPr>
              <w:br/>
              <w:t>Value</w:t>
            </w:r>
          </w:p>
        </w:tc>
        <w:tc>
          <w:tcPr>
            <w:tcW w:w="0" w:type="auto"/>
            <w:vAlign w:val="bottom"/>
            <w:hideMark/>
          </w:tcPr>
          <w:p w:rsidR="00040742" w:rsidRPr="00996201" w:rsidRDefault="00040742" w:rsidP="00996201">
            <w:pPr>
              <w:jc w:val="center"/>
              <w:rPr>
                <w:rFonts w:ascii="Courier New" w:eastAsia="Times New Roman" w:hAnsi="Courier New" w:cs="Courier New"/>
                <w:color w:val="auto"/>
                <w:sz w:val="20"/>
                <w:szCs w:val="20"/>
                <w:u w:val="single"/>
              </w:rPr>
            </w:pPr>
            <w:r w:rsidRPr="00996201">
              <w:rPr>
                <w:rFonts w:ascii="Courier New" w:eastAsia="Times New Roman" w:hAnsi="Courier New" w:cs="Courier New"/>
                <w:color w:val="auto"/>
                <w:sz w:val="20"/>
                <w:szCs w:val="20"/>
                <w:u w:val="single"/>
              </w:rPr>
              <w:t>Min</w:t>
            </w:r>
            <w:r w:rsidRPr="00996201">
              <w:rPr>
                <w:rFonts w:ascii="Courier New" w:eastAsia="Times New Roman" w:hAnsi="Courier New" w:cs="Courier New"/>
                <w:color w:val="auto"/>
                <w:sz w:val="20"/>
                <w:szCs w:val="20"/>
                <w:u w:val="single"/>
              </w:rPr>
              <w:br/>
              <w:t>Non</w:t>
            </w:r>
            <w:r w:rsidRPr="00996201">
              <w:rPr>
                <w:rFonts w:ascii="Courier New" w:eastAsia="Times New Roman" w:hAnsi="Courier New" w:cs="Courier New"/>
                <w:color w:val="auto"/>
                <w:sz w:val="20"/>
                <w:szCs w:val="20"/>
                <w:u w:val="single"/>
              </w:rPr>
              <w:br/>
              <w:t>Negative</w:t>
            </w:r>
          </w:p>
        </w:tc>
        <w:tc>
          <w:tcPr>
            <w:tcW w:w="0" w:type="auto"/>
            <w:vAlign w:val="bottom"/>
            <w:hideMark/>
          </w:tcPr>
          <w:p w:rsidR="00040742" w:rsidRPr="00996201" w:rsidRDefault="00040742" w:rsidP="00996201">
            <w:pPr>
              <w:jc w:val="center"/>
              <w:rPr>
                <w:rFonts w:ascii="Courier New" w:eastAsia="Times New Roman" w:hAnsi="Courier New" w:cs="Courier New"/>
                <w:color w:val="auto"/>
                <w:sz w:val="20"/>
                <w:szCs w:val="20"/>
                <w:u w:val="single"/>
              </w:rPr>
            </w:pPr>
            <w:r w:rsidRPr="00996201">
              <w:rPr>
                <w:rFonts w:ascii="Courier New" w:eastAsia="Times New Roman" w:hAnsi="Courier New" w:cs="Courier New"/>
                <w:color w:val="auto"/>
                <w:sz w:val="20"/>
                <w:szCs w:val="20"/>
                <w:u w:val="single"/>
              </w:rPr>
              <w:t>Max</w:t>
            </w:r>
            <w:r w:rsidRPr="00996201">
              <w:rPr>
                <w:rFonts w:ascii="Courier New" w:eastAsia="Times New Roman" w:hAnsi="Courier New" w:cs="Courier New"/>
                <w:color w:val="auto"/>
                <w:sz w:val="20"/>
                <w:szCs w:val="20"/>
                <w:u w:val="single"/>
              </w:rPr>
              <w:br/>
              <w:t>Value</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IDOfOther1979RosterGen1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12557</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RosterGen11979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66</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IDCodeOfOtherSiblingGen1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12518</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ShareBiomomGen1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6</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ShareBiodadGen1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9</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IDCodeOfOtherInterviewedBiodadGen2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11</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ShareBiodadGen2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Gen1MomOfGen2Subject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12675</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DateOfBirthMonth</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12</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DateOfBirthYearGen1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65</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DateOfBirthYearGen2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1970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2010</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16</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AgeAtInterviewDateYears</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52</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AgeAtInterviewDateMonths</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259</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InterviewDateDay</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31</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InterviewDateMonth</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12</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InterviewDateYear</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86</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2010</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MotherOrBothInHHGen2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40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FatherHasAsthmaGen2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48</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BioKidCountGen1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11</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49</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Gen1ChildsIDByBirthOrder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11</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HerTwinsTripsAreListed</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HerTwinsAreMz</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HerTripsAreMz</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HerTwinsMistakenForEachOther</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HerTripsMistakenForEachOther</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60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BirthOrderInNlsGen2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11</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63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SiblingCountTotalFen1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29</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64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BioKidCountGen2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11</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66</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OlderSiblingsTotalCountGen1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27</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81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BabyDaddyInHHGen1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82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BabyDaddyAliveGen1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83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BabyDaddyEverLiveInHH</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84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BabyDaddyLeftHHMonth</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12</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85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BabyDaddyLeftHHYearFourDigit</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1958</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2010</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86</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BabyDaddyDeathMonth</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12</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87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BabyDaddyDeathYearTwoDigit</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61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93</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88</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BabyDaddyDeathYearFourDigit</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1961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2010</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89</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BabyDaddyDistanceFromMotherFuzzyCeiling</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lastRenderedPageBreak/>
              <w:t>90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BabyDaddyHasAsthmaGen1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91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BabyDaddyLeftHHMonthOrNeverInHH</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96</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92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BabyDaddyLeftHHYearTwoDigit</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96</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100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SubjectID</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1267501</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101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proofErr w:type="spellStart"/>
            <w:r w:rsidRPr="00040742">
              <w:rPr>
                <w:rFonts w:ascii="Courier New" w:eastAsia="Times New Roman" w:hAnsi="Courier New" w:cs="Courier New"/>
                <w:color w:val="auto"/>
                <w:sz w:val="20"/>
                <w:szCs w:val="20"/>
              </w:rPr>
              <w:t>ExtendedFamilyID</w:t>
            </w:r>
            <w:proofErr w:type="spellEnd"/>
            <w:r w:rsidRPr="00040742">
              <w:rPr>
                <w:rFonts w:ascii="Courier New" w:eastAsia="Times New Roman" w:hAnsi="Courier New" w:cs="Courier New"/>
                <w:color w:val="auto"/>
                <w:sz w:val="20"/>
                <w:szCs w:val="20"/>
              </w:rPr>
              <w:t xml:space="preser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12686</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121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Gen2CFatherLivingInHH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122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Gen2CFatherAlive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123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Gen2CFatherDistanceFromMotherFuzzyCeiling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125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Gen2CFatherAsthma_NOTUSED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141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Gen2YAFatherInHH_NOTUSED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142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Gen2YAFatherAlive_NOTUSED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143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Gen2YADeathMonth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12</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144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Gen2YADeathYearFourDigit                          </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1978</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2010</w:t>
            </w:r>
          </w:p>
        </w:tc>
      </w:tr>
    </w:tbl>
    <w:p w:rsidR="008638E6" w:rsidRDefault="008638E6" w:rsidP="008638E6">
      <w:pPr>
        <w:rPr>
          <w:color w:val="1F497D"/>
        </w:rPr>
      </w:pPr>
    </w:p>
    <w:p w:rsidR="00040742" w:rsidRDefault="00040742" w:rsidP="008638E6">
      <w:pPr>
        <w:rPr>
          <w:color w:val="1F497D"/>
        </w:rPr>
      </w:pPr>
    </w:p>
    <w:p w:rsidR="00040742" w:rsidRDefault="00040742" w:rsidP="008638E6">
      <w:pPr>
        <w:rPr>
          <w:color w:val="1F497D"/>
        </w:rPr>
      </w:pPr>
    </w:p>
    <w:p w:rsidR="00040742" w:rsidRDefault="00040742" w:rsidP="008638E6">
      <w:pPr>
        <w:rPr>
          <w:color w:val="1F497D"/>
        </w:rPr>
      </w:pPr>
    </w:p>
    <w:p w:rsidR="008638E6" w:rsidRDefault="008638E6" w:rsidP="008638E6">
      <w:pPr>
        <w:rPr>
          <w:color w:val="1F497D"/>
        </w:rPr>
      </w:pPr>
      <w:proofErr w:type="spellStart"/>
      <w:proofErr w:type="gramStart"/>
      <w:r>
        <w:rPr>
          <w:color w:val="1F497D"/>
        </w:rPr>
        <w:t>tblVariable</w:t>
      </w:r>
      <w:proofErr w:type="spellEnd"/>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21"/>
        <w:gridCol w:w="541"/>
        <w:gridCol w:w="1261"/>
        <w:gridCol w:w="901"/>
        <w:gridCol w:w="781"/>
        <w:gridCol w:w="781"/>
        <w:gridCol w:w="661"/>
        <w:gridCol w:w="1141"/>
        <w:gridCol w:w="676"/>
      </w:tblGrid>
      <w:tr w:rsidR="00040742" w:rsidRPr="00996201" w:rsidTr="00996201">
        <w:trPr>
          <w:tblCellSpacing w:w="15" w:type="dxa"/>
        </w:trPr>
        <w:tc>
          <w:tcPr>
            <w:tcW w:w="0" w:type="auto"/>
            <w:vAlign w:val="bottom"/>
            <w:hideMark/>
          </w:tcPr>
          <w:p w:rsidR="00040742" w:rsidRPr="00996201" w:rsidRDefault="00040742" w:rsidP="00996201">
            <w:pPr>
              <w:jc w:val="center"/>
              <w:rPr>
                <w:rFonts w:ascii="Courier New" w:eastAsia="Times New Roman" w:hAnsi="Courier New" w:cs="Courier New"/>
                <w:color w:val="auto"/>
                <w:sz w:val="20"/>
                <w:szCs w:val="20"/>
                <w:u w:val="single"/>
              </w:rPr>
            </w:pPr>
            <w:r w:rsidRPr="00996201">
              <w:rPr>
                <w:rFonts w:ascii="Courier New" w:eastAsia="Times New Roman" w:hAnsi="Courier New" w:cs="Courier New"/>
                <w:color w:val="auto"/>
                <w:sz w:val="20"/>
                <w:szCs w:val="20"/>
                <w:u w:val="single"/>
              </w:rPr>
              <w:t>ID</w:t>
            </w:r>
          </w:p>
        </w:tc>
        <w:tc>
          <w:tcPr>
            <w:tcW w:w="0" w:type="auto"/>
            <w:vAlign w:val="bottom"/>
            <w:hideMark/>
          </w:tcPr>
          <w:p w:rsidR="00040742" w:rsidRPr="00996201" w:rsidRDefault="00040742" w:rsidP="00996201">
            <w:pPr>
              <w:jc w:val="center"/>
              <w:rPr>
                <w:rFonts w:ascii="Courier New" w:eastAsia="Times New Roman" w:hAnsi="Courier New" w:cs="Courier New"/>
                <w:color w:val="auto"/>
                <w:sz w:val="20"/>
                <w:szCs w:val="20"/>
                <w:u w:val="single"/>
              </w:rPr>
            </w:pPr>
            <w:r w:rsidRPr="00996201">
              <w:rPr>
                <w:rFonts w:ascii="Courier New" w:eastAsia="Times New Roman" w:hAnsi="Courier New" w:cs="Courier New"/>
                <w:color w:val="auto"/>
                <w:sz w:val="20"/>
                <w:szCs w:val="20"/>
                <w:u w:val="single"/>
              </w:rPr>
              <w:t>Variable</w:t>
            </w:r>
            <w:r w:rsidRPr="00996201">
              <w:rPr>
                <w:rFonts w:ascii="Courier New" w:eastAsia="Times New Roman" w:hAnsi="Courier New" w:cs="Courier New"/>
                <w:color w:val="auto"/>
                <w:sz w:val="20"/>
                <w:szCs w:val="20"/>
                <w:u w:val="single"/>
              </w:rPr>
              <w:br/>
              <w:t>Code</w:t>
            </w:r>
          </w:p>
        </w:tc>
        <w:tc>
          <w:tcPr>
            <w:tcW w:w="0" w:type="auto"/>
            <w:vAlign w:val="bottom"/>
            <w:hideMark/>
          </w:tcPr>
          <w:p w:rsidR="00040742" w:rsidRPr="00996201" w:rsidRDefault="00040742" w:rsidP="00996201">
            <w:pPr>
              <w:jc w:val="center"/>
              <w:rPr>
                <w:rFonts w:ascii="Courier New" w:eastAsia="Times New Roman" w:hAnsi="Courier New" w:cs="Courier New"/>
                <w:color w:val="auto"/>
                <w:sz w:val="20"/>
                <w:szCs w:val="20"/>
                <w:u w:val="single"/>
              </w:rPr>
            </w:pPr>
            <w:r w:rsidRPr="00996201">
              <w:rPr>
                <w:rFonts w:ascii="Courier New" w:eastAsia="Times New Roman" w:hAnsi="Courier New" w:cs="Courier New"/>
                <w:color w:val="auto"/>
                <w:sz w:val="20"/>
                <w:szCs w:val="20"/>
                <w:u w:val="single"/>
              </w:rPr>
              <w:t>Item</w:t>
            </w:r>
          </w:p>
        </w:tc>
        <w:tc>
          <w:tcPr>
            <w:tcW w:w="0" w:type="auto"/>
            <w:vAlign w:val="bottom"/>
            <w:hideMark/>
          </w:tcPr>
          <w:p w:rsidR="00040742" w:rsidRPr="00996201" w:rsidRDefault="00040742" w:rsidP="00996201">
            <w:pPr>
              <w:jc w:val="center"/>
              <w:rPr>
                <w:rFonts w:ascii="Courier New" w:eastAsia="Times New Roman" w:hAnsi="Courier New" w:cs="Courier New"/>
                <w:color w:val="auto"/>
                <w:sz w:val="20"/>
                <w:szCs w:val="20"/>
                <w:u w:val="single"/>
              </w:rPr>
            </w:pPr>
            <w:r w:rsidRPr="00996201">
              <w:rPr>
                <w:rFonts w:ascii="Courier New" w:eastAsia="Times New Roman" w:hAnsi="Courier New" w:cs="Courier New"/>
                <w:color w:val="auto"/>
                <w:sz w:val="20"/>
                <w:szCs w:val="20"/>
                <w:u w:val="single"/>
              </w:rPr>
              <w:t>Generation</w:t>
            </w:r>
          </w:p>
        </w:tc>
        <w:tc>
          <w:tcPr>
            <w:tcW w:w="0" w:type="auto"/>
            <w:vAlign w:val="bottom"/>
            <w:hideMark/>
          </w:tcPr>
          <w:p w:rsidR="00040742" w:rsidRPr="00996201" w:rsidRDefault="00040742" w:rsidP="00996201">
            <w:pPr>
              <w:jc w:val="center"/>
              <w:rPr>
                <w:rFonts w:ascii="Courier New" w:eastAsia="Times New Roman" w:hAnsi="Courier New" w:cs="Courier New"/>
                <w:color w:val="auto"/>
                <w:sz w:val="20"/>
                <w:szCs w:val="20"/>
                <w:u w:val="single"/>
              </w:rPr>
            </w:pPr>
            <w:r w:rsidRPr="00996201">
              <w:rPr>
                <w:rFonts w:ascii="Courier New" w:eastAsia="Times New Roman" w:hAnsi="Courier New" w:cs="Courier New"/>
                <w:color w:val="auto"/>
                <w:sz w:val="20"/>
                <w:szCs w:val="20"/>
                <w:u w:val="single"/>
              </w:rPr>
              <w:t>Extract</w:t>
            </w:r>
            <w:r w:rsidRPr="00996201">
              <w:rPr>
                <w:rFonts w:ascii="Courier New" w:eastAsia="Times New Roman" w:hAnsi="Courier New" w:cs="Courier New"/>
                <w:color w:val="auto"/>
                <w:sz w:val="20"/>
                <w:szCs w:val="20"/>
                <w:u w:val="single"/>
              </w:rPr>
              <w:br/>
              <w:t>Source</w:t>
            </w:r>
          </w:p>
        </w:tc>
        <w:tc>
          <w:tcPr>
            <w:tcW w:w="0" w:type="auto"/>
            <w:vAlign w:val="bottom"/>
            <w:hideMark/>
          </w:tcPr>
          <w:p w:rsidR="00040742" w:rsidRPr="00996201" w:rsidRDefault="00040742" w:rsidP="00996201">
            <w:pPr>
              <w:jc w:val="center"/>
              <w:rPr>
                <w:rFonts w:ascii="Courier New" w:eastAsia="Times New Roman" w:hAnsi="Courier New" w:cs="Courier New"/>
                <w:color w:val="auto"/>
                <w:sz w:val="20"/>
                <w:szCs w:val="20"/>
                <w:u w:val="single"/>
              </w:rPr>
            </w:pPr>
            <w:r w:rsidRPr="00996201">
              <w:rPr>
                <w:rFonts w:ascii="Courier New" w:eastAsia="Times New Roman" w:hAnsi="Courier New" w:cs="Courier New"/>
                <w:color w:val="auto"/>
                <w:sz w:val="20"/>
                <w:szCs w:val="20"/>
                <w:u w:val="single"/>
              </w:rPr>
              <w:t>Survey</w:t>
            </w:r>
            <w:r w:rsidRPr="00996201">
              <w:rPr>
                <w:rFonts w:ascii="Courier New" w:eastAsia="Times New Roman" w:hAnsi="Courier New" w:cs="Courier New"/>
                <w:color w:val="auto"/>
                <w:sz w:val="20"/>
                <w:szCs w:val="20"/>
                <w:u w:val="single"/>
              </w:rPr>
              <w:br/>
              <w:t>Source</w:t>
            </w:r>
          </w:p>
        </w:tc>
        <w:tc>
          <w:tcPr>
            <w:tcW w:w="0" w:type="auto"/>
            <w:vAlign w:val="bottom"/>
            <w:hideMark/>
          </w:tcPr>
          <w:p w:rsidR="00040742" w:rsidRPr="00996201" w:rsidRDefault="00040742" w:rsidP="00996201">
            <w:pPr>
              <w:jc w:val="center"/>
              <w:rPr>
                <w:rFonts w:ascii="Courier New" w:eastAsia="Times New Roman" w:hAnsi="Courier New" w:cs="Courier New"/>
                <w:color w:val="auto"/>
                <w:sz w:val="20"/>
                <w:szCs w:val="20"/>
                <w:u w:val="single"/>
              </w:rPr>
            </w:pPr>
            <w:r w:rsidRPr="00996201">
              <w:rPr>
                <w:rFonts w:ascii="Courier New" w:eastAsia="Times New Roman" w:hAnsi="Courier New" w:cs="Courier New"/>
                <w:color w:val="auto"/>
                <w:sz w:val="20"/>
                <w:szCs w:val="20"/>
                <w:u w:val="single"/>
              </w:rPr>
              <w:t>Survey</w:t>
            </w:r>
            <w:r w:rsidRPr="00996201">
              <w:rPr>
                <w:rFonts w:ascii="Courier New" w:eastAsia="Times New Roman" w:hAnsi="Courier New" w:cs="Courier New"/>
                <w:color w:val="auto"/>
                <w:sz w:val="20"/>
                <w:szCs w:val="20"/>
                <w:u w:val="single"/>
              </w:rPr>
              <w:br/>
              <w:t>Year</w:t>
            </w:r>
          </w:p>
        </w:tc>
        <w:tc>
          <w:tcPr>
            <w:tcW w:w="0" w:type="auto"/>
            <w:vAlign w:val="bottom"/>
            <w:hideMark/>
          </w:tcPr>
          <w:p w:rsidR="00040742" w:rsidRPr="00996201" w:rsidRDefault="00040742" w:rsidP="00996201">
            <w:pPr>
              <w:jc w:val="center"/>
              <w:rPr>
                <w:rFonts w:ascii="Courier New" w:eastAsia="Times New Roman" w:hAnsi="Courier New" w:cs="Courier New"/>
                <w:color w:val="auto"/>
                <w:sz w:val="20"/>
                <w:szCs w:val="20"/>
                <w:u w:val="single"/>
              </w:rPr>
            </w:pPr>
            <w:r w:rsidRPr="00996201">
              <w:rPr>
                <w:rFonts w:ascii="Courier New" w:eastAsia="Times New Roman" w:hAnsi="Courier New" w:cs="Courier New"/>
                <w:color w:val="auto"/>
                <w:sz w:val="20"/>
                <w:szCs w:val="20"/>
                <w:u w:val="single"/>
              </w:rPr>
              <w:t>Loop</w:t>
            </w:r>
            <w:r w:rsidRPr="00996201">
              <w:rPr>
                <w:rFonts w:ascii="Courier New" w:eastAsia="Times New Roman" w:hAnsi="Courier New" w:cs="Courier New"/>
                <w:color w:val="auto"/>
                <w:sz w:val="20"/>
                <w:szCs w:val="20"/>
                <w:u w:val="single"/>
              </w:rPr>
              <w:br/>
              <w:t>Index</w:t>
            </w:r>
          </w:p>
        </w:tc>
        <w:tc>
          <w:tcPr>
            <w:tcW w:w="0" w:type="auto"/>
            <w:vAlign w:val="bottom"/>
            <w:hideMark/>
          </w:tcPr>
          <w:p w:rsidR="00040742" w:rsidRPr="00996201" w:rsidRDefault="00040742" w:rsidP="00996201">
            <w:pPr>
              <w:jc w:val="center"/>
              <w:rPr>
                <w:rFonts w:ascii="Courier New" w:eastAsia="Times New Roman" w:hAnsi="Courier New" w:cs="Courier New"/>
                <w:color w:val="auto"/>
                <w:sz w:val="20"/>
                <w:szCs w:val="20"/>
                <w:u w:val="single"/>
              </w:rPr>
            </w:pPr>
            <w:r w:rsidRPr="00996201">
              <w:rPr>
                <w:rFonts w:ascii="Courier New" w:eastAsia="Times New Roman" w:hAnsi="Courier New" w:cs="Courier New"/>
                <w:color w:val="auto"/>
                <w:sz w:val="20"/>
                <w:szCs w:val="20"/>
                <w:u w:val="single"/>
              </w:rPr>
              <w:t>Translate</w:t>
            </w:r>
          </w:p>
        </w:tc>
        <w:tc>
          <w:tcPr>
            <w:tcW w:w="0" w:type="auto"/>
            <w:vAlign w:val="bottom"/>
            <w:hideMark/>
          </w:tcPr>
          <w:p w:rsidR="00040742" w:rsidRPr="00996201" w:rsidRDefault="00040742" w:rsidP="00996201">
            <w:pPr>
              <w:jc w:val="center"/>
              <w:rPr>
                <w:rFonts w:ascii="Courier New" w:eastAsia="Times New Roman" w:hAnsi="Courier New" w:cs="Courier New"/>
                <w:color w:val="auto"/>
                <w:sz w:val="20"/>
                <w:szCs w:val="20"/>
                <w:u w:val="single"/>
              </w:rPr>
            </w:pPr>
            <w:r w:rsidRPr="00996201">
              <w:rPr>
                <w:rFonts w:ascii="Courier New" w:eastAsia="Times New Roman" w:hAnsi="Courier New" w:cs="Courier New"/>
                <w:color w:val="auto"/>
                <w:sz w:val="20"/>
                <w:szCs w:val="20"/>
                <w:u w:val="single"/>
              </w:rPr>
              <w:t>Notes</w:t>
            </w:r>
          </w:p>
        </w:tc>
      </w:tr>
      <w:tr w:rsidR="00040742" w:rsidRPr="00040742" w:rsidTr="00040742">
        <w:trPr>
          <w:tblCellSpacing w:w="15" w:type="dxa"/>
        </w:trPr>
        <w:tc>
          <w:tcPr>
            <w:tcW w:w="0" w:type="auto"/>
            <w:vAlign w:val="center"/>
          </w:tcPr>
          <w:p w:rsidR="00040742" w:rsidRPr="00040742" w:rsidRDefault="00040742" w:rsidP="0011253B">
            <w:pPr>
              <w:rPr>
                <w:rFonts w:ascii="Courier New" w:eastAsia="Times New Roman" w:hAnsi="Courier New" w:cs="Courier New"/>
                <w:color w:val="auto"/>
                <w:sz w:val="20"/>
                <w:szCs w:val="20"/>
              </w:rPr>
            </w:pPr>
          </w:p>
        </w:tc>
        <w:tc>
          <w:tcPr>
            <w:tcW w:w="0" w:type="auto"/>
            <w:vAlign w:val="center"/>
          </w:tcPr>
          <w:p w:rsidR="00040742" w:rsidRPr="00040742" w:rsidRDefault="00040742" w:rsidP="0011253B">
            <w:pPr>
              <w:rPr>
                <w:rFonts w:ascii="Courier New" w:eastAsia="Times New Roman" w:hAnsi="Courier New" w:cs="Courier New"/>
                <w:color w:val="auto"/>
                <w:sz w:val="20"/>
                <w:szCs w:val="20"/>
              </w:rPr>
            </w:pPr>
            <w:r>
              <w:rPr>
                <w:rFonts w:ascii="Courier New" w:eastAsia="Times New Roman" w:hAnsi="Courier New" w:cs="Courier New"/>
                <w:color w:val="auto"/>
                <w:sz w:val="20"/>
                <w:szCs w:val="20"/>
              </w:rPr>
              <w:t>…</w:t>
            </w:r>
          </w:p>
        </w:tc>
        <w:tc>
          <w:tcPr>
            <w:tcW w:w="0" w:type="auto"/>
            <w:vAlign w:val="center"/>
          </w:tcPr>
          <w:p w:rsidR="00040742" w:rsidRPr="00040742" w:rsidRDefault="00040742" w:rsidP="0011253B">
            <w:pPr>
              <w:rPr>
                <w:rFonts w:ascii="Courier New" w:eastAsia="Times New Roman" w:hAnsi="Courier New" w:cs="Courier New"/>
                <w:color w:val="auto"/>
                <w:sz w:val="20"/>
                <w:szCs w:val="20"/>
              </w:rPr>
            </w:pPr>
          </w:p>
        </w:tc>
        <w:tc>
          <w:tcPr>
            <w:tcW w:w="0" w:type="auto"/>
            <w:vAlign w:val="center"/>
          </w:tcPr>
          <w:p w:rsidR="00040742" w:rsidRPr="00040742" w:rsidRDefault="00040742" w:rsidP="0011253B">
            <w:pPr>
              <w:rPr>
                <w:rFonts w:ascii="Courier New" w:eastAsia="Times New Roman" w:hAnsi="Courier New" w:cs="Courier New"/>
                <w:color w:val="auto"/>
                <w:sz w:val="20"/>
                <w:szCs w:val="20"/>
              </w:rPr>
            </w:pPr>
          </w:p>
        </w:tc>
        <w:tc>
          <w:tcPr>
            <w:tcW w:w="0" w:type="auto"/>
            <w:vAlign w:val="center"/>
          </w:tcPr>
          <w:p w:rsidR="00040742" w:rsidRPr="00040742" w:rsidRDefault="00040742" w:rsidP="0011253B">
            <w:pPr>
              <w:rPr>
                <w:rFonts w:ascii="Courier New" w:eastAsia="Times New Roman" w:hAnsi="Courier New" w:cs="Courier New"/>
                <w:color w:val="auto"/>
                <w:sz w:val="20"/>
                <w:szCs w:val="20"/>
              </w:rPr>
            </w:pPr>
          </w:p>
        </w:tc>
        <w:tc>
          <w:tcPr>
            <w:tcW w:w="0" w:type="auto"/>
            <w:vAlign w:val="center"/>
          </w:tcPr>
          <w:p w:rsidR="00040742" w:rsidRPr="00040742" w:rsidRDefault="00040742" w:rsidP="0011253B">
            <w:pPr>
              <w:rPr>
                <w:rFonts w:ascii="Courier New" w:eastAsia="Times New Roman" w:hAnsi="Courier New" w:cs="Courier New"/>
                <w:color w:val="auto"/>
                <w:sz w:val="20"/>
                <w:szCs w:val="20"/>
              </w:rPr>
            </w:pPr>
          </w:p>
        </w:tc>
        <w:tc>
          <w:tcPr>
            <w:tcW w:w="0" w:type="auto"/>
            <w:vAlign w:val="center"/>
          </w:tcPr>
          <w:p w:rsidR="00040742" w:rsidRPr="00040742" w:rsidRDefault="00040742" w:rsidP="0011253B">
            <w:pPr>
              <w:rPr>
                <w:rFonts w:ascii="Courier New" w:eastAsia="Times New Roman" w:hAnsi="Courier New" w:cs="Courier New"/>
                <w:color w:val="auto"/>
                <w:sz w:val="20"/>
                <w:szCs w:val="20"/>
              </w:rPr>
            </w:pPr>
          </w:p>
        </w:tc>
        <w:tc>
          <w:tcPr>
            <w:tcW w:w="0" w:type="auto"/>
            <w:vAlign w:val="center"/>
          </w:tcPr>
          <w:p w:rsidR="00040742" w:rsidRPr="00040742" w:rsidRDefault="00040742" w:rsidP="0011253B">
            <w:pPr>
              <w:rPr>
                <w:rFonts w:ascii="Courier New" w:eastAsia="Times New Roman" w:hAnsi="Courier New" w:cs="Courier New"/>
                <w:color w:val="auto"/>
                <w:sz w:val="20"/>
                <w:szCs w:val="20"/>
              </w:rPr>
            </w:pPr>
          </w:p>
        </w:tc>
        <w:tc>
          <w:tcPr>
            <w:tcW w:w="0" w:type="auto"/>
            <w:vAlign w:val="center"/>
          </w:tcPr>
          <w:p w:rsidR="00040742" w:rsidRPr="00040742" w:rsidRDefault="00040742" w:rsidP="0011253B">
            <w:pPr>
              <w:rPr>
                <w:rFonts w:ascii="Courier New" w:eastAsia="Times New Roman" w:hAnsi="Courier New" w:cs="Courier New"/>
                <w:color w:val="auto"/>
                <w:sz w:val="20"/>
                <w:szCs w:val="20"/>
              </w:rPr>
            </w:pPr>
          </w:p>
        </w:tc>
        <w:tc>
          <w:tcPr>
            <w:tcW w:w="0" w:type="auto"/>
            <w:vAlign w:val="center"/>
          </w:tcPr>
          <w:p w:rsidR="00040742" w:rsidRPr="00040742" w:rsidRDefault="00040742" w:rsidP="0011253B">
            <w:pPr>
              <w:rPr>
                <w:rFonts w:ascii="Courier New" w:eastAsia="Times New Roman" w:hAnsi="Courier New" w:cs="Courier New"/>
                <w:color w:val="auto"/>
                <w:sz w:val="20"/>
                <w:szCs w:val="20"/>
              </w:rPr>
            </w:pP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R8497200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16</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2004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True</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T0989000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16</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2006</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True</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T2210800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16</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2008</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True</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26</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R0000150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1979</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True</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R0000152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1979</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True</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28</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R0000154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1979</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True</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29</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R0000156</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1979</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True</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R0000158</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1979</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True</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R0000151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1979</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True</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R0000153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1979</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True</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R0000155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1979</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True</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36</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R0000157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1979</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True</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37</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R0000159</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1979</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True</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38</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R0000300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1979</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True</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39</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R0000500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1979</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True</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43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C0000100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100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6</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2008</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False</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44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C0005500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2008</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True</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45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C0005700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15</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2008</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True</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040742">
        <w:trPr>
          <w:tblCellSpacing w:w="15" w:type="dxa"/>
        </w:trPr>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46</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Y1708400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10</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4</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2006</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True</w:t>
            </w:r>
          </w:p>
        </w:tc>
        <w:tc>
          <w:tcPr>
            <w:tcW w:w="0" w:type="auto"/>
            <w:vAlign w:val="center"/>
            <w:hideMark/>
          </w:tcPr>
          <w:p w:rsidR="00040742" w:rsidRPr="00040742" w:rsidRDefault="00040742" w:rsidP="00040742">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11253B">
        <w:trPr>
          <w:tblCellSpacing w:w="15" w:type="dxa"/>
        </w:trPr>
        <w:tc>
          <w:tcPr>
            <w:tcW w:w="0" w:type="auto"/>
            <w:vAlign w:val="center"/>
            <w:hideMark/>
          </w:tcPr>
          <w:p w:rsidR="00040742" w:rsidRPr="00040742" w:rsidRDefault="00040742" w:rsidP="0011253B">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47</w:t>
            </w:r>
          </w:p>
        </w:tc>
        <w:tc>
          <w:tcPr>
            <w:tcW w:w="0" w:type="auto"/>
            <w:vAlign w:val="center"/>
            <w:hideMark/>
          </w:tcPr>
          <w:p w:rsidR="00040742" w:rsidRPr="00040742" w:rsidRDefault="00040742" w:rsidP="0011253B">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Y1708500</w:t>
            </w:r>
          </w:p>
        </w:tc>
        <w:tc>
          <w:tcPr>
            <w:tcW w:w="0" w:type="auto"/>
            <w:vAlign w:val="center"/>
            <w:hideMark/>
          </w:tcPr>
          <w:p w:rsidR="00040742" w:rsidRPr="00040742" w:rsidRDefault="00040742" w:rsidP="0011253B">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10</w:t>
            </w:r>
          </w:p>
        </w:tc>
        <w:tc>
          <w:tcPr>
            <w:tcW w:w="0" w:type="auto"/>
            <w:vAlign w:val="center"/>
            <w:hideMark/>
          </w:tcPr>
          <w:p w:rsidR="00040742" w:rsidRPr="00040742" w:rsidRDefault="00040742" w:rsidP="0011253B">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c>
          <w:tcPr>
            <w:tcW w:w="0" w:type="auto"/>
            <w:vAlign w:val="center"/>
            <w:hideMark/>
          </w:tcPr>
          <w:p w:rsidR="00040742" w:rsidRPr="00040742" w:rsidRDefault="00040742" w:rsidP="0011253B">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4</w:t>
            </w:r>
          </w:p>
        </w:tc>
        <w:tc>
          <w:tcPr>
            <w:tcW w:w="0" w:type="auto"/>
            <w:vAlign w:val="center"/>
            <w:hideMark/>
          </w:tcPr>
          <w:p w:rsidR="00040742" w:rsidRPr="00040742" w:rsidRDefault="00040742" w:rsidP="0011253B">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3</w:t>
            </w:r>
          </w:p>
        </w:tc>
        <w:tc>
          <w:tcPr>
            <w:tcW w:w="0" w:type="auto"/>
            <w:vAlign w:val="center"/>
            <w:hideMark/>
          </w:tcPr>
          <w:p w:rsidR="00040742" w:rsidRPr="00040742" w:rsidRDefault="00040742" w:rsidP="0011253B">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2006</w:t>
            </w:r>
          </w:p>
        </w:tc>
        <w:tc>
          <w:tcPr>
            <w:tcW w:w="0" w:type="auto"/>
            <w:vAlign w:val="center"/>
            <w:hideMark/>
          </w:tcPr>
          <w:p w:rsidR="00040742" w:rsidRPr="00040742" w:rsidRDefault="00040742" w:rsidP="0011253B">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2</w:t>
            </w:r>
          </w:p>
        </w:tc>
        <w:tc>
          <w:tcPr>
            <w:tcW w:w="0" w:type="auto"/>
            <w:vAlign w:val="center"/>
            <w:hideMark/>
          </w:tcPr>
          <w:p w:rsidR="00040742" w:rsidRPr="00040742" w:rsidRDefault="00040742" w:rsidP="0011253B">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True</w:t>
            </w:r>
          </w:p>
        </w:tc>
        <w:tc>
          <w:tcPr>
            <w:tcW w:w="0" w:type="auto"/>
            <w:vAlign w:val="center"/>
            <w:hideMark/>
          </w:tcPr>
          <w:p w:rsidR="00040742" w:rsidRPr="00040742" w:rsidRDefault="00040742" w:rsidP="0011253B">
            <w:pPr>
              <w:rPr>
                <w:rFonts w:ascii="Courier New" w:eastAsia="Times New Roman" w:hAnsi="Courier New" w:cs="Courier New"/>
                <w:color w:val="auto"/>
                <w:sz w:val="20"/>
                <w:szCs w:val="20"/>
              </w:rPr>
            </w:pPr>
            <w:r w:rsidRPr="00040742">
              <w:rPr>
                <w:rFonts w:ascii="Courier New" w:eastAsia="Times New Roman" w:hAnsi="Courier New" w:cs="Courier New"/>
                <w:color w:val="auto"/>
                <w:sz w:val="20"/>
                <w:szCs w:val="20"/>
              </w:rPr>
              <w:t>NULL</w:t>
            </w:r>
          </w:p>
        </w:tc>
      </w:tr>
      <w:tr w:rsidR="00040742" w:rsidRPr="00040742" w:rsidTr="00040742">
        <w:trPr>
          <w:tblCellSpacing w:w="15" w:type="dxa"/>
        </w:trPr>
        <w:tc>
          <w:tcPr>
            <w:tcW w:w="0" w:type="auto"/>
            <w:vAlign w:val="center"/>
          </w:tcPr>
          <w:p w:rsidR="00040742" w:rsidRPr="00040742" w:rsidRDefault="00040742" w:rsidP="00040742">
            <w:pPr>
              <w:rPr>
                <w:rFonts w:ascii="Courier New" w:eastAsia="Times New Roman" w:hAnsi="Courier New" w:cs="Courier New"/>
                <w:color w:val="auto"/>
                <w:sz w:val="20"/>
                <w:szCs w:val="20"/>
              </w:rPr>
            </w:pPr>
          </w:p>
        </w:tc>
        <w:tc>
          <w:tcPr>
            <w:tcW w:w="0" w:type="auto"/>
            <w:vAlign w:val="center"/>
          </w:tcPr>
          <w:p w:rsidR="00040742" w:rsidRPr="00040742" w:rsidRDefault="00040742" w:rsidP="00040742">
            <w:pPr>
              <w:rPr>
                <w:rFonts w:ascii="Courier New" w:eastAsia="Times New Roman" w:hAnsi="Courier New" w:cs="Courier New"/>
                <w:color w:val="auto"/>
                <w:sz w:val="20"/>
                <w:szCs w:val="20"/>
              </w:rPr>
            </w:pPr>
            <w:r>
              <w:rPr>
                <w:rFonts w:ascii="Courier New" w:eastAsia="Times New Roman" w:hAnsi="Courier New" w:cs="Courier New"/>
                <w:color w:val="auto"/>
                <w:sz w:val="20"/>
                <w:szCs w:val="20"/>
              </w:rPr>
              <w:t>…</w:t>
            </w:r>
          </w:p>
        </w:tc>
        <w:tc>
          <w:tcPr>
            <w:tcW w:w="0" w:type="auto"/>
            <w:vAlign w:val="center"/>
          </w:tcPr>
          <w:p w:rsidR="00040742" w:rsidRPr="00040742" w:rsidRDefault="00040742" w:rsidP="00040742">
            <w:pPr>
              <w:rPr>
                <w:rFonts w:ascii="Courier New" w:eastAsia="Times New Roman" w:hAnsi="Courier New" w:cs="Courier New"/>
                <w:color w:val="auto"/>
                <w:sz w:val="20"/>
                <w:szCs w:val="20"/>
              </w:rPr>
            </w:pPr>
          </w:p>
        </w:tc>
        <w:tc>
          <w:tcPr>
            <w:tcW w:w="0" w:type="auto"/>
            <w:vAlign w:val="center"/>
          </w:tcPr>
          <w:p w:rsidR="00040742" w:rsidRPr="00040742" w:rsidRDefault="00040742" w:rsidP="00040742">
            <w:pPr>
              <w:rPr>
                <w:rFonts w:ascii="Courier New" w:eastAsia="Times New Roman" w:hAnsi="Courier New" w:cs="Courier New"/>
                <w:color w:val="auto"/>
                <w:sz w:val="20"/>
                <w:szCs w:val="20"/>
              </w:rPr>
            </w:pPr>
          </w:p>
        </w:tc>
        <w:tc>
          <w:tcPr>
            <w:tcW w:w="0" w:type="auto"/>
            <w:vAlign w:val="center"/>
          </w:tcPr>
          <w:p w:rsidR="00040742" w:rsidRPr="00040742" w:rsidRDefault="00040742" w:rsidP="00040742">
            <w:pPr>
              <w:rPr>
                <w:rFonts w:ascii="Courier New" w:eastAsia="Times New Roman" w:hAnsi="Courier New" w:cs="Courier New"/>
                <w:color w:val="auto"/>
                <w:sz w:val="20"/>
                <w:szCs w:val="20"/>
              </w:rPr>
            </w:pPr>
          </w:p>
        </w:tc>
        <w:tc>
          <w:tcPr>
            <w:tcW w:w="0" w:type="auto"/>
            <w:vAlign w:val="center"/>
          </w:tcPr>
          <w:p w:rsidR="00040742" w:rsidRPr="00040742" w:rsidRDefault="00040742" w:rsidP="00040742">
            <w:pPr>
              <w:rPr>
                <w:rFonts w:ascii="Courier New" w:eastAsia="Times New Roman" w:hAnsi="Courier New" w:cs="Courier New"/>
                <w:color w:val="auto"/>
                <w:sz w:val="20"/>
                <w:szCs w:val="20"/>
              </w:rPr>
            </w:pPr>
          </w:p>
        </w:tc>
        <w:tc>
          <w:tcPr>
            <w:tcW w:w="0" w:type="auto"/>
            <w:vAlign w:val="center"/>
          </w:tcPr>
          <w:p w:rsidR="00040742" w:rsidRPr="00040742" w:rsidRDefault="00040742" w:rsidP="00040742">
            <w:pPr>
              <w:rPr>
                <w:rFonts w:ascii="Courier New" w:eastAsia="Times New Roman" w:hAnsi="Courier New" w:cs="Courier New"/>
                <w:color w:val="auto"/>
                <w:sz w:val="20"/>
                <w:szCs w:val="20"/>
              </w:rPr>
            </w:pPr>
          </w:p>
        </w:tc>
        <w:tc>
          <w:tcPr>
            <w:tcW w:w="0" w:type="auto"/>
            <w:vAlign w:val="center"/>
          </w:tcPr>
          <w:p w:rsidR="00040742" w:rsidRPr="00040742" w:rsidRDefault="00040742" w:rsidP="00040742">
            <w:pPr>
              <w:rPr>
                <w:rFonts w:ascii="Courier New" w:eastAsia="Times New Roman" w:hAnsi="Courier New" w:cs="Courier New"/>
                <w:color w:val="auto"/>
                <w:sz w:val="20"/>
                <w:szCs w:val="20"/>
              </w:rPr>
            </w:pPr>
          </w:p>
        </w:tc>
        <w:tc>
          <w:tcPr>
            <w:tcW w:w="0" w:type="auto"/>
            <w:vAlign w:val="center"/>
          </w:tcPr>
          <w:p w:rsidR="00040742" w:rsidRPr="00040742" w:rsidRDefault="00040742" w:rsidP="00040742">
            <w:pPr>
              <w:rPr>
                <w:rFonts w:ascii="Courier New" w:eastAsia="Times New Roman" w:hAnsi="Courier New" w:cs="Courier New"/>
                <w:color w:val="auto"/>
                <w:sz w:val="20"/>
                <w:szCs w:val="20"/>
              </w:rPr>
            </w:pPr>
          </w:p>
        </w:tc>
        <w:tc>
          <w:tcPr>
            <w:tcW w:w="0" w:type="auto"/>
            <w:vAlign w:val="center"/>
          </w:tcPr>
          <w:p w:rsidR="00040742" w:rsidRPr="00040742" w:rsidRDefault="00040742" w:rsidP="00040742">
            <w:pPr>
              <w:rPr>
                <w:rFonts w:ascii="Courier New" w:eastAsia="Times New Roman" w:hAnsi="Courier New" w:cs="Courier New"/>
                <w:color w:val="auto"/>
                <w:sz w:val="20"/>
                <w:szCs w:val="20"/>
              </w:rPr>
            </w:pPr>
          </w:p>
        </w:tc>
      </w:tr>
    </w:tbl>
    <w:p w:rsidR="008638E6" w:rsidRDefault="008638E6" w:rsidP="00040742"/>
    <w:sectPr w:rsidR="00863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8E6"/>
    <w:rsid w:val="00012ABE"/>
    <w:rsid w:val="00040742"/>
    <w:rsid w:val="00070D27"/>
    <w:rsid w:val="00094FD8"/>
    <w:rsid w:val="000D2EE4"/>
    <w:rsid w:val="000D66AA"/>
    <w:rsid w:val="00111991"/>
    <w:rsid w:val="0011253B"/>
    <w:rsid w:val="001836B6"/>
    <w:rsid w:val="00193204"/>
    <w:rsid w:val="001E0360"/>
    <w:rsid w:val="0021186D"/>
    <w:rsid w:val="00211E02"/>
    <w:rsid w:val="00212837"/>
    <w:rsid w:val="0022211A"/>
    <w:rsid w:val="0029349A"/>
    <w:rsid w:val="00295273"/>
    <w:rsid w:val="002B3E2A"/>
    <w:rsid w:val="002F57D6"/>
    <w:rsid w:val="00302812"/>
    <w:rsid w:val="00303292"/>
    <w:rsid w:val="00351DDA"/>
    <w:rsid w:val="00377270"/>
    <w:rsid w:val="003B6EAF"/>
    <w:rsid w:val="003E39C1"/>
    <w:rsid w:val="004E3117"/>
    <w:rsid w:val="005B2DE1"/>
    <w:rsid w:val="005C72B5"/>
    <w:rsid w:val="00622B15"/>
    <w:rsid w:val="00624CEB"/>
    <w:rsid w:val="006610A3"/>
    <w:rsid w:val="00682628"/>
    <w:rsid w:val="006855FB"/>
    <w:rsid w:val="006F101C"/>
    <w:rsid w:val="00766AA2"/>
    <w:rsid w:val="00791979"/>
    <w:rsid w:val="008638E6"/>
    <w:rsid w:val="008D6B7B"/>
    <w:rsid w:val="008F42B7"/>
    <w:rsid w:val="00934481"/>
    <w:rsid w:val="009347F0"/>
    <w:rsid w:val="0097073E"/>
    <w:rsid w:val="00996201"/>
    <w:rsid w:val="009B1FF6"/>
    <w:rsid w:val="00A56BE6"/>
    <w:rsid w:val="00A62215"/>
    <w:rsid w:val="00A67392"/>
    <w:rsid w:val="00A8398A"/>
    <w:rsid w:val="00AA527B"/>
    <w:rsid w:val="00AD14C3"/>
    <w:rsid w:val="00B30111"/>
    <w:rsid w:val="00B35456"/>
    <w:rsid w:val="00B576F4"/>
    <w:rsid w:val="00B80F49"/>
    <w:rsid w:val="00C17BF5"/>
    <w:rsid w:val="00CC49BF"/>
    <w:rsid w:val="00D93AFB"/>
    <w:rsid w:val="00DF37F4"/>
    <w:rsid w:val="00DF4971"/>
    <w:rsid w:val="00E4633F"/>
    <w:rsid w:val="00E839B2"/>
    <w:rsid w:val="00EF3030"/>
    <w:rsid w:val="00EF5415"/>
    <w:rsid w:val="00F10680"/>
    <w:rsid w:val="00F31206"/>
    <w:rsid w:val="00F60DD0"/>
    <w:rsid w:val="00FB6B9E"/>
    <w:rsid w:val="00FC7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8E6"/>
    <w:pPr>
      <w:spacing w:after="0" w:line="240" w:lineRule="auto"/>
    </w:pPr>
    <w:rPr>
      <w:rFonts w:ascii="Calibri" w:hAnsi="Calibri" w:cs="Calibri"/>
      <w:color w:val="000000"/>
    </w:rPr>
  </w:style>
  <w:style w:type="paragraph" w:styleId="Heading1">
    <w:name w:val="heading 1"/>
    <w:basedOn w:val="Normal"/>
    <w:next w:val="Normal"/>
    <w:link w:val="Heading1Char"/>
    <w:uiPriority w:val="9"/>
    <w:qFormat/>
    <w:rsid w:val="00E839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9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26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rPr>
      <w:rFonts w:ascii="Courier New" w:hAnsi="Courier New" w:cs="Courier New"/>
      <w:color w:val="auto"/>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BalloonText">
    <w:name w:val="Balloon Text"/>
    <w:basedOn w:val="Normal"/>
    <w:link w:val="BalloonTextChar"/>
    <w:uiPriority w:val="99"/>
    <w:semiHidden/>
    <w:unhideWhenUsed/>
    <w:rsid w:val="008638E6"/>
    <w:rPr>
      <w:rFonts w:ascii="Tahoma" w:hAnsi="Tahoma" w:cs="Tahoma"/>
      <w:sz w:val="16"/>
      <w:szCs w:val="16"/>
    </w:rPr>
  </w:style>
  <w:style w:type="character" w:customStyle="1" w:styleId="BalloonTextChar">
    <w:name w:val="Balloon Text Char"/>
    <w:basedOn w:val="DefaultParagraphFont"/>
    <w:link w:val="BalloonText"/>
    <w:uiPriority w:val="99"/>
    <w:semiHidden/>
    <w:rsid w:val="008638E6"/>
    <w:rPr>
      <w:rFonts w:ascii="Tahoma" w:hAnsi="Tahoma" w:cs="Tahoma"/>
      <w:color w:val="000000"/>
      <w:sz w:val="16"/>
      <w:szCs w:val="16"/>
    </w:rPr>
  </w:style>
  <w:style w:type="character" w:customStyle="1" w:styleId="Heading3Char">
    <w:name w:val="Heading 3 Char"/>
    <w:basedOn w:val="DefaultParagraphFont"/>
    <w:link w:val="Heading3"/>
    <w:uiPriority w:val="9"/>
    <w:rsid w:val="00682628"/>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E839B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839B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6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66AA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463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8E6"/>
    <w:pPr>
      <w:spacing w:after="0" w:line="240" w:lineRule="auto"/>
    </w:pPr>
    <w:rPr>
      <w:rFonts w:ascii="Calibri" w:hAnsi="Calibri" w:cs="Calibri"/>
      <w:color w:val="000000"/>
    </w:rPr>
  </w:style>
  <w:style w:type="paragraph" w:styleId="Heading1">
    <w:name w:val="heading 1"/>
    <w:basedOn w:val="Normal"/>
    <w:next w:val="Normal"/>
    <w:link w:val="Heading1Char"/>
    <w:uiPriority w:val="9"/>
    <w:qFormat/>
    <w:rsid w:val="00E839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9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26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rPr>
      <w:rFonts w:ascii="Courier New" w:hAnsi="Courier New" w:cs="Courier New"/>
      <w:color w:val="auto"/>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BalloonText">
    <w:name w:val="Balloon Text"/>
    <w:basedOn w:val="Normal"/>
    <w:link w:val="BalloonTextChar"/>
    <w:uiPriority w:val="99"/>
    <w:semiHidden/>
    <w:unhideWhenUsed/>
    <w:rsid w:val="008638E6"/>
    <w:rPr>
      <w:rFonts w:ascii="Tahoma" w:hAnsi="Tahoma" w:cs="Tahoma"/>
      <w:sz w:val="16"/>
      <w:szCs w:val="16"/>
    </w:rPr>
  </w:style>
  <w:style w:type="character" w:customStyle="1" w:styleId="BalloonTextChar">
    <w:name w:val="Balloon Text Char"/>
    <w:basedOn w:val="DefaultParagraphFont"/>
    <w:link w:val="BalloonText"/>
    <w:uiPriority w:val="99"/>
    <w:semiHidden/>
    <w:rsid w:val="008638E6"/>
    <w:rPr>
      <w:rFonts w:ascii="Tahoma" w:hAnsi="Tahoma" w:cs="Tahoma"/>
      <w:color w:val="000000"/>
      <w:sz w:val="16"/>
      <w:szCs w:val="16"/>
    </w:rPr>
  </w:style>
  <w:style w:type="character" w:customStyle="1" w:styleId="Heading3Char">
    <w:name w:val="Heading 3 Char"/>
    <w:basedOn w:val="DefaultParagraphFont"/>
    <w:link w:val="Heading3"/>
    <w:uiPriority w:val="9"/>
    <w:rsid w:val="00682628"/>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E839B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839B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6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66AA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463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13378">
      <w:bodyDiv w:val="1"/>
      <w:marLeft w:val="0"/>
      <w:marRight w:val="0"/>
      <w:marTop w:val="0"/>
      <w:marBottom w:val="0"/>
      <w:divBdr>
        <w:top w:val="none" w:sz="0" w:space="0" w:color="auto"/>
        <w:left w:val="none" w:sz="0" w:space="0" w:color="auto"/>
        <w:bottom w:val="none" w:sz="0" w:space="0" w:color="auto"/>
        <w:right w:val="none" w:sz="0" w:space="0" w:color="auto"/>
      </w:divBdr>
    </w:div>
    <w:div w:id="180516302">
      <w:bodyDiv w:val="1"/>
      <w:marLeft w:val="0"/>
      <w:marRight w:val="0"/>
      <w:marTop w:val="0"/>
      <w:marBottom w:val="0"/>
      <w:divBdr>
        <w:top w:val="none" w:sz="0" w:space="0" w:color="auto"/>
        <w:left w:val="none" w:sz="0" w:space="0" w:color="auto"/>
        <w:bottom w:val="none" w:sz="0" w:space="0" w:color="auto"/>
        <w:right w:val="none" w:sz="0" w:space="0" w:color="auto"/>
      </w:divBdr>
    </w:div>
    <w:div w:id="203175208">
      <w:bodyDiv w:val="1"/>
      <w:marLeft w:val="0"/>
      <w:marRight w:val="0"/>
      <w:marTop w:val="0"/>
      <w:marBottom w:val="0"/>
      <w:divBdr>
        <w:top w:val="none" w:sz="0" w:space="0" w:color="auto"/>
        <w:left w:val="none" w:sz="0" w:space="0" w:color="auto"/>
        <w:bottom w:val="none" w:sz="0" w:space="0" w:color="auto"/>
        <w:right w:val="none" w:sz="0" w:space="0" w:color="auto"/>
      </w:divBdr>
    </w:div>
    <w:div w:id="327951009">
      <w:bodyDiv w:val="1"/>
      <w:marLeft w:val="0"/>
      <w:marRight w:val="0"/>
      <w:marTop w:val="0"/>
      <w:marBottom w:val="0"/>
      <w:divBdr>
        <w:top w:val="none" w:sz="0" w:space="0" w:color="auto"/>
        <w:left w:val="none" w:sz="0" w:space="0" w:color="auto"/>
        <w:bottom w:val="none" w:sz="0" w:space="0" w:color="auto"/>
        <w:right w:val="none" w:sz="0" w:space="0" w:color="auto"/>
      </w:divBdr>
    </w:div>
    <w:div w:id="406533473">
      <w:bodyDiv w:val="1"/>
      <w:marLeft w:val="0"/>
      <w:marRight w:val="0"/>
      <w:marTop w:val="0"/>
      <w:marBottom w:val="0"/>
      <w:divBdr>
        <w:top w:val="none" w:sz="0" w:space="0" w:color="auto"/>
        <w:left w:val="none" w:sz="0" w:space="0" w:color="auto"/>
        <w:bottom w:val="none" w:sz="0" w:space="0" w:color="auto"/>
        <w:right w:val="none" w:sz="0" w:space="0" w:color="auto"/>
      </w:divBdr>
    </w:div>
    <w:div w:id="553589285">
      <w:bodyDiv w:val="1"/>
      <w:marLeft w:val="0"/>
      <w:marRight w:val="0"/>
      <w:marTop w:val="0"/>
      <w:marBottom w:val="0"/>
      <w:divBdr>
        <w:top w:val="none" w:sz="0" w:space="0" w:color="auto"/>
        <w:left w:val="none" w:sz="0" w:space="0" w:color="auto"/>
        <w:bottom w:val="none" w:sz="0" w:space="0" w:color="auto"/>
        <w:right w:val="none" w:sz="0" w:space="0" w:color="auto"/>
      </w:divBdr>
    </w:div>
    <w:div w:id="616764833">
      <w:bodyDiv w:val="1"/>
      <w:marLeft w:val="0"/>
      <w:marRight w:val="0"/>
      <w:marTop w:val="0"/>
      <w:marBottom w:val="0"/>
      <w:divBdr>
        <w:top w:val="none" w:sz="0" w:space="0" w:color="auto"/>
        <w:left w:val="none" w:sz="0" w:space="0" w:color="auto"/>
        <w:bottom w:val="none" w:sz="0" w:space="0" w:color="auto"/>
        <w:right w:val="none" w:sz="0" w:space="0" w:color="auto"/>
      </w:divBdr>
    </w:div>
    <w:div w:id="648902937">
      <w:bodyDiv w:val="1"/>
      <w:marLeft w:val="0"/>
      <w:marRight w:val="0"/>
      <w:marTop w:val="0"/>
      <w:marBottom w:val="0"/>
      <w:divBdr>
        <w:top w:val="none" w:sz="0" w:space="0" w:color="auto"/>
        <w:left w:val="none" w:sz="0" w:space="0" w:color="auto"/>
        <w:bottom w:val="none" w:sz="0" w:space="0" w:color="auto"/>
        <w:right w:val="none" w:sz="0" w:space="0" w:color="auto"/>
      </w:divBdr>
    </w:div>
    <w:div w:id="835925614">
      <w:bodyDiv w:val="1"/>
      <w:marLeft w:val="0"/>
      <w:marRight w:val="0"/>
      <w:marTop w:val="0"/>
      <w:marBottom w:val="0"/>
      <w:divBdr>
        <w:top w:val="none" w:sz="0" w:space="0" w:color="auto"/>
        <w:left w:val="none" w:sz="0" w:space="0" w:color="auto"/>
        <w:bottom w:val="none" w:sz="0" w:space="0" w:color="auto"/>
        <w:right w:val="none" w:sz="0" w:space="0" w:color="auto"/>
      </w:divBdr>
    </w:div>
    <w:div w:id="1034891587">
      <w:bodyDiv w:val="1"/>
      <w:marLeft w:val="0"/>
      <w:marRight w:val="0"/>
      <w:marTop w:val="0"/>
      <w:marBottom w:val="0"/>
      <w:divBdr>
        <w:top w:val="none" w:sz="0" w:space="0" w:color="auto"/>
        <w:left w:val="none" w:sz="0" w:space="0" w:color="auto"/>
        <w:bottom w:val="none" w:sz="0" w:space="0" w:color="auto"/>
        <w:right w:val="none" w:sz="0" w:space="0" w:color="auto"/>
      </w:divBdr>
    </w:div>
    <w:div w:id="1180511642">
      <w:bodyDiv w:val="1"/>
      <w:marLeft w:val="0"/>
      <w:marRight w:val="0"/>
      <w:marTop w:val="0"/>
      <w:marBottom w:val="0"/>
      <w:divBdr>
        <w:top w:val="none" w:sz="0" w:space="0" w:color="auto"/>
        <w:left w:val="none" w:sz="0" w:space="0" w:color="auto"/>
        <w:bottom w:val="none" w:sz="0" w:space="0" w:color="auto"/>
        <w:right w:val="none" w:sz="0" w:space="0" w:color="auto"/>
      </w:divBdr>
    </w:div>
    <w:div w:id="1379428087">
      <w:bodyDiv w:val="1"/>
      <w:marLeft w:val="0"/>
      <w:marRight w:val="0"/>
      <w:marTop w:val="0"/>
      <w:marBottom w:val="0"/>
      <w:divBdr>
        <w:top w:val="none" w:sz="0" w:space="0" w:color="auto"/>
        <w:left w:val="none" w:sz="0" w:space="0" w:color="auto"/>
        <w:bottom w:val="none" w:sz="0" w:space="0" w:color="auto"/>
        <w:right w:val="none" w:sz="0" w:space="0" w:color="auto"/>
      </w:divBdr>
    </w:div>
    <w:div w:id="1429736502">
      <w:bodyDiv w:val="1"/>
      <w:marLeft w:val="0"/>
      <w:marRight w:val="0"/>
      <w:marTop w:val="0"/>
      <w:marBottom w:val="0"/>
      <w:divBdr>
        <w:top w:val="none" w:sz="0" w:space="0" w:color="auto"/>
        <w:left w:val="none" w:sz="0" w:space="0" w:color="auto"/>
        <w:bottom w:val="none" w:sz="0" w:space="0" w:color="auto"/>
        <w:right w:val="none" w:sz="0" w:space="0" w:color="auto"/>
      </w:divBdr>
    </w:div>
    <w:div w:id="1488089610">
      <w:bodyDiv w:val="1"/>
      <w:marLeft w:val="0"/>
      <w:marRight w:val="0"/>
      <w:marTop w:val="0"/>
      <w:marBottom w:val="0"/>
      <w:divBdr>
        <w:top w:val="none" w:sz="0" w:space="0" w:color="auto"/>
        <w:left w:val="none" w:sz="0" w:space="0" w:color="auto"/>
        <w:bottom w:val="none" w:sz="0" w:space="0" w:color="auto"/>
        <w:right w:val="none" w:sz="0" w:space="0" w:color="auto"/>
      </w:divBdr>
      <w:divsChild>
        <w:div w:id="614290163">
          <w:marLeft w:val="0"/>
          <w:marRight w:val="0"/>
          <w:marTop w:val="0"/>
          <w:marBottom w:val="0"/>
          <w:divBdr>
            <w:top w:val="none" w:sz="0" w:space="0" w:color="auto"/>
            <w:left w:val="none" w:sz="0" w:space="0" w:color="auto"/>
            <w:bottom w:val="none" w:sz="0" w:space="0" w:color="auto"/>
            <w:right w:val="none" w:sz="0" w:space="0" w:color="auto"/>
          </w:divBdr>
          <w:divsChild>
            <w:div w:id="1665278632">
              <w:marLeft w:val="0"/>
              <w:marRight w:val="0"/>
              <w:marTop w:val="0"/>
              <w:marBottom w:val="0"/>
              <w:divBdr>
                <w:top w:val="none" w:sz="0" w:space="0" w:color="auto"/>
                <w:left w:val="none" w:sz="0" w:space="0" w:color="auto"/>
                <w:bottom w:val="none" w:sz="0" w:space="0" w:color="auto"/>
                <w:right w:val="none" w:sz="0" w:space="0" w:color="auto"/>
              </w:divBdr>
              <w:divsChild>
                <w:div w:id="243078895">
                  <w:marLeft w:val="0"/>
                  <w:marRight w:val="0"/>
                  <w:marTop w:val="0"/>
                  <w:marBottom w:val="0"/>
                  <w:divBdr>
                    <w:top w:val="single" w:sz="12" w:space="12" w:color="006699"/>
                    <w:left w:val="none" w:sz="0" w:space="0" w:color="auto"/>
                    <w:bottom w:val="none" w:sz="0" w:space="0" w:color="auto"/>
                    <w:right w:val="none" w:sz="0" w:space="0" w:color="auto"/>
                  </w:divBdr>
                  <w:divsChild>
                    <w:div w:id="1413774245">
                      <w:marLeft w:val="0"/>
                      <w:marRight w:val="0"/>
                      <w:marTop w:val="0"/>
                      <w:marBottom w:val="0"/>
                      <w:divBdr>
                        <w:top w:val="none" w:sz="0" w:space="0" w:color="auto"/>
                        <w:left w:val="none" w:sz="0" w:space="0" w:color="auto"/>
                        <w:bottom w:val="none" w:sz="0" w:space="0" w:color="auto"/>
                        <w:right w:val="none" w:sz="0" w:space="0" w:color="auto"/>
                      </w:divBdr>
                      <w:divsChild>
                        <w:div w:id="4646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571607">
      <w:bodyDiv w:val="1"/>
      <w:marLeft w:val="0"/>
      <w:marRight w:val="0"/>
      <w:marTop w:val="0"/>
      <w:marBottom w:val="0"/>
      <w:divBdr>
        <w:top w:val="none" w:sz="0" w:space="0" w:color="auto"/>
        <w:left w:val="none" w:sz="0" w:space="0" w:color="auto"/>
        <w:bottom w:val="none" w:sz="0" w:space="0" w:color="auto"/>
        <w:right w:val="none" w:sz="0" w:space="0" w:color="auto"/>
      </w:divBdr>
    </w:div>
    <w:div w:id="1933977370">
      <w:bodyDiv w:val="1"/>
      <w:marLeft w:val="0"/>
      <w:marRight w:val="0"/>
      <w:marTop w:val="0"/>
      <w:marBottom w:val="0"/>
      <w:divBdr>
        <w:top w:val="none" w:sz="0" w:space="0" w:color="auto"/>
        <w:left w:val="none" w:sz="0" w:space="0" w:color="auto"/>
        <w:bottom w:val="none" w:sz="0" w:space="0" w:color="auto"/>
        <w:right w:val="none" w:sz="0" w:space="0" w:color="auto"/>
      </w:divBdr>
    </w:div>
    <w:div w:id="206255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cbi.nlm.nih.gov/pubmed/16341609" TargetMode="External"/><Relationship Id="rId11" Type="http://schemas.openxmlformats.org/officeDocument/2006/relationships/theme" Target="theme/theme1.xml"/><Relationship Id="rId5" Type="http://schemas.openxmlformats.org/officeDocument/2006/relationships/hyperlink" Target="http://www.ncbi.nlm.nih.gov/pubmed/915213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8</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Howard Live Oak, LLC</Company>
  <LinksUpToDate>false</LinksUpToDate>
  <CharactersWithSpaces>13098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Beasley</dc:creator>
  <cp:lastModifiedBy>Will Beasley</cp:lastModifiedBy>
  <cp:revision>46</cp:revision>
  <dcterms:created xsi:type="dcterms:W3CDTF">2011-08-12T13:36:00Z</dcterms:created>
  <dcterms:modified xsi:type="dcterms:W3CDTF">2012-09-18T17:57:00Z</dcterms:modified>
</cp:coreProperties>
</file>