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CC" w:rsidRPr="002112CC" w:rsidRDefault="002112CC" w:rsidP="002112CC">
      <w:pPr>
        <w:widowControl w:val="0"/>
        <w:tabs>
          <w:tab w:val="left" w:pos="630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112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Regression Analyses, Will, Where We Need to Check on Assumptions</w:t>
      </w:r>
    </w:p>
    <w:p w:rsidR="002112CC" w:rsidRPr="002112CC" w:rsidRDefault="002112CC" w:rsidP="002112CC">
      <w:pPr>
        <w:widowControl w:val="0"/>
        <w:tabs>
          <w:tab w:val="left" w:pos="630"/>
        </w:tabs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consider the possibility that the relationships reported above between (a) defensive egotism and bullying, physical aggression, and social aggression (Table 1), as well as that between (b) self-esteem and victimization and defending the victim might be moderated by gender, we conducted a series of multiple regression analyses in line with the recommendations of Aiken and West (1996) that included gender as a predictor. In each case, we regressed the dependent variable onto the predictor variables, including the interaction term, and explored significant interaction effects for significant simple slopes and for significant simple effects at +1 and -1 standard deviations above and below the means of the relevant scale—either defensive egotism or self-esteem. Except in one case, we report only those analyses that included a significant interaction effect involving gender. </w:t>
      </w:r>
    </w:p>
    <w:p w:rsidR="002112CC" w:rsidRPr="002112CC" w:rsidRDefault="002112CC" w:rsidP="002112CC">
      <w:pPr>
        <w:widowControl w:val="0"/>
        <w:tabs>
          <w:tab w:val="left" w:pos="630"/>
        </w:tabs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Gender, defensive egotism, and bullying.</w:t>
      </w:r>
      <w:proofErr w:type="gramEnd"/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regressed peer-rated bullying </w:t>
      </w:r>
      <w:r w:rsidRPr="002112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B in the Excel file, Will)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onto gender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D)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, peer-rated defensive egotism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F)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interaction term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G)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. We found no significant effect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gender, β = -.18,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-1.79,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.08; but significant effects for peer-rated defensive egotism, β = .37,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3.70,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.0001; and for the interaction term, β = -.22,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-2.4,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.02 (Figure 1). Analysis of the interaction yielded two significant simple effects. At high defensive egotism, boys were rated significantly higher on bullying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Predicted Value [PV]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= .55) than were girls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.25), β = -.42,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-2.73,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.008. The slope for boys at low vs. high defensive egotism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.11 vs.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.55, respectively) was also significant, β = .61,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4.45,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.0001. This same slope for girls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.16 vs.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.25) was non-significant, β = .12,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.85,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ns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; as was the simple effect at low defensive egotism for boys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.11) vs. girls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.16), β = .06,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.48,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ns. </w:t>
      </w:r>
    </w:p>
    <w:p w:rsidR="002112CC" w:rsidRPr="002112CC" w:rsidRDefault="002112CC" w:rsidP="002112CC">
      <w:pPr>
        <w:widowControl w:val="0"/>
        <w:tabs>
          <w:tab w:val="left" w:pos="630"/>
        </w:tabs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Gender, defensive egotism, and assists or supports the bully.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we re-ran the analyses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above with peer-rated assists or supports the bully as the dependent variable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2112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Column H, Will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(rather than peer-rated bullying), the pattern was almost identical to that in Figure 1, yielding significant effects for gender, β = -.22,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-2.22,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.03; for peer-rated defensive egotism, β = .40,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4.12,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.0001; and for the interaction term, β = -.18,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-1.94,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.05. Analysis of the interaction yielded two significant simple effects. At high defensive egotism, boys were rated significantly higher on assists/supports the bully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.56) than were girls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.29), β = -.41,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-2.72, p &lt; .008. The slope for boys at low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.17) vs. high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.56) defensive egotism was also significant, β = .59, t (88) = 4.43, p &lt; .0001. This same slope for girls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.15 vs.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.29) was non-significant, β = .21, t (88) = 1.45,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.15; as was the simple effect for boys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.17) vs. girls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.15) at low defensive egotism, β = -.03, t (88) = -.20,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ns.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112CC" w:rsidRPr="002112CC" w:rsidRDefault="002112CC" w:rsidP="002112CC">
      <w:pPr>
        <w:widowControl w:val="0"/>
        <w:tabs>
          <w:tab w:val="left" w:pos="630"/>
        </w:tabs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Gender, defensive egotism and social aggression.</w:t>
      </w:r>
      <w:proofErr w:type="gramEnd"/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regressed teacher-rated social aggression </w:t>
      </w:r>
      <w:r w:rsidR="007B2C9C" w:rsidRP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I, Will)</w:t>
      </w:r>
      <w:r w:rsidR="007B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onto gender</w:t>
      </w:r>
      <w:r w:rsidR="007B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2C9C" w:rsidRP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D)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, teacher-rated defensive egotism</w:t>
      </w:r>
      <w:r w:rsidR="007B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2C9C" w:rsidRP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K)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interaction term</w:t>
      </w:r>
      <w:r w:rsidR="007B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2C9C" w:rsidRP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L)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found significant effects for gender, β = .17,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2.22,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.03; for teacher-rated defensive egotism, β = .80,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10.29,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.0001; and for the interaction, β = .18,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2.43,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.02 (Figure 2). Simple effects tests at high teacher-rated defensive egotism revealed that girls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.76) were rated higher in social aggression than boys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PV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.49), β = .37,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2.98,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.004. In contrast, at low teacher-rated defensive egotism, there was no difference between girls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PV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= .02) and boys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PV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.04), β = -.03,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-.29,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ns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. The slope for girls at low vs. high defensive egotism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PVs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.02 and .76, respectively) was significant, β = 1.0,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7.87,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.0001; as was this slope for boys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PVs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.04 and .49, respectively), β = .60,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6.16,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.0001. Thus, although there was a positive association between teacher-rated defensive egotism and social aggression for both boys and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girls, at higher levels of defensive egotism, girls were rated higher in social aggression than boys. </w:t>
      </w:r>
    </w:p>
    <w:p w:rsidR="002112CC" w:rsidRPr="002112CC" w:rsidRDefault="002112CC" w:rsidP="002112CC">
      <w:pPr>
        <w:widowControl w:val="0"/>
        <w:tabs>
          <w:tab w:val="left" w:pos="630"/>
        </w:tabs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Gender, self-esteem and victim of bullying.</w:t>
      </w:r>
      <w:proofErr w:type="gramEnd"/>
      <w:r w:rsidRPr="002112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regressed peer-rated victim of bullying </w:t>
      </w:r>
      <w:r w:rsid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(Column M)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onto gender</w:t>
      </w:r>
      <w:r w:rsidR="007B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2C9C" w:rsidRP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D)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, peer-rated self-esteem</w:t>
      </w:r>
      <w:r w:rsidR="007B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2C9C" w:rsidRP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O)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the interaction term </w:t>
      </w:r>
      <w:r w:rsidR="007B2C9C" w:rsidRP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P)</w:t>
      </w:r>
      <w:r w:rsidR="007B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found significant effects for gender, β = -.32,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-3.24,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.002; for peer-rated self-esteem, β = -.36,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-3.7,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.0001; and for the interaction term, β = .25,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2.68,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.009. Figure 3 indicates that the interaction effect was due almost completely to the high victimization ratings given to boys at low self-esteem, where boys were rated significantly higher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.54) than girls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.16), β = -.58,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-4.52,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.0001. The only other significant effect in Figure 3 was the simple slope for boys at low self-esteem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PV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= .54) vs. high self-esteem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.13), β = -.63,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-4.63,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.0001. As peer-reported self-esteem increased for boys, peer-rated victimization decreased.</w:t>
      </w:r>
    </w:p>
    <w:p w:rsidR="002112CC" w:rsidRPr="002112CC" w:rsidRDefault="002112CC" w:rsidP="002112CC">
      <w:pPr>
        <w:widowControl w:val="0"/>
        <w:tabs>
          <w:tab w:val="left" w:pos="630"/>
        </w:tabs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Gender, self-esteem and defends the victim of bullying.</w:t>
      </w:r>
      <w:r w:rsidRPr="002112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regressed peer-rated defends the victim </w:t>
      </w:r>
      <w:r w:rsidR="007B2C9C" w:rsidRP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Q)</w:t>
      </w:r>
      <w:r w:rsidR="007B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onto gender</w:t>
      </w:r>
      <w:r w:rsidR="007B2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2C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D)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>, peer-rated self-esteem</w:t>
      </w:r>
      <w:r w:rsidR="002F3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3B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O)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the interaction term </w:t>
      </w:r>
      <w:r w:rsidR="002F3BCA" w:rsidRPr="002F3B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(Column P)</w:t>
      </w:r>
      <w:r w:rsidR="002F3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found two significant effects: for gender, β = .29,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2.79,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.006; and for peer-rated self-esteem, β = .36,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3.51,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.001. The interaction was non-significant, β = .09,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(88) = .93, 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.30 (Figure 4). Girls overall were rated higher by peers in defending the victim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.73) than were boys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.58), and regardless of gender, students with higher peer-rated self-esteem tended to defend the victim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.76) more than those lower in self-esteem (</w:t>
      </w:r>
      <w:r w:rsidRPr="002112C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PV</w:t>
      </w:r>
      <w:r w:rsidRPr="00211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.52).</w:t>
      </w:r>
    </w:p>
    <w:p w:rsidR="0033347A" w:rsidRDefault="0033347A">
      <w:r>
        <w:br w:type="page"/>
      </w:r>
    </w:p>
    <w:p w:rsidR="0033347A" w:rsidRPr="0033347A" w:rsidRDefault="0033347A" w:rsidP="0033347A">
      <w:pPr>
        <w:widowControl w:val="0"/>
        <w:pBdr>
          <w:top w:val="single" w:sz="4" w:space="1" w:color="auto"/>
        </w:pBdr>
        <w:tabs>
          <w:tab w:val="left" w:pos="630"/>
        </w:tabs>
        <w:autoSpaceDE w:val="0"/>
        <w:autoSpaceDN w:val="0"/>
        <w:adjustRightInd w:val="0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347A" w:rsidRPr="0033347A" w:rsidRDefault="0033347A" w:rsidP="0033347A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4874895</wp:posOffset>
                </wp:positionV>
                <wp:extent cx="5449570" cy="6794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57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47A" w:rsidRPr="001806FA" w:rsidRDefault="0033347A" w:rsidP="0033347A">
                            <w:pPr>
                              <w:spacing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Figure 1.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Peer-rated bullying as a function of gender and peer-rated defensive egotism.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.4pt;margin-top:383.85pt;width:429.1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sLgQIAAA8FAAAOAAAAZHJzL2Uyb0RvYy54bWysVNuO2yAQfa/Uf0C8Z21HOImtOKu9NFWl&#10;7UXa7QcQg2NUDBRI7G21/94BJ9l020pVVT9gYIbDzJwzLC+HTqI9t05oVeHsIsWIq1ozobYV/vyw&#10;niwwcp4qRqVWvMKP3OHL1etXy96UfKpbLRm3CECUK3tT4dZ7UyaJq1veUXehDVdgbLTtqIel3SbM&#10;0h7QO5lM03SW9NoyY3XNnYPd29GIVxG/aXjtPzaN4x7JCkNsPo42jpswJqslLbeWmlbUhzDoP0TR&#10;UaHg0hPULfUU7az4BaoTtdVON/6i1l2im0bUPOYA2WTpi2zuW2p4zAWK48ypTO7/wdYf9p8sEqzC&#10;QJSiHVD0wAePrvWAFqE6vXElON0bcPMDbAPLMVNn7nT9xSGlb1qqtvzKWt23nDKILgsnk7OjI44L&#10;IJv+vWZwDd15HYGGxnahdFAMBOjA0uOJmRBKDZs5IUU+B1MNttm8IHmkLqHl8bSxzr/lukNhUmEL&#10;zEd0ur9zPkRDy6NLuMxpKdhaSBkXdru5kRbtKahkHb+YwAs3qYKz0uHYiDjuQJBwR7CFcCPr34ts&#10;StLraTFZzxbzCVmTfFLM08UkzYrrYpaSgtyun0KAGSlbwRhXd0LxowIz8ncMH3ph1E7UIOorXOTT&#10;fKToj0mm8ftdkp3w0JBSdKCIkxMtA7FvFIO0aempkOM8+Tn8WGWowfEfqxJlEJgfNeCHzQAoQRsb&#10;zR5BEFYDX0AtvCIwabX9hlEPHVlh93VHLcdIvlMgqiIjJLRwXJB8PoWFPbdszi1U1QBVYY/ROL3x&#10;Y9vvjBXbFm4aZaz0FQixEVEjz1Ed5AtdF5M5vBChrc/X0ev5HVv9AAAA//8DAFBLAwQUAAYACAAA&#10;ACEAGBmHn94AAAAKAQAADwAAAGRycy9kb3ducmV2LnhtbEyPwU7DMBBE70j8g7VIXBB1qErchjgV&#10;IIG4tvQDNsk2iYjXUew26d+zPcFtVjOafZNvZ9erM42h82zhaZGAIq583XFj4fD98bgGFSJyjb1n&#10;snChANvi9ibHrPYT7+i8j42SEg4ZWmhjHDKtQ9WSw7DwA7F4Rz86jHKOja5HnKTc9XqZJKl22LF8&#10;aHGg95aqn/3JWTh+TQ/Pm6n8jAezW6Vv2JnSX6y9v5tfX0BFmuNfGK74gg6FMJX+xHVQvYVlIuTR&#10;gkmNASWBtdnIuPIqVgZ0kev/E4pfAAAA//8DAFBLAQItABQABgAIAAAAIQC2gziS/gAAAOEBAAAT&#10;AAAAAAAAAAAAAAAAAAAAAABbQ29udGVudF9UeXBlc10ueG1sUEsBAi0AFAAGAAgAAAAhADj9If/W&#10;AAAAlAEAAAsAAAAAAAAAAAAAAAAALwEAAF9yZWxzLy5yZWxzUEsBAi0AFAAGAAgAAAAhABW3WwuB&#10;AgAADwUAAA4AAAAAAAAAAAAAAAAALgIAAGRycy9lMm9Eb2MueG1sUEsBAi0AFAAGAAgAAAAhABgZ&#10;h5/eAAAACgEAAA8AAAAAAAAAAAAAAAAA2wQAAGRycy9kb3ducmV2LnhtbFBLBQYAAAAABAAEAPMA&#10;AADmBQAAAAA=&#10;" stroked="f">
                <v:textbox>
                  <w:txbxContent>
                    <w:p w:rsidR="0033347A" w:rsidRPr="001806FA" w:rsidRDefault="0033347A" w:rsidP="0033347A">
                      <w:pPr>
                        <w:spacing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Figure 1.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Peer-rated bullying as a function of gender and peer-rated defensive egotism.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w:drawing>
          <wp:inline distT="0" distB="0" distL="0" distR="0" wp14:anchorId="545A924A" wp14:editId="31AB0A9C">
            <wp:extent cx="7543800" cy="4562475"/>
            <wp:effectExtent l="0" t="0" r="0" b="0"/>
            <wp:docPr id="4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347A" w:rsidRPr="0033347A" w:rsidRDefault="0033347A" w:rsidP="0033347A">
      <w:pPr>
        <w:tabs>
          <w:tab w:val="left" w:pos="-720"/>
          <w:tab w:val="left" w:pos="2880"/>
        </w:tabs>
        <w:suppressAutoHyphens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3347A" w:rsidRPr="0033347A" w:rsidRDefault="0033347A" w:rsidP="0033347A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3347A" w:rsidRPr="0033347A" w:rsidRDefault="0033347A" w:rsidP="0033347A">
      <w:pPr>
        <w:rPr>
          <w:rFonts w:ascii="Times New Roman" w:eastAsia="Calibri" w:hAnsi="Times New Roman" w:cs="Times New Roman"/>
          <w:sz w:val="24"/>
          <w:szCs w:val="24"/>
        </w:rPr>
      </w:pPr>
      <w:r w:rsidRPr="0033347A">
        <w:rPr>
          <w:rFonts w:ascii="Times New Roman" w:eastAsia="Calibri" w:hAnsi="Times New Roman" w:cs="Times New Roman"/>
          <w:sz w:val="24"/>
          <w:szCs w:val="24"/>
        </w:rPr>
        <w:br w:type="page"/>
      </w:r>
      <w:r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9C2C177" wp14:editId="0F84ADF4">
            <wp:extent cx="5934075" cy="3971925"/>
            <wp:effectExtent l="0" t="0" r="0" b="0"/>
            <wp:docPr id="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347A" w:rsidRPr="0033347A" w:rsidRDefault="0033347A" w:rsidP="0033347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21433" wp14:editId="009DC8F7">
                <wp:simplePos x="0" y="0"/>
                <wp:positionH relativeFrom="column">
                  <wp:posOffset>-9525</wp:posOffset>
                </wp:positionH>
                <wp:positionV relativeFrom="paragraph">
                  <wp:posOffset>200660</wp:posOffset>
                </wp:positionV>
                <wp:extent cx="5707380" cy="779145"/>
                <wp:effectExtent l="0" t="635" r="0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47A" w:rsidRPr="001806FA" w:rsidRDefault="0033347A" w:rsidP="0033347A">
                            <w:pPr>
                              <w:spacing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Figure 2.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Teacher-rated social aggression as a function of gender and teacher-rated defensive egotism.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.75pt;margin-top:15.8pt;width:449.4pt;height:6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a9hAIAABYFAAAOAAAAZHJzL2Uyb0RvYy54bWysVNuO2yAQfa/Uf0C8J7ZTJ46tdVZ7aapK&#10;24u02w8ggGNUDBRI7G3Vf++Ak2y2F6mq6gcMzHCYmXOGi8uhk2jPrRNa1TibphhxRTUTalvjTw/r&#10;yRIj54liRGrFa/zIHb5cvXxx0ZuKz3SrJeMWAYhyVW9q3HpvqiRxtOUdcVNtuAJjo21HPCztNmGW&#10;9IDeyWSWpouk15YZqyl3DnZvRyNeRfym4dR/aBrHPZI1hth8HG0cN2FMVhek2lpiWkEPYZB/iKIj&#10;QsGlJ6hb4gnaWfELVCeo1U43fkp1l+imEZTHHCCbLP0pm/uWGB5zgeI4cyqT+3+w9P3+o0WC1bjA&#10;SJEOKHrgg0fXekBFqE5vXAVO9wbc/ADbwHLM1Jk7TT87pPRNS9SWX1mr+5YTBtFl4WRydnTEcQFk&#10;07/TDK4hO68j0NDYLpQOioEAHVh6PDETQqGwOS/S4tUSTBRsRVFm+TxeQarjaWOdf8N1h8KkxhaY&#10;j+hkf+d8iIZUR5dwmdNSsLWQMi7sdnMjLdoTUMk6fgf0Z25SBWelw7ERcdyBIOGOYAvhRta/ldks&#10;T69n5WS9WBaTfJ3PJ2WRLidpVl6XizQv89v19xBglletYIyrO6H4UYFZ/ncMH3ph1E7UIOprXM5n&#10;85GiPyaZxu93SXbCQ0NK0dV4eXIiVSD2tWKQNqk8EXKcJ8/Dj1WGGhz/sSpRBoH5UQN+2AxRb1Ej&#10;QSIbzR5BF1YDbcAwPCYwabX9ilEPjVlj92VHLMdIvlWgLeA+D50cF/m8mMHCnls25xaiKEDV2GM0&#10;Tm/82P07Y8W2hZtGNSt9BXpsRJTKU1QHFUPzxZwOD0Xo7vN19Hp6zlY/AAAA//8DAFBLAwQUAAYA&#10;CAAAACEAad7O7t4AAAAJAQAADwAAAGRycy9kb3ducmV2LnhtbEyPQW6DMBBF95V6B2sqdVMlhhIg&#10;IZiordSq26Q5gIEJoOAxwk4gt+901SxH/+n/N/luNr244ug6SwrCZQACqbJ1R42C48/nYg3CeU21&#10;7i2hghs62BWPD7nOajvRHq8H3wguIZdpBa33Qyalq1o02i3tgMTZyY5Gez7HRtajnrjc9PI1CBJp&#10;dEe80OoBP1qszoeLUXD6nl7izVR++WO6XyXvuktLe1Pq+Wl+24LwOPt/GP70WR0KdirthWonegWL&#10;MGZSQRQmIDhfb9IIRMlgvIpAFrm8/6D4BQAA//8DAFBLAQItABQABgAIAAAAIQC2gziS/gAAAOEB&#10;AAATAAAAAAAAAAAAAAAAAAAAAABbQ29udGVudF9UeXBlc10ueG1sUEsBAi0AFAAGAAgAAAAhADj9&#10;If/WAAAAlAEAAAsAAAAAAAAAAAAAAAAALwEAAF9yZWxzLy5yZWxzUEsBAi0AFAAGAAgAAAAhAC15&#10;lr2EAgAAFgUAAA4AAAAAAAAAAAAAAAAALgIAAGRycy9lMm9Eb2MueG1sUEsBAi0AFAAGAAgAAAAh&#10;AGnezu7eAAAACQEAAA8AAAAAAAAAAAAAAAAA3gQAAGRycy9kb3ducmV2LnhtbFBLBQYAAAAABAAE&#10;APMAAADpBQAAAAA=&#10;" stroked="f">
                <v:textbox>
                  <w:txbxContent>
                    <w:p w:rsidR="0033347A" w:rsidRPr="001806FA" w:rsidRDefault="0033347A" w:rsidP="0033347A">
                      <w:pPr>
                        <w:spacing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Figure 2.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Teacher-rated social aggression as a function of gender and teacher-rated defensive egotism.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3347A" w:rsidRPr="0033347A" w:rsidRDefault="0033347A" w:rsidP="0033347A">
      <w:pPr>
        <w:rPr>
          <w:rFonts w:ascii="Times New Roman" w:eastAsia="Calibri" w:hAnsi="Times New Roman" w:cs="Times New Roman"/>
          <w:sz w:val="24"/>
          <w:szCs w:val="24"/>
        </w:rPr>
      </w:pPr>
    </w:p>
    <w:p w:rsidR="0033347A" w:rsidRPr="0033347A" w:rsidRDefault="0033347A" w:rsidP="0033347A">
      <w:pPr>
        <w:rPr>
          <w:rFonts w:ascii="Times New Roman" w:eastAsia="Calibri" w:hAnsi="Times New Roman" w:cs="Times New Roman"/>
          <w:sz w:val="24"/>
          <w:szCs w:val="24"/>
        </w:rPr>
      </w:pPr>
    </w:p>
    <w:p w:rsidR="0033347A" w:rsidRPr="0033347A" w:rsidRDefault="0033347A" w:rsidP="0033347A">
      <w:pPr>
        <w:rPr>
          <w:rFonts w:ascii="Times New Roman" w:eastAsia="Calibri" w:hAnsi="Times New Roman" w:cs="Times New Roman"/>
          <w:sz w:val="24"/>
          <w:szCs w:val="24"/>
        </w:rPr>
      </w:pPr>
      <w:r w:rsidRPr="0033347A">
        <w:rPr>
          <w:rFonts w:ascii="Times New Roman" w:eastAsia="Calibri" w:hAnsi="Times New Roman" w:cs="Times New Roman"/>
          <w:sz w:val="24"/>
          <w:szCs w:val="24"/>
        </w:rPr>
        <w:br w:type="page"/>
      </w:r>
      <w:r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35684" wp14:editId="0C8AD4EF">
                <wp:simplePos x="0" y="0"/>
                <wp:positionH relativeFrom="column">
                  <wp:posOffset>213360</wp:posOffset>
                </wp:positionH>
                <wp:positionV relativeFrom="paragraph">
                  <wp:posOffset>4154170</wp:posOffset>
                </wp:positionV>
                <wp:extent cx="5636895" cy="610235"/>
                <wp:effectExtent l="3810" t="127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61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47A" w:rsidRPr="001806FA" w:rsidRDefault="0033347A" w:rsidP="0033347A">
                            <w:pPr>
                              <w:spacing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Figure 3.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Peer-rated victim of bullying as a function of gender and peer-rated self-esteem.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6.8pt;margin-top:327.1pt;width:443.85pt;height: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X0hgIAABYFAAAOAAAAZHJzL2Uyb0RvYy54bWysVMlu2zAQvRfoPxC8O1oiKZZgOchSFwXS&#10;BUj6AbRIWUQpkiVpS2nQf++Qsh2nC1AU1YHiMnyzvDdcXI69QDtmLFeyxslZjBGTjaJcbmr8+WE1&#10;m2NkHZGUCCVZjR+ZxZfL168Wg65YqjolKDMIQKStBl3jzjldRZFtOtYTe6Y0k3DYKtMTB0uziagh&#10;A6D3IkrjuIgGZag2qmHWwu7tdIiXAb9tWeM+tq1lDokaQ2wujCaMaz9GywWpNobojjf7MMg/RNET&#10;LsHpEeqWOIK2hv8C1fPGKKtad9aoPlJtyxsWcoBskvinbO47olnIBYpj9bFM9v/BNh92nwzitMYF&#10;RpL0QNEDGx26ViMqfHUGbSswutdg5kbYBpZDplbfqeaLRVLddERu2JUxaugYoRBd4m9GJ1cnHOtB&#10;1sN7RcEN2ToVgMbW9L50UAwE6MDS45EZH0oDm3lxXszLHKMGzookTs/z4IJUh9vaWPeWqR75SY0N&#10;MB/Qye7OOh8NqQ4m3plVgtMVFyIszGZ9IwzaEVDJKnx79BdmQnpjqfy1CXHagSDBhz/z4QbWn8ok&#10;zeLrtJytivnFLFtl+ay8iOezOCmvyyLOyux29d0HmGRVxyll8o5LdlBgkv0dw/temLQTNIiGGpd5&#10;mk8U/THJOHy/S7LnDhpS8L7G86MRqTyxbySFtEnlCBfTPHoZfqgy1ODwD1UJMvDMTxpw43oMeku9&#10;dy+RtaKPoAujgDYgHx4TmHTKfMNogMassf26JYZhJN5J0FaZZJnv5LDI8osUFub0ZH16QmQDUDV2&#10;GE3TGzd1/1YbvunA06Rmqa5Ajy0PUnmOaq9iaL6Q0/6h8N19ug5Wz8/Z8gcAAAD//wMAUEsDBBQA&#10;BgAIAAAAIQDbEp6l3wAAAAoBAAAPAAAAZHJzL2Rvd25yZXYueG1sTI/RToNAEEXfTfyHzZj4YuxS&#10;KGCRoVETja+t/YCFnQKRnSXsttC/d33Sx8k9ufdMuVvMIC40ud4ywnoVgSBurO65RTh+vT8+gXBe&#10;sVaDZUK4koNddXtTqkLbmfd0OfhWhBJ2hULovB8LKV3TkVFuZUfikJ3sZJQP59RKPak5lJtBxlGU&#10;SaN6DgudGumto+b7cDYIp8/5Id3O9Yc/5vtN9qr6vLZXxPu75eUZhKfF/8Hwqx/UoQpOtT2zdmJA&#10;SJIskAhZuolBBGAbrxMQNUKeRgnIqpT/X6h+AAAA//8DAFBLAQItABQABgAIAAAAIQC2gziS/gAA&#10;AOEBAAATAAAAAAAAAAAAAAAAAAAAAABbQ29udGVudF9UeXBlc10ueG1sUEsBAi0AFAAGAAgAAAAh&#10;ADj9If/WAAAAlAEAAAsAAAAAAAAAAAAAAAAALwEAAF9yZWxzLy5yZWxzUEsBAi0AFAAGAAgAAAAh&#10;AB5sVfSGAgAAFgUAAA4AAAAAAAAAAAAAAAAALgIAAGRycy9lMm9Eb2MueG1sUEsBAi0AFAAGAAgA&#10;AAAhANsSnqXfAAAACgEAAA8AAAAAAAAAAAAAAAAA4AQAAGRycy9kb3ducmV2LnhtbFBLBQYAAAAA&#10;BAAEAPMAAADsBQAAAAA=&#10;" stroked="f">
                <v:textbox>
                  <w:txbxContent>
                    <w:p w:rsidR="0033347A" w:rsidRPr="001806FA" w:rsidRDefault="0033347A" w:rsidP="0033347A">
                      <w:pPr>
                        <w:spacing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Figure 3.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Peer-rated victim of bullying as a function of gender and peer-rated self-esteem.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w:drawing>
          <wp:inline distT="0" distB="0" distL="0" distR="0" wp14:anchorId="45177EA2" wp14:editId="3161F454">
            <wp:extent cx="7448550" cy="4048125"/>
            <wp:effectExtent l="0" t="0" r="0" b="0"/>
            <wp:docPr id="2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3347A" w:rsidRPr="0033347A" w:rsidRDefault="0033347A" w:rsidP="0033347A">
      <w:pPr>
        <w:rPr>
          <w:rFonts w:ascii="Times New Roman" w:eastAsia="Calibri" w:hAnsi="Times New Roman" w:cs="Times New Roman"/>
          <w:sz w:val="24"/>
          <w:szCs w:val="24"/>
        </w:rPr>
      </w:pPr>
    </w:p>
    <w:p w:rsidR="0033347A" w:rsidRPr="0033347A" w:rsidRDefault="0033347A" w:rsidP="0033347A">
      <w:pPr>
        <w:rPr>
          <w:rFonts w:ascii="Times New Roman" w:eastAsia="Calibri" w:hAnsi="Times New Roman" w:cs="Times New Roman"/>
          <w:sz w:val="24"/>
          <w:szCs w:val="24"/>
        </w:rPr>
      </w:pPr>
    </w:p>
    <w:p w:rsidR="0033347A" w:rsidRPr="0033347A" w:rsidRDefault="0033347A" w:rsidP="0033347A">
      <w:pPr>
        <w:rPr>
          <w:rFonts w:ascii="Times New Roman" w:eastAsia="Calibri" w:hAnsi="Times New Roman" w:cs="Times New Roman"/>
          <w:sz w:val="24"/>
          <w:szCs w:val="24"/>
        </w:rPr>
      </w:pPr>
    </w:p>
    <w:p w:rsidR="0033347A" w:rsidRPr="0033347A" w:rsidRDefault="0033347A" w:rsidP="0033347A">
      <w:pPr>
        <w:tabs>
          <w:tab w:val="left" w:pos="6244"/>
        </w:tabs>
        <w:rPr>
          <w:rFonts w:ascii="Times New Roman" w:eastAsia="Calibri" w:hAnsi="Times New Roman" w:cs="Times New Roman"/>
          <w:sz w:val="24"/>
          <w:szCs w:val="24"/>
        </w:rPr>
      </w:pPr>
      <w:r w:rsidRPr="0033347A">
        <w:rPr>
          <w:rFonts w:ascii="Times New Roman" w:eastAsia="Calibri" w:hAnsi="Times New Roman" w:cs="Times New Roman"/>
          <w:sz w:val="24"/>
          <w:szCs w:val="24"/>
        </w:rPr>
        <w:tab/>
      </w:r>
    </w:p>
    <w:p w:rsidR="0033347A" w:rsidRPr="0033347A" w:rsidRDefault="0033347A" w:rsidP="0033347A">
      <w:pPr>
        <w:rPr>
          <w:rFonts w:ascii="Times New Roman" w:eastAsia="Calibri" w:hAnsi="Times New Roman" w:cs="Times New Roman"/>
          <w:sz w:val="24"/>
          <w:szCs w:val="24"/>
        </w:rPr>
      </w:pPr>
      <w:r w:rsidRPr="0033347A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516BC2" w:rsidRDefault="0033347A" w:rsidP="0033347A">
      <w:r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70E70" wp14:editId="5C21A2F2">
                <wp:simplePos x="0" y="0"/>
                <wp:positionH relativeFrom="column">
                  <wp:posOffset>67310</wp:posOffset>
                </wp:positionH>
                <wp:positionV relativeFrom="paragraph">
                  <wp:posOffset>4097020</wp:posOffset>
                </wp:positionV>
                <wp:extent cx="5449570" cy="781685"/>
                <wp:effectExtent l="635" t="127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570" cy="78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47A" w:rsidRPr="001806FA" w:rsidRDefault="0033347A" w:rsidP="0033347A">
                            <w:pPr>
                              <w:spacing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Figure 4.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Peer-rated defends the victim of bullying as a function of gender and peer-rated self-esteem.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.3pt;margin-top:322.6pt;width:429.1pt;height:6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4vJhgIAABYFAAAOAAAAZHJzL2Uyb0RvYy54bWysVNuO2yAQfa/Uf0C8Z22ndhJbcVZ7aapK&#10;24u02w8ggGNUDBRI7O2q/94BJ2m6baWqqh8wMMPhzMwZlpdDJ9GeWye0qnF2kWLEFdVMqG2NPz2s&#10;JwuMnCeKEakVr/Ejd/hy9fLFsjcVn+pWS8YtAhDlqt7UuPXeVEniaMs74i604QqMjbYd8bC024RZ&#10;0gN6J5Npms6SXltmrKbcOdi9HY14FfGbhlP/oWkc90jWGLj5ONo4bsKYrJak2lpiWkEPNMg/sOiI&#10;UHDpCeqWeIJ2VvwC1QlqtdONv6C6S3TTCMpjDBBNlj6L5r4lhsdYIDnOnNLk/h8sfb//aJFgNS4w&#10;UqSDEj3wwaNrPaAiZKc3rgKnewNufoBtqHKM1Jk7TT87pPRNS9SWX1mr+5YTBuyycDI5OzriuACy&#10;6d9pBteQndcRaGhsF1IHyUCADlV6PFUmUKGwWeR5WczBRME2X2SzRSSXkOp42ljn33DdoTCpsYXK&#10;R3Syv3M+sCHV0SVc5rQUbC2kjAu73dxIi/YEVLKOXwzgmZtUwVnpcGxEHHeAJNwRbIFurPpTmU3z&#10;9HpaTtazxXySr/NiUs7TxSTNyutyluZlfrv+FghmedUKxri6E4ofFZjlf1fhQy+M2okaRH2Ny2Ja&#10;jCX6Y5Bp/H4XZCc8NKQUXY0XJydShcK+VgzCJpUnQo7z5Gf6McuQg+M/ZiXKIFR+1IAfNkPU26uj&#10;ujaaPYIurIayQYXhMYFJq+1XjHpozBq7LztiOUbyrQJtlVmeh06Oi7yYT2Fhzy2bcwtRFKBq7DEa&#10;pzd+7P6dsWLbwk2jmpW+Aj02IkolCHdkdVAxNF+M6fBQhO4+X0evH8/Z6jsAAAD//wMAUEsDBBQA&#10;BgAIAAAAIQBu43x93gAAAAoBAAAPAAAAZHJzL2Rvd25yZXYueG1sTI9BTsMwEEX3SNzBGiQ2iDqU&#10;1gkhTgVIRWxbegAnniYR8TiK3Sa9PdMVLL/m6c/7xWZ2vTjjGDpPGp4WCQik2tuOGg2H7+1jBiJE&#10;Q9b0nlDDBQNsytubwuTWT7TD8z42gkso5EZDG+OQSxnqFp0JCz8g8e3oR2cix7GRdjQTl7teLpNE&#10;SWc64g+tGfCjxfpnf3Iajl/Tw/plqj7jId2t1Lvp0spftL6/m99eQUSc4x8MV31Wh5KdKn8iG0TP&#10;OVFMalCr9RIEA5nKeEulIVXZM8iykP8nlL8AAAD//wMAUEsBAi0AFAAGAAgAAAAhALaDOJL+AAAA&#10;4QEAABMAAAAAAAAAAAAAAAAAAAAAAFtDb250ZW50X1R5cGVzXS54bWxQSwECLQAUAAYACAAAACEA&#10;OP0h/9YAAACUAQAACwAAAAAAAAAAAAAAAAAvAQAAX3JlbHMvLnJlbHNQSwECLQAUAAYACAAAACEA&#10;9A+LyYYCAAAWBQAADgAAAAAAAAAAAAAAAAAuAgAAZHJzL2Uyb0RvYy54bWxQSwECLQAUAAYACAAA&#10;ACEAbuN8fd4AAAAKAQAADwAAAAAAAAAAAAAAAADgBAAAZHJzL2Rvd25yZXYueG1sUEsFBgAAAAAE&#10;AAQA8wAAAOsFAAAAAA==&#10;" stroked="f">
                <v:textbox>
                  <w:txbxContent>
                    <w:p w:rsidR="0033347A" w:rsidRPr="001806FA" w:rsidRDefault="0033347A" w:rsidP="0033347A">
                      <w:pPr>
                        <w:spacing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Figure 4.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Peer-rated defends the victim of bullying as a function of gender and peer-rated self-esteem.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w:drawing>
          <wp:inline distT="0" distB="0" distL="0" distR="0" wp14:anchorId="117509F7" wp14:editId="520BF95C">
            <wp:extent cx="5934075" cy="386715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51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CC"/>
    <w:rsid w:val="002112CC"/>
    <w:rsid w:val="002F3BCA"/>
    <w:rsid w:val="0033347A"/>
    <w:rsid w:val="007B2C9C"/>
    <w:rsid w:val="00806774"/>
    <w:rsid w:val="00AB6992"/>
    <w:rsid w:val="00CB735E"/>
    <w:rsid w:val="00E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3.xml"/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4.xml"/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2823606837606838"/>
          <c:y val="4.050722610722611E-2"/>
          <c:w val="0.7008877566774746"/>
          <c:h val="0.81885655597398155"/>
        </c:manualLayout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Boys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errBars>
            <c:errDir val="y"/>
            <c:errBarType val="both"/>
            <c:errValType val="fixedVal"/>
            <c:noEndCap val="0"/>
            <c:val val="7.0000000000000007E-2"/>
            <c:spPr>
              <a:ln w="3154">
                <a:solidFill>
                  <a:srgbClr val="000000"/>
                </a:solidFill>
                <a:prstDash val="solid"/>
              </a:ln>
            </c:spPr>
          </c:errBars>
          <c:cat>
            <c:strRef>
              <c:f>Sheet1!$B$2:$C$2</c:f>
              <c:strCache>
                <c:ptCount val="2"/>
                <c:pt idx="0">
                  <c:v>-1 SD</c:v>
                </c:pt>
                <c:pt idx="1">
                  <c:v>+1 SD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0.112</c:v>
                </c:pt>
                <c:pt idx="1">
                  <c:v>0.54800000000000004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Girls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errBars>
            <c:errDir val="y"/>
            <c:errBarType val="both"/>
            <c:errValType val="fixedVal"/>
            <c:noEndCap val="0"/>
            <c:val val="7.0000000000000007E-2"/>
            <c:spPr>
              <a:ln w="3154">
                <a:solidFill>
                  <a:srgbClr val="000000"/>
                </a:solidFill>
                <a:prstDash val="solid"/>
              </a:ln>
            </c:spPr>
          </c:errBars>
          <c:cat>
            <c:strRef>
              <c:f>Sheet1!$B$2:$C$2</c:f>
              <c:strCache>
                <c:ptCount val="2"/>
                <c:pt idx="0">
                  <c:v>-1 SD</c:v>
                </c:pt>
                <c:pt idx="1">
                  <c:v>+1 SD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0.158</c:v>
                </c:pt>
                <c:pt idx="1">
                  <c:v>0.246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746240"/>
        <c:axId val="42748160"/>
      </c:lineChart>
      <c:catAx>
        <c:axId val="42746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92" b="1" i="0" u="none" strike="noStrike" baseline="0">
                    <a:solidFill>
                      <a:srgbClr val="000000"/>
                    </a:solidFill>
                    <a:latin typeface="Arial Black"/>
                    <a:ea typeface="Arial Black"/>
                    <a:cs typeface="Arial Black"/>
                  </a:defRPr>
                </a:pPr>
                <a:r>
                  <a:rPr lang="en-US"/>
                  <a:t>Peer-rated Defensive Egotism</a:t>
                </a:r>
              </a:p>
            </c:rich>
          </c:tx>
          <c:overlay val="0"/>
          <c:spPr>
            <a:noFill/>
            <a:ln w="2523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42748160"/>
        <c:crosses val="autoZero"/>
        <c:auto val="1"/>
        <c:lblAlgn val="ctr"/>
        <c:lblOffset val="100"/>
        <c:noMultiLvlLbl val="0"/>
      </c:catAx>
      <c:valAx>
        <c:axId val="427481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92" b="1" i="0" u="none" strike="noStrike" baseline="0">
                    <a:solidFill>
                      <a:srgbClr val="000000"/>
                    </a:solidFill>
                    <a:latin typeface="Arial Black"/>
                    <a:ea typeface="Arial Black"/>
                    <a:cs typeface="Arial Black"/>
                  </a:defRPr>
                </a:pPr>
                <a:r>
                  <a:rPr lang="en-US"/>
                  <a:t>Peer-rated Bullying</a:t>
                </a:r>
              </a:p>
            </c:rich>
          </c:tx>
          <c:layout>
            <c:manualLayout>
              <c:xMode val="edge"/>
              <c:yMode val="edge"/>
              <c:x val="1.426034188034188E-2"/>
              <c:y val="0.28662634032634038"/>
            </c:manualLayout>
          </c:layout>
          <c:overlay val="0"/>
          <c:spPr>
            <a:noFill/>
            <a:ln w="2523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42746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6574820512820509"/>
          <c:y val="0.32344009324009326"/>
          <c:w val="0.15243350427350422"/>
          <c:h val="0.10990722610722609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192">
          <a:latin typeface="Arial Black" pitchFamily="34" charset="0"/>
        </a:defRPr>
      </a:pPr>
      <a:endParaRPr lang="en-US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Boys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errBars>
            <c:errDir val="y"/>
            <c:errBarType val="both"/>
            <c:errValType val="fixedVal"/>
            <c:noEndCap val="0"/>
            <c:val val="7.0000000000000007E-2"/>
            <c:spPr>
              <a:ln w="3170">
                <a:solidFill>
                  <a:srgbClr val="000000"/>
                </a:solidFill>
                <a:prstDash val="solid"/>
              </a:ln>
            </c:spPr>
          </c:errBars>
          <c:cat>
            <c:strRef>
              <c:f>Sheet1!$B$2:$C$2</c:f>
              <c:strCache>
                <c:ptCount val="2"/>
                <c:pt idx="0">
                  <c:v>-1 SD</c:v>
                </c:pt>
                <c:pt idx="1">
                  <c:v>+1 SD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4.1000000000000002E-2</c:v>
                </c:pt>
                <c:pt idx="1">
                  <c:v>0.48499999999999999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Girls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errBars>
            <c:errDir val="y"/>
            <c:errBarType val="both"/>
            <c:errValType val="fixedVal"/>
            <c:noEndCap val="0"/>
            <c:val val="7.0000000000000007E-2"/>
            <c:spPr>
              <a:ln w="3170">
                <a:solidFill>
                  <a:srgbClr val="000000"/>
                </a:solidFill>
                <a:prstDash val="solid"/>
              </a:ln>
            </c:spPr>
          </c:errBars>
          <c:cat>
            <c:strRef>
              <c:f>Sheet1!$B$2:$C$2</c:f>
              <c:strCache>
                <c:ptCount val="2"/>
                <c:pt idx="0">
                  <c:v>-1 SD</c:v>
                </c:pt>
                <c:pt idx="1">
                  <c:v>+1 SD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1.9E-2</c:v>
                </c:pt>
                <c:pt idx="1">
                  <c:v>0.75900000000000001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00640"/>
        <c:axId val="40802560"/>
      </c:lineChart>
      <c:catAx>
        <c:axId val="4080064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196" b="0" i="0" u="none" strike="noStrike" baseline="0">
                    <a:solidFill>
                      <a:srgbClr val="000000"/>
                    </a:solidFill>
                    <a:latin typeface="Arial Black"/>
                    <a:ea typeface="Arial Black"/>
                    <a:cs typeface="Arial Black"/>
                  </a:defRPr>
                </a:pPr>
                <a:r>
                  <a:rPr lang="en-US" sz="1198" b="1" i="0" u="none" strike="noStrike" baseline="0">
                    <a:solidFill>
                      <a:srgbClr val="000000"/>
                    </a:solidFill>
                    <a:latin typeface="Arial Black"/>
                  </a:rPr>
                  <a:t>-1 SD                                +1 SD    </a:t>
                </a:r>
              </a:p>
              <a:p>
                <a:pPr>
                  <a:defRPr sz="1196" b="0" i="0" u="none" strike="noStrike" baseline="0">
                    <a:solidFill>
                      <a:srgbClr val="000000"/>
                    </a:solidFill>
                    <a:latin typeface="Arial Black"/>
                    <a:ea typeface="Arial Black"/>
                    <a:cs typeface="Arial Black"/>
                  </a:defRPr>
                </a:pPr>
                <a:r>
                  <a:rPr lang="en-US" sz="1198" b="1" i="0" u="none" strike="noStrike" baseline="0">
                    <a:solidFill>
                      <a:srgbClr val="000000"/>
                    </a:solidFill>
                    <a:latin typeface="Arial Black"/>
                  </a:rPr>
                  <a:t>Teacher-rated Defensive Egotism</a:t>
                </a:r>
              </a:p>
            </c:rich>
          </c:tx>
          <c:layout>
            <c:manualLayout>
              <c:xMode val="edge"/>
              <c:yMode val="edge"/>
              <c:x val="0.25073619054947122"/>
              <c:y val="0.87931203931203938"/>
            </c:manualLayout>
          </c:layout>
          <c:overlay val="0"/>
        </c:title>
        <c:majorTickMark val="out"/>
        <c:minorTickMark val="none"/>
        <c:tickLblPos val="nextTo"/>
        <c:crossAx val="40802560"/>
        <c:crosses val="autoZero"/>
        <c:auto val="1"/>
        <c:lblAlgn val="ctr"/>
        <c:lblOffset val="100"/>
        <c:noMultiLvlLbl val="0"/>
      </c:catAx>
      <c:valAx>
        <c:axId val="40802560"/>
        <c:scaling>
          <c:orientation val="minMax"/>
          <c:min val="-0.1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98" b="1" i="0" u="none" strike="noStrike" baseline="0">
                    <a:solidFill>
                      <a:srgbClr val="000000"/>
                    </a:solidFill>
                    <a:latin typeface="Arial Black"/>
                    <a:ea typeface="Arial Black"/>
                    <a:cs typeface="Arial Black"/>
                  </a:defRPr>
                </a:pPr>
                <a:r>
                  <a:rPr lang="en-US"/>
                  <a:t>Teacher-rated Social Aggression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08006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7646139509434289"/>
          <c:y val="0.4305818775110114"/>
          <c:w val="0.1452855933724897"/>
          <c:h val="0.1169334545712498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198">
          <a:latin typeface="Arial Black" pitchFamily="34" charset="0"/>
        </a:defRPr>
      </a:pPr>
      <a:endParaRPr lang="en-US"/>
    </a:p>
  </c:txPr>
  <c:externalData r:id="rId2">
    <c:autoUpdate val="0"/>
  </c:externalData>
  <c:userShapes r:id="rId3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Boys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errBars>
            <c:errDir val="y"/>
            <c:errBarType val="both"/>
            <c:errValType val="fixedVal"/>
            <c:noEndCap val="0"/>
            <c:val val="8.0000000000000016E-2"/>
            <c:spPr>
              <a:ln w="3053">
                <a:solidFill>
                  <a:srgbClr val="000000"/>
                </a:solidFill>
                <a:prstDash val="solid"/>
              </a:ln>
            </c:spPr>
          </c:errBars>
          <c:cat>
            <c:strRef>
              <c:f>Sheet1!$B$2:$C$2</c:f>
              <c:strCache>
                <c:ptCount val="2"/>
                <c:pt idx="0">
                  <c:v>-1 SD</c:v>
                </c:pt>
                <c:pt idx="1">
                  <c:v>+1 SD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0.54100000000000004</c:v>
                </c:pt>
                <c:pt idx="1">
                  <c:v>0.13100000000000001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Girls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errBars>
            <c:errDir val="y"/>
            <c:errBarType val="both"/>
            <c:errValType val="fixedVal"/>
            <c:noEndCap val="0"/>
            <c:val val="8.0000000000000016E-2"/>
            <c:spPr>
              <a:ln w="3053">
                <a:solidFill>
                  <a:srgbClr val="000000"/>
                </a:solidFill>
                <a:prstDash val="solid"/>
              </a:ln>
            </c:spPr>
          </c:errBars>
          <c:cat>
            <c:strRef>
              <c:f>Sheet1!$B$2:$C$2</c:f>
              <c:strCache>
                <c:ptCount val="2"/>
                <c:pt idx="0">
                  <c:v>-1 SD</c:v>
                </c:pt>
                <c:pt idx="1">
                  <c:v>+1 SD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0.159</c:v>
                </c:pt>
                <c:pt idx="1">
                  <c:v>9.7000000000000003E-2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89120"/>
        <c:axId val="40791040"/>
      </c:lineChart>
      <c:catAx>
        <c:axId val="40789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54" b="1" i="0" u="none" strike="noStrike" baseline="0">
                    <a:solidFill>
                      <a:srgbClr val="000000"/>
                    </a:solidFill>
                    <a:latin typeface="Arial Black"/>
                    <a:ea typeface="Arial Black"/>
                    <a:cs typeface="Arial Black"/>
                  </a:defRPr>
                </a:pPr>
                <a:r>
                  <a:rPr lang="en-US"/>
                  <a:t>Peer-Rated Self-esteem</a:t>
                </a:r>
              </a:p>
            </c:rich>
          </c:tx>
          <c:overlay val="0"/>
          <c:spPr>
            <a:noFill/>
            <a:ln w="2442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40791040"/>
        <c:crosses val="autoZero"/>
        <c:auto val="1"/>
        <c:lblAlgn val="ctr"/>
        <c:lblOffset val="100"/>
        <c:noMultiLvlLbl val="0"/>
      </c:catAx>
      <c:valAx>
        <c:axId val="40791040"/>
        <c:scaling>
          <c:orientation val="minMax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54" b="1" i="0" u="none" strike="noStrike" baseline="0">
                    <a:solidFill>
                      <a:srgbClr val="000000"/>
                    </a:solidFill>
                    <a:latin typeface="Arial Black"/>
                    <a:ea typeface="Arial Black"/>
                    <a:cs typeface="Arial Black"/>
                  </a:defRPr>
                </a:pPr>
                <a:r>
                  <a:rPr lang="en-US"/>
                  <a:t>Peer-rated Victim of Bullying</a:t>
                </a:r>
              </a:p>
            </c:rich>
          </c:tx>
          <c:overlay val="0"/>
          <c:spPr>
            <a:noFill/>
            <a:ln w="24420">
              <a:noFill/>
            </a:ln>
          </c:spPr>
        </c:title>
        <c:numFmt formatCode="General" sourceLinked="1"/>
        <c:majorTickMark val="out"/>
        <c:minorTickMark val="none"/>
        <c:tickLblPos val="nextTo"/>
        <c:crossAx val="407891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7646134076990372"/>
          <c:y val="0.4305816611633223"/>
          <c:w val="0.1452856722987752"/>
          <c:h val="0.116933367200067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154">
          <a:latin typeface="Arial Black" pitchFamily="34" charset="0"/>
        </a:defRPr>
      </a:pPr>
      <a:endParaRPr lang="en-US"/>
    </a:p>
  </c:txPr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7851633366676073"/>
          <c:y val="5.5420875420875419E-2"/>
          <c:w val="0.63364419024169205"/>
          <c:h val="0.75891115883241866"/>
        </c:manualLayout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Boys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errBars>
            <c:errDir val="y"/>
            <c:errBarType val="both"/>
            <c:errValType val="fixedVal"/>
            <c:noEndCap val="0"/>
            <c:val val="7.0000000000000007E-2"/>
            <c:spPr>
              <a:ln w="3170">
                <a:solidFill>
                  <a:srgbClr val="000000"/>
                </a:solidFill>
                <a:prstDash val="solid"/>
              </a:ln>
            </c:spPr>
          </c:errBars>
          <c:cat>
            <c:strRef>
              <c:f>Sheet1!$B$2:$C$2</c:f>
              <c:strCache>
                <c:ptCount val="2"/>
                <c:pt idx="0">
                  <c:v>-1 SD</c:v>
                </c:pt>
                <c:pt idx="1">
                  <c:v>+1 SD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0.41499999999999998</c:v>
                </c:pt>
                <c:pt idx="1">
                  <c:v>0.64500000000000002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Girls</c:v>
                </c:pt>
              </c:strCache>
            </c:strRef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errBars>
            <c:errDir val="y"/>
            <c:errBarType val="both"/>
            <c:errValType val="fixedVal"/>
            <c:noEndCap val="0"/>
            <c:val val="7.0000000000000007E-2"/>
            <c:spPr>
              <a:ln w="3170">
                <a:solidFill>
                  <a:srgbClr val="000000"/>
                </a:solidFill>
                <a:prstDash val="solid"/>
              </a:ln>
            </c:spPr>
          </c:errBars>
          <c:cat>
            <c:strRef>
              <c:f>Sheet1!$B$2:$C$2</c:f>
              <c:strCache>
                <c:ptCount val="2"/>
                <c:pt idx="0">
                  <c:v>-1 SD</c:v>
                </c:pt>
                <c:pt idx="1">
                  <c:v>+1 SD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0.58099999999999996</c:v>
                </c:pt>
                <c:pt idx="1">
                  <c:v>0.98299999999999998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281216"/>
        <c:axId val="170283392"/>
      </c:lineChart>
      <c:catAx>
        <c:axId val="170281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98" b="1" i="0" u="none" strike="noStrike" baseline="0">
                    <a:solidFill>
                      <a:srgbClr val="000000"/>
                    </a:solidFill>
                    <a:latin typeface="Arial Black"/>
                    <a:ea typeface="Arial Black"/>
                    <a:cs typeface="Arial Black"/>
                  </a:defRPr>
                </a:pPr>
                <a:r>
                  <a:rPr lang="en-US"/>
                  <a:t>Peer-Rated Self-esteem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283392"/>
        <c:crosses val="autoZero"/>
        <c:auto val="1"/>
        <c:lblAlgn val="ctr"/>
        <c:lblOffset val="100"/>
        <c:noMultiLvlLbl val="0"/>
      </c:catAx>
      <c:valAx>
        <c:axId val="170283392"/>
        <c:scaling>
          <c:orientation val="minMax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98" b="1" i="0" u="none" strike="noStrike" baseline="0">
                    <a:solidFill>
                      <a:srgbClr val="000000"/>
                    </a:solidFill>
                    <a:latin typeface="Arial Black"/>
                    <a:ea typeface="Arial Black"/>
                    <a:cs typeface="Arial Black"/>
                  </a:defRPr>
                </a:pPr>
                <a:r>
                  <a:rPr lang="en-US"/>
                  <a:t>Peer-rated Defends the Victim of Bullying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2812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7646139509434289"/>
          <c:y val="0.43058166971552797"/>
          <c:w val="0.1452855933724897"/>
          <c:h val="0.1169333757522734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198">
          <a:latin typeface="Arial Black" pitchFamily="34" charset="0"/>
        </a:defRPr>
      </a:pPr>
      <a:endParaRPr lang="en-US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</cdr:x>
      <cdr:y>0</cdr:y>
    </cdr:to>
    <cdr:sp macro="" textlink="">
      <cdr:nvSpPr>
        <cdr:cNvPr id="2" name="TextBox 1"/>
        <cdr:cNvSpPr txBox="1"/>
      </cdr:nvSpPr>
      <cdr:spPr>
        <a:xfrm xmlns:a="http://schemas.openxmlformats.org/drawingml/2006/main" flipV="1">
          <a:off x="-38100" y="-1266825"/>
          <a:ext cx="0" cy="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</cdr:x>
      <cdr:y>0</cdr:y>
    </cdr:to>
    <cdr:sp macro="" textlink="">
      <cdr:nvSpPr>
        <cdr:cNvPr id="2" name="TextBox 1"/>
        <cdr:cNvSpPr txBox="1"/>
      </cdr:nvSpPr>
      <cdr:spPr>
        <a:xfrm xmlns:a="http://schemas.openxmlformats.org/drawingml/2006/main" flipV="1">
          <a:off x="-38100" y="-1266825"/>
          <a:ext cx="0" cy="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</cdr:x>
      <cdr:y>0</cdr:y>
    </cdr:to>
    <cdr:sp macro="" textlink="">
      <cdr:nvSpPr>
        <cdr:cNvPr id="2" name="TextBox 1"/>
        <cdr:cNvSpPr txBox="1"/>
      </cdr:nvSpPr>
      <cdr:spPr>
        <a:xfrm xmlns:a="http://schemas.openxmlformats.org/drawingml/2006/main" flipV="1">
          <a:off x="-38100" y="-1266825"/>
          <a:ext cx="0" cy="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0.25401</cdr:x>
      <cdr:y>0.80287</cdr:y>
    </cdr:from>
    <cdr:to>
      <cdr:x>0.64973</cdr:x>
      <cdr:y>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809749" y="3724275"/>
          <a:ext cx="2819401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>
            <a:lnSpc>
              <a:spcPts val="1200"/>
            </a:lnSpc>
          </a:pPr>
          <a:endParaRPr lang="en-US" sz="1100">
            <a:latin typeface="Arial Black" pitchFamily="34" charset="0"/>
          </a:endParaRPr>
        </a:p>
        <a:p xmlns:a="http://schemas.openxmlformats.org/drawingml/2006/main">
          <a:pPr>
            <a:lnSpc>
              <a:spcPts val="1200"/>
            </a:lnSpc>
          </a:pPr>
          <a:endParaRPr lang="en-US" sz="1100">
            <a:latin typeface="Arial Black" pitchFamily="34" charset="0"/>
          </a:endParaRPr>
        </a:p>
        <a:p xmlns:a="http://schemas.openxmlformats.org/drawingml/2006/main">
          <a:pPr>
            <a:lnSpc>
              <a:spcPts val="1200"/>
            </a:lnSpc>
          </a:pPr>
          <a:r>
            <a:rPr lang="en-US" sz="1100">
              <a:latin typeface="Arial Black" pitchFamily="34" charset="0"/>
            </a:rPr>
            <a:t>  </a:t>
          </a:r>
        </a:p>
        <a:p xmlns:a="http://schemas.openxmlformats.org/drawingml/2006/main">
          <a:pPr>
            <a:lnSpc>
              <a:spcPts val="1200"/>
            </a:lnSpc>
          </a:pPr>
          <a:endParaRPr lang="en-US" sz="1100">
            <a:latin typeface="Arial Black" pitchFamily="34" charset="0"/>
          </a:endParaRPr>
        </a:p>
        <a:p xmlns:a="http://schemas.openxmlformats.org/drawingml/2006/main">
          <a:pPr>
            <a:lnSpc>
              <a:spcPts val="1200"/>
            </a:lnSpc>
          </a:pPr>
          <a:r>
            <a:rPr lang="en-US" sz="1100">
              <a:latin typeface="Arial Black" pitchFamily="34" charset="0"/>
            </a:rPr>
            <a:t>Teacher-rated Defensive Egotism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</cdr:x>
      <cdr:y>0</cdr:y>
    </cdr:to>
    <cdr:sp macro="" textlink="">
      <cdr:nvSpPr>
        <cdr:cNvPr id="2" name="TextBox 1"/>
        <cdr:cNvSpPr txBox="1"/>
      </cdr:nvSpPr>
      <cdr:spPr>
        <a:xfrm xmlns:a="http://schemas.openxmlformats.org/drawingml/2006/main" flipV="1">
          <a:off x="-38100" y="-1266825"/>
          <a:ext cx="0" cy="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0.25401</cdr:x>
      <cdr:y>0.80287</cdr:y>
    </cdr:from>
    <cdr:to>
      <cdr:x>0.64973</cdr:x>
      <cdr:y>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809749" y="3724275"/>
          <a:ext cx="2819401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>
            <a:lnSpc>
              <a:spcPts val="1500"/>
            </a:lnSpc>
          </a:pPr>
          <a:endParaRPr lang="en-US" sz="1100">
            <a:latin typeface="Arial Black" pitchFamily="34" charset="0"/>
          </a:endParaRPr>
        </a:p>
        <a:p xmlns:a="http://schemas.openxmlformats.org/drawingml/2006/main">
          <a:pPr>
            <a:lnSpc>
              <a:spcPts val="1500"/>
            </a:lnSpc>
          </a:pPr>
          <a:endParaRPr lang="en-US" sz="1100">
            <a:latin typeface="Arial Black" pitchFamily="34" charset="0"/>
          </a:endParaRPr>
        </a:p>
        <a:p xmlns:a="http://schemas.openxmlformats.org/drawingml/2006/main">
          <a:pPr>
            <a:lnSpc>
              <a:spcPts val="1500"/>
            </a:lnSpc>
          </a:pPr>
          <a:r>
            <a:rPr lang="en-US" sz="1100">
              <a:latin typeface="Arial Black" pitchFamily="34" charset="0"/>
            </a:rPr>
            <a:t>  </a:t>
          </a:r>
        </a:p>
        <a:p xmlns:a="http://schemas.openxmlformats.org/drawingml/2006/main">
          <a:pPr>
            <a:lnSpc>
              <a:spcPts val="1500"/>
            </a:lnSpc>
          </a:pPr>
          <a:endParaRPr lang="en-US" sz="1100">
            <a:latin typeface="Arial Black" pitchFamily="34" charset="0"/>
          </a:endParaRPr>
        </a:p>
        <a:p xmlns:a="http://schemas.openxmlformats.org/drawingml/2006/main">
          <a:pPr>
            <a:lnSpc>
              <a:spcPts val="1500"/>
            </a:lnSpc>
          </a:pPr>
          <a:r>
            <a:rPr lang="en-US" sz="1100">
              <a:latin typeface="Arial Black" pitchFamily="34" charset="0"/>
            </a:rPr>
            <a:t>Teacher-rated Defensive Egotism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UCA</dc:creator>
  <cp:lastModifiedBy>UCA</cp:lastModifiedBy>
  <cp:revision>2</cp:revision>
  <dcterms:created xsi:type="dcterms:W3CDTF">2014-01-28T19:56:00Z</dcterms:created>
  <dcterms:modified xsi:type="dcterms:W3CDTF">2014-01-28T19:56:00Z</dcterms:modified>
</cp:coreProperties>
</file>