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0B6B3A"/>
          <w:sz w:val="18"/>
        </w:rPr>
        <w:t>Founders Lab  |  iDICE Startup Bridge</w:t>
      </w:r>
    </w:p>
    <w:p>
      <w:pPr>
        <w:spacing w:after="0" w:before="0"/>
      </w:pPr>
      <w:r>
        <w:rPr>
          <w:b/>
          <w:i w:val="0"/>
          <w:color w:val="063B2B"/>
          <w:sz w:val="44"/>
        </w:rPr>
        <w:t>Module 5: Funding and Finance</w:t>
      </w:r>
    </w:p>
    <w:p>
      <w:pPr>
        <w:spacing w:after="40" w:before="0"/>
      </w:pPr>
      <w:r>
        <w:rPr>
          <w:b w:val="0"/>
          <w:i w:val="0"/>
          <w:color w:val="1E8B45"/>
          <w:sz w:val="26"/>
        </w:rPr>
        <w:t>Develop a Financial Plan</w:t>
      </w:r>
    </w:p>
    <w:p>
      <w:pPr>
        <w:spacing w:after="320" w:before="0"/>
      </w:pPr>
      <w:r>
        <w:rPr>
          <w:b w:val="0"/>
          <w:i/>
          <w:color w:val="C88A1E"/>
          <w:sz w:val="20"/>
        </w:rPr>
        <w:t>Budget period: November 2026 – April 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val="clear" w:fill="F2F6F3"/>
          </w:tcPr>
          <w:p>
            <w:r>
              <w:rPr>
                <w:b/>
                <w:color w:val="063B2B"/>
                <w:sz w:val="20"/>
              </w:rPr>
              <w:t>Participant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Prince Michael</w:t>
            </w:r>
          </w:p>
        </w:tc>
      </w:tr>
      <w:tr>
        <w:tc>
          <w:tcPr>
            <w:tcW w:type="dxa" w:w="2592"/>
            <w:shd w:val="clear" w:fill="F2F6F3"/>
          </w:tcPr>
          <w:p>
            <w:r>
              <w:rPr>
                <w:b/>
                <w:color w:val="063B2B"/>
                <w:sz w:val="20"/>
              </w:rPr>
              <w:t>Venture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Unmute</w:t>
            </w:r>
          </w:p>
        </w:tc>
      </w:tr>
      <w:tr>
        <w:tc>
          <w:tcPr>
            <w:tcW w:type="dxa" w:w="2592"/>
            <w:shd w:val="clear" w:fill="F2F6F3"/>
          </w:tcPr>
          <w:p>
            <w:r>
              <w:rPr>
                <w:b/>
                <w:color w:val="063B2B"/>
                <w:sz w:val="20"/>
              </w:rPr>
              <w:t>Cohort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Founders Lab Cohort 2, 2026</w:t>
            </w:r>
          </w:p>
        </w:tc>
      </w:tr>
      <w:tr>
        <w:tc>
          <w:tcPr>
            <w:tcW w:type="dxa" w:w="2592"/>
            <w:shd w:val="clear" w:fill="F2F6F3"/>
          </w:tcPr>
          <w:p>
            <w:r>
              <w:rPr>
                <w:b/>
                <w:color w:val="063B2B"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21 October 2026</w:t>
            </w:r>
          </w:p>
        </w:tc>
      </w:tr>
    </w:tbl>
    <w:p/>
    <w:p>
      <w:pPr>
        <w:spacing w:after="160" w:before="0"/>
      </w:pPr>
      <w:r>
        <w:rPr>
          <w:b w:val="0"/>
          <w:i/>
          <w:color w:val="555555"/>
          <w:sz w:val="19"/>
        </w:rPr>
        <w:t>This worksheet sets out a basic financial plan for Unmute over the six months from November 2026 to April 2027: projected revenue, direct and operating costs, the assumptions the figures rest on, and how actual results will be tracked against them.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92"/>
            <w:shd w:val="clear" w:fill="0B6B3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01</w:t>
            </w:r>
          </w:p>
        </w:tc>
        <w:tc>
          <w:tcPr>
            <w:tcW w:type="dxa" w:w="9360"/>
            <w:shd w:val="clear" w:fill="063B2B"/>
          </w:tcPr>
          <w:p>
            <w:r>
              <w:rPr>
                <w:b/>
                <w:color w:val="FFFFFF"/>
                <w:sz w:val="24"/>
              </w:rPr>
              <w:t xml:space="preserve">   Your Business Snapshot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/>
          <w:color w:val="555555"/>
          <w:sz w:val="18"/>
        </w:rPr>
        <w:t>Summarise what the business is, what it offers and how it earns money.</w:t>
      </w:r>
    </w:p>
    <w:p>
      <w:pPr>
        <w:pStyle w:val="ListNumber"/>
        <w:spacing w:after="80"/>
      </w:pPr>
      <w:r>
        <w:rPr>
          <w:sz w:val="20"/>
        </w:rPr>
        <w:t>An AI-powered sign-language communication platform that helps Deaf patients and hearing healthcare professionals communicate.</w:t>
      </w:r>
    </w:p>
    <w:p>
      <w:pPr>
        <w:pStyle w:val="ListNumber"/>
        <w:spacing w:after="80"/>
      </w:pPr>
      <w:r>
        <w:rPr>
          <w:sz w:val="20"/>
        </w:rPr>
        <w:t>A healthcare communication tool offering ASL-to-text/speech and text/speech-to-visual-sign output, with initial functionality focused on routine healthcare interactions.</w:t>
      </w:r>
    </w:p>
    <w:p>
      <w:pPr>
        <w:pStyle w:val="ListNumber"/>
        <w:spacing w:after="80"/>
      </w:pPr>
      <w:r>
        <w:rPr>
          <w:sz w:val="20"/>
        </w:rPr>
        <w:t>Monthly subscription plans for hospitals and healthcare institutions, including a team plan for up to 10 practitioners and custom enterprise plans for larger institutions.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92"/>
            <w:shd w:val="clear" w:fill="0B6B3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02</w:t>
            </w:r>
          </w:p>
        </w:tc>
        <w:tc>
          <w:tcPr>
            <w:tcW w:type="dxa" w:w="9360"/>
            <w:shd w:val="clear" w:fill="063B2B"/>
          </w:tcPr>
          <w:p>
            <w:r>
              <w:rPr>
                <w:b/>
                <w:color w:val="FFFFFF"/>
                <w:sz w:val="24"/>
              </w:rPr>
              <w:t xml:space="preserve">   Classify Your Spending With the MoSCoW Framework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 w:val="0"/>
          <w:i/>
          <w:color w:val="555555"/>
          <w:sz w:val="18"/>
        </w:rPr>
        <w:t>Before building your budget, separate what you must spend from what you want to spend. List at least two items in each box that apply to your business.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  <w:shd w:val="clear" w:fill="0B6B3A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Must Have</w:t>
            </w:r>
          </w:p>
          <w:p>
            <w:pPr>
              <w:spacing w:after="60"/>
            </w:pPr>
            <w:r>
              <w:rPr>
                <w:i/>
                <w:color w:val="E8F5EC"/>
                <w:sz w:val="16"/>
              </w:rPr>
              <w:t>Non-negotiable to operate</w:t>
            </w:r>
          </w:p>
        </w:tc>
        <w:tc>
          <w:tcPr>
            <w:tcW w:type="dxa" w:w="5040"/>
            <w:shd w:val="clear" w:fill="1E8B45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Should Have</w:t>
            </w:r>
          </w:p>
          <w:p>
            <w:pPr>
              <w:spacing w:after="60"/>
            </w:pPr>
            <w:r>
              <w:rPr>
                <w:i/>
                <w:color w:val="E8F5EC"/>
                <w:sz w:val="16"/>
              </w:rPr>
              <w:t>High priority, strong start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1.  MVP development, including essential software tools and hosting.</w:t>
            </w:r>
          </w:p>
          <w:p>
            <w:pPr>
              <w:spacing w:after="40"/>
            </w:pPr>
            <w:r>
              <w:rPr>
                <w:sz w:val="19"/>
              </w:rPr>
              <w:t>2.  ASL datasets, verified sign-language content and validation.</w:t>
            </w:r>
          </w:p>
          <w:p>
            <w:pPr>
              <w:spacing w:after="40"/>
            </w:pPr>
            <w:r>
              <w:rPr>
                <w:sz w:val="19"/>
              </w:rPr>
              <w:t>3.  Testing with Deaf ASL users, interpreters and healthcare professionals.</w:t>
            </w:r>
          </w:p>
          <w:p>
            <w:pPr>
              <w:spacing w:after="40"/>
            </w:pPr>
            <w:r>
              <w:rPr>
                <w:sz w:val="19"/>
              </w:rPr>
              <w:t>4.  Internet, electricity and essential development equipment.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1.  A simple website and hospital demonstration materials.</w:t>
            </w:r>
          </w:p>
          <w:p>
            <w:pPr>
              <w:spacing w:after="40"/>
            </w:pPr>
            <w:r>
              <w:rPr>
                <w:sz w:val="19"/>
              </w:rPr>
              <w:t>2.  Outreach and pilot testing with hospitals.</w:t>
            </w:r>
          </w:p>
          <w:p>
            <w:pPr>
              <w:spacing w:after="40"/>
            </w:pPr>
            <w:r>
              <w:rPr>
                <w:sz w:val="19"/>
              </w:rPr>
              <w:t>3.  User feedback collection and product improvement.</w:t>
            </w:r>
          </w:p>
          <w:p>
            <w:pPr>
              <w:spacing w:after="40"/>
            </w:pPr>
            <w:r>
              <w:rPr>
                <w:sz w:val="19"/>
              </w:rPr>
              <w:t>4.  Business registration and basic legal documentation before commercial deployment.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  <w:shd w:val="clear" w:fill="2E9B52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Could Have</w:t>
            </w:r>
          </w:p>
          <w:p>
            <w:pPr>
              <w:spacing w:after="60"/>
            </w:pPr>
            <w:r>
              <w:rPr>
                <w:i/>
                <w:color w:val="E8F5EC"/>
                <w:sz w:val="16"/>
              </w:rPr>
              <w:t>Nice if resources allow</w:t>
            </w:r>
          </w:p>
        </w:tc>
        <w:tc>
          <w:tcPr>
            <w:tcW w:type="dxa" w:w="5040"/>
            <w:shd w:val="clear" w:fill="6B6B6B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Won't Have Now</w:t>
            </w:r>
          </w:p>
          <w:p>
            <w:pPr>
              <w:spacing w:after="60"/>
            </w:pPr>
            <w:r>
              <w:rPr>
                <w:i/>
                <w:color w:val="E8F5EC"/>
                <w:sz w:val="16"/>
              </w:rPr>
              <w:t>Defer to a later stage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1.  Advanced 3D sign-language avatars.</w:t>
            </w:r>
          </w:p>
          <w:p>
            <w:pPr>
              <w:spacing w:after="40"/>
            </w:pPr>
            <w:r>
              <w:rPr>
                <w:sz w:val="19"/>
              </w:rPr>
              <w:t>2.  Custom AI model training and expanded sign recognition.</w:t>
            </w:r>
          </w:p>
          <w:p>
            <w:pPr>
              <w:spacing w:after="40"/>
            </w:pPr>
            <w:r>
              <w:rPr>
                <w:sz w:val="19"/>
              </w:rPr>
              <w:t>3.  Integration with hospital management systems.</w:t>
            </w:r>
          </w:p>
          <w:p>
            <w:pPr>
              <w:spacing w:after="40"/>
            </w:pPr>
            <w:r>
              <w:rPr>
                <w:sz w:val="19"/>
              </w:rPr>
              <w:t>4.  A dedicated mobile application beyond the initial web-based MVP.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9"/>
              </w:rPr>
              <w:t>1.  Expansion into multiple sign languages.</w:t>
            </w:r>
          </w:p>
          <w:p>
            <w:pPr>
              <w:spacing w:after="40"/>
            </w:pPr>
            <w:r>
              <w:rPr>
                <w:sz w:val="19"/>
              </w:rPr>
              <w:t>2.  Large-scale international marketing.</w:t>
            </w:r>
          </w:p>
          <w:p>
            <w:pPr>
              <w:spacing w:after="40"/>
            </w:pPr>
            <w:r>
              <w:rPr>
                <w:sz w:val="19"/>
              </w:rPr>
              <w:t>3.  A physical office and full-time administrative team.</w:t>
            </w:r>
          </w:p>
          <w:p>
            <w:pPr>
              <w:spacing w:after="40"/>
            </w:pPr>
            <w:r>
              <w:rPr>
                <w:sz w:val="19"/>
              </w:rPr>
              <w:t>4.  Advanced enterprise integrations before validating demand.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92"/>
            <w:shd w:val="clear" w:fill="0B6B3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03</w:t>
            </w:r>
          </w:p>
        </w:tc>
        <w:tc>
          <w:tcPr>
            <w:tcW w:type="dxa" w:w="9360"/>
            <w:shd w:val="clear" w:fill="063B2B"/>
          </w:tcPr>
          <w:p>
            <w:r>
              <w:rPr>
                <w:b/>
                <w:color w:val="FFFFFF"/>
                <w:sz w:val="24"/>
              </w:rPr>
              <w:t xml:space="preserve">   Your 3 to 6-Month Budget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/>
          <w:color w:val="555555"/>
          <w:sz w:val="18"/>
        </w:rPr>
        <w:t>Fill in your projected figures. Base revenue estimates on realistic assumptions, not best-case scenarios. All figures in Nigerian Naira (₦).</w:t>
      </w:r>
    </w:p>
    <w:p>
      <w:pPr>
        <w:spacing w:after="160" w:before="0"/>
      </w:pPr>
      <w:r>
        <w:rPr>
          <w:b/>
          <w:i w:val="0"/>
          <w:color w:val="1A1A1A"/>
          <w:sz w:val="19"/>
        </w:rPr>
        <w:t>Timeline covered by this budget — Start month: November 2026     End month: April 2027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2952"/>
            <w:shd w:val="clear" w:fill="0B6B3A"/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195"/>
            <w:shd w:val="clear" w:fill="0B6B3A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7"/>
              </w:rPr>
              <w:t>Month 1</w:t>
            </w:r>
          </w:p>
        </w:tc>
        <w:tc>
          <w:tcPr>
            <w:tcW w:type="dxa" w:w="1195"/>
            <w:shd w:val="clear" w:fill="0B6B3A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7"/>
              </w:rPr>
              <w:t>Month 2</w:t>
            </w:r>
          </w:p>
        </w:tc>
        <w:tc>
          <w:tcPr>
            <w:tcW w:type="dxa" w:w="1195"/>
            <w:shd w:val="clear" w:fill="0B6B3A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7"/>
              </w:rPr>
              <w:t>Month 3</w:t>
            </w:r>
          </w:p>
        </w:tc>
        <w:tc>
          <w:tcPr>
            <w:tcW w:type="dxa" w:w="1195"/>
            <w:shd w:val="clear" w:fill="0B6B3A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7"/>
              </w:rPr>
              <w:t>Month 4</w:t>
            </w:r>
          </w:p>
        </w:tc>
        <w:tc>
          <w:tcPr>
            <w:tcW w:type="dxa" w:w="1195"/>
            <w:shd w:val="clear" w:fill="0B6B3A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7"/>
              </w:rPr>
              <w:t>Month 5</w:t>
            </w:r>
          </w:p>
        </w:tc>
        <w:tc>
          <w:tcPr>
            <w:tcW w:type="dxa" w:w="1195"/>
            <w:shd w:val="clear" w:fill="0B6B3A"/>
          </w:tcPr>
          <w:p>
            <w:pPr>
              <w:spacing w:after="40"/>
              <w:jc w:val="right"/>
            </w:pPr>
            <w:r>
              <w:rPr>
                <w:b/>
                <w:color w:val="FFFFFF"/>
                <w:sz w:val="17"/>
              </w:rPr>
              <w:t>Month 6</w:t>
            </w:r>
          </w:p>
        </w:tc>
      </w:tr>
      <w:tr>
        <w:tc>
          <w:tcPr>
            <w:tcW w:type="dxa" w:w="1195"/>
            <w:gridSpan w:val="7"/>
            <w:shd w:val="clear" w:fill="E6F2EA"/>
          </w:tcPr>
          <w:p>
            <w:pPr>
              <w:spacing w:after="40"/>
            </w:pPr>
            <w:r>
              <w:rPr>
                <w:b/>
                <w:color w:val="063B2B"/>
                <w:sz w:val="17"/>
              </w:rPr>
              <w:t>Revenue — Nigerian Naira (₦)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Paying institutions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30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Average monthly subscription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b/>
                <w:sz w:val="17"/>
              </w:rPr>
              <w:t>Total projected revenue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4,500,000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7,500,000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15,000,000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75,000,000</w:t>
            </w:r>
          </w:p>
        </w:tc>
      </w:tr>
      <w:tr>
        <w:tc>
          <w:tcPr>
            <w:tcW w:type="dxa" w:w="1195"/>
            <w:gridSpan w:val="7"/>
            <w:shd w:val="clear" w:fill="E6F2EA"/>
          </w:tcPr>
          <w:p>
            <w:pPr>
              <w:spacing w:after="40"/>
            </w:pPr>
            <w:r>
              <w:rPr>
                <w:b/>
                <w:color w:val="063B2B"/>
                <w:sz w:val="17"/>
              </w:rPr>
              <w:t>Cost of Goods Sold (Direct Costs)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Hosting / API / software usage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85,000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300,000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Other direct costs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12,000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100,000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Packaging / delivery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b/>
                <w:sz w:val="17"/>
              </w:rPr>
              <w:t>Total COGS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95,000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162,000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320,000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1,300,000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b/>
                <w:sz w:val="17"/>
              </w:rPr>
              <w:t>Gross profit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-15,000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-20,000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4,405,000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7,338,000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14,680,000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73,700,000</w:t>
            </w:r>
          </w:p>
        </w:tc>
      </w:tr>
      <w:tr>
        <w:tc>
          <w:tcPr>
            <w:tcW w:type="dxa" w:w="1195"/>
            <w:gridSpan w:val="7"/>
            <w:shd w:val="clear" w:fill="E6F2EA"/>
          </w:tcPr>
          <w:p>
            <w:pPr>
              <w:spacing w:after="40"/>
            </w:pPr>
            <w:r>
              <w:rPr>
                <w:b/>
                <w:color w:val="063B2B"/>
                <w:sz w:val="17"/>
              </w:rPr>
              <w:t>Fixed Operating Expenses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Rent / workspace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85,000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85,000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85,000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85,000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Salaries / wages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200,000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200,000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350,000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Loan repayments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Business registration / legal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70,000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98,000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5"/>
            <w:gridSpan w:val="7"/>
            <w:shd w:val="clear" w:fill="E6F2EA"/>
          </w:tcPr>
          <w:p>
            <w:pPr>
              <w:spacing w:after="40"/>
            </w:pPr>
            <w:r>
              <w:rPr>
                <w:b/>
                <w:color w:val="063B2B"/>
                <w:sz w:val="17"/>
              </w:rPr>
              <w:t>Variable Operating Expenses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Marketing / advertising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30,000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70,000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100,000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Utilities (electricity, data, fuel)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70,000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Transport / logistics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35,000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100,000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Other variable costs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35,000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85,000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b/>
                <w:sz w:val="17"/>
              </w:rPr>
              <w:t>Total operating expenses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145,000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75,000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313,000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460,000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760,000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1,370,000</w:t>
            </w:r>
          </w:p>
        </w:tc>
      </w:tr>
      <w:tr>
        <w:tc>
          <w:tcPr>
            <w:tcW w:type="dxa" w:w="1195"/>
            <w:gridSpan w:val="7"/>
            <w:shd w:val="clear" w:fill="E6F2EA"/>
          </w:tcPr>
          <w:p>
            <w:pPr>
              <w:spacing w:after="40"/>
            </w:pPr>
            <w:r>
              <w:rPr>
                <w:b/>
                <w:color w:val="063B2B"/>
                <w:sz w:val="17"/>
              </w:rPr>
              <w:t>Summary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b/>
                <w:sz w:val="17"/>
              </w:rPr>
              <w:t>Net profit / (loss)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-160,000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-95,000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4,092,000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6,878,000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13,920,000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72,330,000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sz w:val="17"/>
              </w:rPr>
              <w:t>Opening cash balance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285,000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125,000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5,030,000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9,122,000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16,000,000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sz w:val="17"/>
              </w:rPr>
              <w:t>29,920,000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>
              <w:rPr>
                <w:b/>
                <w:sz w:val="17"/>
              </w:rPr>
              <w:t>Closing cash balance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125,000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30,000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9,122,000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16,000,000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29,920,000</w:t>
            </w:r>
          </w:p>
        </w:tc>
        <w:tc>
          <w:tcPr>
            <w:tcW w:type="dxa" w:w="1195"/>
          </w:tcPr>
          <w:p>
            <w:pPr>
              <w:spacing w:after="40"/>
              <w:jc w:val="right"/>
            </w:pPr>
            <w:r>
              <w:rPr>
                <w:b/>
                <w:sz w:val="17"/>
              </w:rPr>
              <w:t>102,250,000</w:t>
            </w:r>
          </w:p>
        </w:tc>
      </w:tr>
    </w:tbl>
    <w:p>
      <w:pPr>
        <w:spacing w:after="80" w:before="100"/>
      </w:pPr>
      <w:r>
        <w:rPr>
          <w:b w:val="0"/>
          <w:i/>
          <w:color w:val="666666"/>
          <w:sz w:val="16"/>
        </w:rPr>
        <w:t>Note: the ₦5,000,000 opening balance uplift in Month 3 is the iDICE grant (US$4,000), described in Assumption 3. It is not a revenue line.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92"/>
            <w:shd w:val="clear" w:fill="0B6B3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04</w:t>
            </w:r>
          </w:p>
        </w:tc>
        <w:tc>
          <w:tcPr>
            <w:tcW w:type="dxa" w:w="9360"/>
            <w:shd w:val="clear" w:fill="063B2B"/>
          </w:tcPr>
          <w:p>
            <w:r>
              <w:rPr>
                <w:b/>
                <w:color w:val="FFFFFF"/>
                <w:sz w:val="24"/>
              </w:rPr>
              <w:t xml:space="preserve">   Your Budget Assumptions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 w:val="0"/>
          <w:i/>
          <w:color w:val="555555"/>
          <w:sz w:val="18"/>
        </w:rPr>
        <w:t>Name the three most important assumptions your budget is based on. Good assumptions are grounded in market research, conversations with others in your industry, or your own past data.</w:t>
      </w:r>
    </w:p>
    <w:p>
      <w:pPr>
        <w:spacing w:before="180" w:after="60"/>
      </w:pPr>
      <w:r>
        <w:rPr>
          <w:b/>
          <w:color w:val="1E8B45"/>
          <w:sz w:val="19"/>
        </w:rPr>
        <w:t>Assumption 1</w:t>
      </w:r>
    </w:p>
    <w:p>
      <w:pPr>
        <w:spacing w:after="60"/>
        <w:ind w:left="173"/>
      </w:pPr>
      <w:r>
        <w:rPr>
          <w:sz w:val="20"/>
        </w:rPr>
        <w:t>Unmute will acquire its first paying healthcare institutions within three months of the MVP becoming available, and 500 paying healthcare institutions in the following 3 months is very realistic with the right approach.</w:t>
      </w:r>
    </w:p>
    <w:p>
      <w:pPr>
        <w:spacing w:after="120"/>
        <w:pBdr>
          <w:bottom w:val="single" w:sz="6" w:space="1" w:color="C9C9C9"/>
        </w:pBdr>
      </w:pPr>
    </w:p>
    <w:p>
      <w:pPr>
        <w:spacing w:before="180" w:after="60"/>
      </w:pPr>
      <w:r>
        <w:rPr>
          <w:b/>
          <w:color w:val="1E8B45"/>
          <w:sz w:val="19"/>
        </w:rPr>
        <w:t>Source or basis for this assumption</w:t>
      </w:r>
    </w:p>
    <w:p>
      <w:pPr>
        <w:spacing w:after="60"/>
        <w:ind w:left="173"/>
      </w:pPr>
      <w:r>
        <w:rPr>
          <w:sz w:val="20"/>
        </w:rPr>
        <w:t>Planned outreach to hospitals and healthcare professionals, followed by product demonstrations and pilot discussions. This is an unvalidated assumption; there are no confirmed paying customers yet.</w:t>
      </w:r>
    </w:p>
    <w:p>
      <w:pPr>
        <w:spacing w:after="120"/>
        <w:pBdr>
          <w:bottom w:val="single" w:sz="6" w:space="1" w:color="C9C9C9"/>
        </w:pBdr>
      </w:pPr>
    </w:p>
    <w:p>
      <w:pPr>
        <w:spacing w:before="180" w:after="60"/>
      </w:pPr>
      <w:r>
        <w:rPr>
          <w:b/>
          <w:color w:val="1E8B45"/>
          <w:sz w:val="19"/>
        </w:rPr>
        <w:t>Assumption 2</w:t>
      </w:r>
    </w:p>
    <w:p>
      <w:pPr>
        <w:spacing w:after="60"/>
        <w:ind w:left="173"/>
      </w:pPr>
      <w:r>
        <w:rPr>
          <w:sz w:val="20"/>
        </w:rPr>
        <w:t>The initial team subscription can be priced at approximately ₦150,000 per month for up to 10 practitioners.</w:t>
      </w:r>
    </w:p>
    <w:p>
      <w:pPr>
        <w:spacing w:after="120"/>
        <w:pBdr>
          <w:bottom w:val="single" w:sz="6" w:space="1" w:color="C9C9C9"/>
        </w:pBdr>
      </w:pPr>
    </w:p>
    <w:p>
      <w:pPr>
        <w:spacing w:before="180" w:after="60"/>
      </w:pPr>
      <w:r>
        <w:rPr>
          <w:b/>
          <w:color w:val="1E8B45"/>
          <w:sz w:val="19"/>
        </w:rPr>
        <w:t>Source or basis for this assumption</w:t>
      </w:r>
    </w:p>
    <w:p>
      <w:pPr>
        <w:spacing w:after="60"/>
        <w:ind w:left="173"/>
      </w:pPr>
      <w:r>
        <w:rPr>
          <w:sz w:val="20"/>
        </w:rPr>
        <w:t>Unmute's monthly Team subscription price will be based on what healthcare institutions currently spend on sign-language interpreters, including hourly rates and booking costs. Pricing will be validated through hospital interviews and set to reflect potential cost savings, usage and Unmute's operating costs.</w:t>
      </w:r>
    </w:p>
    <w:p>
      <w:pPr>
        <w:spacing w:after="120"/>
        <w:pBdr>
          <w:bottom w:val="single" w:sz="6" w:space="1" w:color="C9C9C9"/>
        </w:pBdr>
      </w:pPr>
    </w:p>
    <w:p>
      <w:pPr>
        <w:spacing w:before="180" w:after="60"/>
      </w:pPr>
      <w:r>
        <w:rPr>
          <w:b/>
          <w:color w:val="1E8B45"/>
          <w:sz w:val="19"/>
        </w:rPr>
        <w:t>Assumption 3</w:t>
      </w:r>
    </w:p>
    <w:p>
      <w:pPr>
        <w:spacing w:after="60"/>
        <w:ind w:left="173"/>
      </w:pPr>
      <w:r>
        <w:rPr>
          <w:sz w:val="20"/>
        </w:rPr>
        <w:t>Unmute can develop and test its initial MVP with relatively low operating costs by using existing tools and a founder-led development process.</w:t>
      </w:r>
    </w:p>
    <w:p>
      <w:pPr>
        <w:spacing w:after="60"/>
        <w:ind w:left="173"/>
      </w:pPr>
      <w:r>
        <w:rPr>
          <w:sz w:val="20"/>
        </w:rPr>
        <w:t>Unmute will secure a $4,000 grant from iDICE, which explains the injected ₦5,000,000 in Month 3.</w:t>
      </w:r>
    </w:p>
    <w:p>
      <w:pPr>
        <w:spacing w:after="120"/>
        <w:pBdr>
          <w:bottom w:val="single" w:sz="6" w:space="1" w:color="C9C9C9"/>
        </w:pBdr>
      </w:pPr>
    </w:p>
    <w:p>
      <w:pPr>
        <w:spacing w:before="180" w:after="60"/>
      </w:pPr>
      <w:r>
        <w:rPr>
          <w:b/>
          <w:color w:val="1E8B45"/>
          <w:sz w:val="19"/>
        </w:rPr>
        <w:t>Source or basis for this assumption</w:t>
      </w:r>
    </w:p>
    <w:p>
      <w:pPr>
        <w:spacing w:after="60"/>
        <w:ind w:left="173"/>
      </w:pPr>
      <w:r>
        <w:rPr>
          <w:sz w:val="20"/>
        </w:rPr>
        <w:t>The planned limited ASL-focused MVP, use of existing datasets and potential third-party sign-language APIs.</w:t>
      </w:r>
    </w:p>
    <w:p>
      <w:pPr>
        <w:spacing w:after="60"/>
        <w:ind w:left="173"/>
      </w:pPr>
      <w:r>
        <w:rPr>
          <w:sz w:val="20"/>
        </w:rPr>
        <w:t>Actual API access fees, hosting costs, licensing requirements and testing expenses remain to be confirmed.</w:t>
      </w:r>
    </w:p>
    <w:p>
      <w:pPr>
        <w:spacing w:after="60"/>
        <w:ind w:left="173"/>
      </w:pPr>
      <w:r>
        <w:rPr>
          <w:sz w:val="20"/>
        </w:rPr>
        <w:t>The iDICE program has assured to give high performing startups a $4,000 grant at the end of the program, which aligns with the timeline in the projections I made. The grant will be awarded to 50 out of 200 startups that are currently in the program, and I believe that with the level of commitment and progress that Unmute has made within the space of 2 months since the program began, we would be one of the recipients of the award. Grace and Grit.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92"/>
            <w:shd w:val="clear" w:fill="0B6B3A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05</w:t>
            </w:r>
          </w:p>
        </w:tc>
        <w:tc>
          <w:tcPr>
            <w:tcW w:type="dxa" w:w="9360"/>
            <w:shd w:val="clear" w:fill="063B2B"/>
          </w:tcPr>
          <w:p>
            <w:r>
              <w:rPr>
                <w:b/>
                <w:color w:val="FFFFFF"/>
                <w:sz w:val="24"/>
              </w:rPr>
              <w:t xml:space="preserve">   Budget Versus Actual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/>
          <w:color w:val="555555"/>
          <w:sz w:val="18"/>
        </w:rPr>
        <w:t>Plan how you will track your actual results and compare them against what you projected.</w:t>
      </w:r>
    </w:p>
    <w:p>
      <w:pPr>
        <w:spacing w:before="180" w:after="60"/>
      </w:pPr>
      <w:r>
        <w:rPr>
          <w:b/>
          <w:color w:val="1E8B45"/>
          <w:sz w:val="19"/>
        </w:rPr>
        <w:t>How will you record your actual income and expenses during this period?</w:t>
      </w:r>
    </w:p>
    <w:p>
      <w:pPr>
        <w:spacing w:after="60"/>
        <w:ind w:left="173"/>
      </w:pPr>
      <w:r>
        <w:rPr>
          <w:sz w:val="20"/>
        </w:rPr>
        <w:t>Google Sheets, with receipts, invoices and payment confirmations saved in a dedicated Unmute finance folder.</w:t>
      </w:r>
    </w:p>
    <w:p>
      <w:pPr>
        <w:spacing w:after="120"/>
        <w:pBdr>
          <w:bottom w:val="single" w:sz="6" w:space="1" w:color="C9C9C9"/>
        </w:pBdr>
      </w:pPr>
    </w:p>
    <w:p>
      <w:pPr>
        <w:spacing w:before="180" w:after="60"/>
      </w:pPr>
      <w:r>
        <w:rPr>
          <w:b/>
          <w:color w:val="1E8B45"/>
          <w:sz w:val="19"/>
        </w:rPr>
        <w:t>How often will you compare your budget to actual results?</w:t>
      </w:r>
    </w:p>
    <w:p>
      <w:pPr>
        <w:spacing w:after="60"/>
        <w:ind w:left="173"/>
      </w:pPr>
      <w:r>
        <w:rPr>
          <w:sz w:val="20"/>
        </w:rPr>
        <w:t>Monthly, with a brief weekly cash-balance check.</w:t>
      </w:r>
    </w:p>
    <w:p>
      <w:pPr>
        <w:spacing w:after="120"/>
        <w:pBdr>
          <w:bottom w:val="single" w:sz="6" w:space="1" w:color="C9C9C9"/>
        </w:pBdr>
      </w:pPr>
    </w:p>
    <w:p>
      <w:pPr>
        <w:spacing w:before="180" w:after="60"/>
      </w:pPr>
      <w:r>
        <w:rPr>
          <w:b/>
          <w:color w:val="1E8B45"/>
          <w:sz w:val="19"/>
        </w:rPr>
        <w:t>Three questions to ask at each review</w:t>
      </w:r>
    </w:p>
    <w:p>
      <w:pPr>
        <w:pStyle w:val="ListNumber"/>
        <w:spacing w:after="60"/>
      </w:pPr>
      <w:r>
        <w:rPr>
          <w:sz w:val="20"/>
        </w:rPr>
        <w:t>How much revenue did Unmute actually collect from hospital subscriptions, compared with the number of institutions we expected to onboard?</w:t>
      </w:r>
    </w:p>
    <w:p>
      <w:pPr>
        <w:pStyle w:val="ListNumber"/>
        <w:spacing w:after="60"/>
      </w:pPr>
      <w:r>
        <w:rPr>
          <w:sz w:val="20"/>
        </w:rPr>
        <w:t>What did it actually cost to develop, host and validate the MVP, and which expenses exceeded the budget?</w:t>
      </w:r>
    </w:p>
    <w:p>
      <w:pPr>
        <w:pStyle w:val="ListNumber"/>
        <w:spacing w:after="60"/>
      </w:pPr>
      <w:r>
        <w:rPr>
          <w:sz w:val="20"/>
        </w:rPr>
        <w:t>How much cash remains to fund the next month, and do we need to reduce spending, adjust pricing or secure additional funding?</w:t>
      </w:r>
    </w:p>
    <w:p/>
    <w:p>
      <w:pPr>
        <w:spacing w:after="0" w:before="0"/>
      </w:pPr>
      <w:r>
        <w:rPr>
          <w:b w:val="0"/>
          <w:i w:val="0"/>
          <w:color w:val="888888"/>
          <w:sz w:val="16"/>
        </w:rPr>
        <w:t>Founders Lab  |  iDICE Startup Bridge  |  www.idicestartupbridge.ng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