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Information</w:t>
      </w:r>
    </w:p>
    <w:p>
      <w:pPr>
        <w:pStyle w:val="Subtitle"/>
      </w:pPr>
      <w:r>
        <w:t xml:space="preserve">Large</w:t>
      </w:r>
      <w:r>
        <w:t xml:space="preserve"> </w:t>
      </w:r>
      <w:r>
        <w:t xml:space="preserve">language</w:t>
      </w:r>
      <w:r>
        <w:t xml:space="preserve"> </w:t>
      </w:r>
      <w:r>
        <w:t xml:space="preserve">models</w:t>
      </w:r>
      <w:r>
        <w:t xml:space="preserve"> </w:t>
      </w:r>
      <w:r>
        <w:t xml:space="preserve">and</w:t>
      </w:r>
      <w:r>
        <w:t xml:space="preserve"> </w:t>
      </w:r>
      <w:r>
        <w:t xml:space="preserve">human</w:t>
      </w:r>
      <w:r>
        <w:t xml:space="preserve"> </w:t>
      </w:r>
      <w:r>
        <w:t xml:space="preserve">forecasters</w:t>
      </w:r>
      <w:r>
        <w:t xml:space="preserve"> </w:t>
      </w:r>
      <w:r>
        <w:t xml:space="preserve">make</w:t>
      </w:r>
      <w:r>
        <w:t xml:space="preserve"> </w:t>
      </w:r>
      <w:r>
        <w:t xml:space="preserve">the</w:t>
      </w:r>
      <w:r>
        <w:t xml:space="preserve"> </w:t>
      </w:r>
      <w:r>
        <w:t xml:space="preserve">same</w:t>
      </w:r>
      <w:r>
        <w:t xml:space="preserve"> </w:t>
      </w:r>
      <w:r>
        <w:t xml:space="preserve">prediction</w:t>
      </w:r>
      <w:r>
        <w:t xml:space="preserve"> </w:t>
      </w:r>
      <w:r>
        <w:t xml:space="preserve">errors</w:t>
      </w:r>
    </w:p>
    <w:p>
      <w:pPr>
        <w:pStyle w:val="Author"/>
      </w:pPr>
      <w:r>
        <w:t xml:space="preserve">Live</w:t>
      </w:r>
      <w:r>
        <w:t xml:space="preserve"> </w:t>
      </w:r>
      <w:r>
        <w:t xml:space="preserve">Leonhardsen</w:t>
      </w:r>
      <w:r>
        <w:t xml:space="preserve"> </w:t>
      </w:r>
      <w:r>
        <w:t xml:space="preserve">Wilhelmsen,</w:t>
      </w:r>
      <w:r>
        <w:t xml:space="preserve"> </w:t>
      </w:r>
      <w:r>
        <w:t xml:space="preserve">Roya</w:t>
      </w:r>
      <w:r>
        <w:t xml:space="preserve"> </w:t>
      </w:r>
      <w:r>
        <w:t xml:space="preserve">Esfandiari</w:t>
      </w:r>
      <w:r>
        <w:t xml:space="preserve"> </w:t>
      </w:r>
      <w:r>
        <w:t xml:space="preserve">&amp;</w:t>
      </w:r>
      <w:r>
        <w:t xml:space="preserve"> </w:t>
      </w:r>
      <w:r>
        <w:t xml:space="preserve">Anton</w:t>
      </w:r>
      <w:r>
        <w:t xml:space="preserve"> </w:t>
      </w:r>
      <w:r>
        <w:t xml:space="preserve">Gollwitzer</w:t>
      </w:r>
    </w:p>
    <w:bookmarkStart w:id="27" w:name="supplementary-methods"/>
    <w:p>
      <w:pPr>
        <w:pStyle w:val="Heading1"/>
      </w:pPr>
      <w:r>
        <w:t xml:space="preserve">1 Supplementary Methods</w:t>
      </w:r>
    </w:p>
    <w:bookmarkStart w:id="20" w:name="data"/>
    <w:p>
      <w:pPr>
        <w:pStyle w:val="Heading2"/>
      </w:pPr>
      <w:r>
        <w:t xml:space="preserve">1.1 Data</w:t>
      </w:r>
    </w:p>
    <w:p>
      <w:pPr>
        <w:pStyle w:val="FirstParagraph"/>
      </w:pPr>
      <w:r>
        <w:t xml:space="preserve">All data analysed were released with the original Article in Code Ocean capsule 9843791 [1]. Four files are used. rct_responses.RDS contains 233,601 individual responses from the experiments of the primary archive, of which 229,154 carry a non-missing response and enter the estimation. The raw archive comprises 71 studies and 134 study–outcome cells. llm_responses.RDS contains 504,840 language-model responses, 72,120 for each of seven models (GPT-4, GPT-3.5, davinci-002, babbage-002, DeepSeek-V3, Gemma-3-27B and GPT-OSS-120B), organized as 120 prompts per condition–outcome cell (three cells have 240), each prompt specifying a demographic profile and each recorded response the mean of five sampled completions. forecasting_responses.RDS contains 18,317 forecasts from 2,838 Prolific forecasters, a median of 29 per condition–outcome cell. Each forecaster predicted mean responses for a median of four conditions and, with three exceptions, within a single experiment. megastudies.RDS contains the secondary archive of 15 megastudies: 606 treatment effects, with expert forecasts available for 376 conditions. The derivation of comparison-level data from this file is described in Supplementary Results 2.6. We recomputed all quantities from these files; none of the original data are redistributed with our code.</w:t>
      </w:r>
    </w:p>
    <w:bookmarkEnd w:id="20"/>
    <w:bookmarkStart w:id="21" w:name="comparisons-and-predictions"/>
    <w:p>
      <w:pPr>
        <w:pStyle w:val="Heading2"/>
      </w:pPr>
      <w:r>
        <w:t xml:space="preserve">1.2 Comparisons and predictions</w:t>
      </w:r>
    </w:p>
    <w:p>
      <w:pPr>
        <w:pStyle w:val="FirstParagraph"/>
      </w:pPr>
      <w:r>
        <w:t xml:space="preserve">To construct the observed effects, we followed the authors’ analytical pipeline. We first rescaled individual responses to range from 0 to 1 using the bounds of each outcome scale. Within each study and outcome, we then estimated every possible pairwise difference between conditions using ordinary least squares. For each comparison, we retained the estimated difference and its standard error. Reversing the order of two conditions changes only the sign of the estimated effect, and we therefore included each pair once. For reproducibility, we determined the direction of each comparison by sorting the condition names using a fixed English-language collation rule (ICU, en_US). This ordering matches the authors’ deposited comparison-level dataset for every pair and does not materially affect the results because the recalibration intercepts are approximately zero (Supplementary Methods 1.3).</w:t>
      </w:r>
    </w:p>
    <w:p>
      <w:pPr>
        <w:pStyle w:val="BodyText"/>
      </w:pPr>
      <w:r>
        <w:t xml:space="preserve">This procedure produced 1,705 possible comparisons. Our primary analysis includes the 1,678 comparisons where predictions from both GPT-4 and the human forecasters were available. These comparisons span 70 studies, 305 conditions and 129 study-outcome combinations. By contrast, the Article’s headline analysis drew one reference condition from each study, yielding 469 treatment effects per draw. We apply the same sampling procedure to our measures as a robustness analysis in Supplementary Results 2.2.</w:t>
      </w:r>
    </w:p>
    <w:p>
      <w:pPr>
        <w:pStyle w:val="BodyText"/>
      </w:pPr>
      <w:r>
        <w:t xml:space="preserve">We constructed predicted effects from the forecast condition means. For each language model, we calculated the predicted mean for a condition as a weighted average of its prompt-level responses, using the authors’ demographic weights to account for their oversampling of population subgroups. For the human forecasters, we calculated an unweighted average of the individual forecasts. The predicted effect for each comparison is the difference between the predicted mean for its two conditions. Following the Article, the combined prediction is the arithmetic mean of the GPT-4 and human forecasters’ predicted effects, formed before any recalibration.</w:t>
      </w:r>
    </w:p>
    <w:bookmarkEnd w:id="21"/>
    <w:bookmarkStart w:id="22" w:name="standardized-errors-and-recalibration"/>
    <w:p>
      <w:pPr>
        <w:pStyle w:val="Heading2"/>
      </w:pPr>
      <w:r>
        <w:t xml:space="preserve">1.3 Standardized errors and recalibration</w:t>
      </w:r>
    </w:p>
    <w:p>
      <w:pPr>
        <w:pStyle w:val="FirstParagraph"/>
      </w:pPr>
      <w:r>
        <w:t xml:space="preserve">Because the raw predictions systematically overstate effect magnitudes, we first recalibrate each predictor using the authors’ leave-one-study-out linear procedure, which they used in their pilot. For each study, we regress observed effects on predicted effects using the 69 studies and apply the resulting intercept and slope to the held-out study. We repeat this procedure separately for every study and predictor, including the combined predictor, which is therefore recalibrated in its own right rather than formed from two already-recalibrated predictions. This ensures that no study contributes to its own recalibration. The pooled recalibration lines have intercepts of -0.001 for GPT-4 and -0.000 for the human forecasters, with slopes of 0.55 and 0.62, respectively. The leave-one-study-out estimates vary little around these values.</w:t>
      </w:r>
    </w:p>
    <w:p>
      <w:pPr>
        <w:pStyle w:val="BodyText"/>
      </w:pPr>
      <w:r>
        <w:t xml:space="preserve">Using the recalibrated predictions, we express each prediction error in units of the observed effect’s standard error. We classify a prediction as a miss when it differs from the observed effect by more than 1.96 standard errors, that is, when it falls outside the observed effect’s 95% confidence interval. Recalibration reduces the overall miss rate from 46.3% to 35.7% for GPT-4 and from 49.8% to 38.0% for the human forecasters.</w:t>
      </w:r>
    </w:p>
    <w:bookmarkEnd w:id="22"/>
    <w:bookmarkStart w:id="23" w:name="the-corrected-null"/>
    <w:p>
      <w:pPr>
        <w:pStyle w:val="Heading2"/>
      </w:pPr>
      <w:r>
        <w:t xml:space="preserve">1.4 The corrected null</w:t>
      </w:r>
    </w:p>
    <w:p>
      <w:pPr>
        <w:pStyle w:val="FirstParagraph"/>
      </w:pPr>
      <w:r>
        <w:t xml:space="preserve">Some same-direction overlap is expected even when two predictors are independent. Both GPT-4 and the human forecasters are evaluated against the same estimated effect, which contains sampling error. If sampling error makes the observed effect unusually high, both predictions are more likely to appear too low. If it makes the effect unusually low, both are more likely to appear too high. A benchmark that ignores this shared source of error would therefore underestimate how often independent predictions should miss in the same direction.</w:t>
      </w:r>
    </w:p>
    <w:p>
      <w:pPr>
        <w:pStyle w:val="BodyText"/>
      </w:pPr>
      <w:r>
        <w:t xml:space="preserve">We constructed a corrected null that treats the two predictors as independent while retaining the sampling error shared through the observed effect. We also adjusted the spread of each predictor’s simulated errors to reproduce its observed miss rate. The benchmark therefore accounts for both the shared observed estimate and differences in the predictors’ overall accuracy, while excluding any additional dependence between their errors.</w:t>
      </w:r>
    </w:p>
    <w:p>
      <w:pPr>
        <w:pStyle w:val="BodyText"/>
      </w:pPr>
      <w:r>
        <w:t xml:space="preserve">At the primary threshold of 1.96, this null predicts a joint-miss rate of 14.1%, a same-direction joint-miss rate of 10.0% and same-direction errors on 71.2% of joint misses. The corresponding observed values are 20.2%, 18.2% and 90.0%. By comparison, a naive benchmark that ignores the shared observed estimate predicts a same-direction joint-miss rate of 6.8% and same-direction errors on 50% of joint misses (Fig. 1b).</w:t>
      </w:r>
    </w:p>
    <w:p>
      <w:pPr>
        <w:pStyle w:val="BodyText"/>
      </w:pPr>
      <w:r>
        <w:t xml:space="preserve">We calculated the corrected benchmarks by numerical integration at each threshold used in our analyses and verified them using two million draws. Replacing the assumed normal error distribution with either a heavier-tailed distribution or the empirical error distribution produced slightly lower benchmarks (same-direction joint-miss rate 9.6% under Student</w:t>
      </w:r>
      <w:r>
        <w:t xml:space="preserve"> </w:t>
      </w:r>
      <w:r>
        <w:rPr>
          <w:iCs/>
          <w:i/>
        </w:rPr>
        <w:t xml:space="preserve">t</w:t>
      </w:r>
      <w:r>
        <w:t xml:space="preserve">(3) errors and 9.5% under the empirical distribution, against 10.0% under the normal). The normal specification reported in the main text is therefore the most conservative.</w:t>
      </w:r>
    </w:p>
    <w:bookmarkEnd w:id="23"/>
    <w:bookmarkStart w:id="24" w:name="the-study-specific-null"/>
    <w:p>
      <w:pPr>
        <w:pStyle w:val="Heading2"/>
      </w:pPr>
      <w:r>
        <w:t xml:space="preserve">1.5 The study-specific null</w:t>
      </w:r>
    </w:p>
    <w:p>
      <w:pPr>
        <w:pStyle w:val="FirstParagraph"/>
      </w:pPr>
      <w:r>
        <w:t xml:space="preserve">The corrected null in Supplementary Methods 1.4 matches each predictor’s miss rate across the full archive. However, studies differ in how difficult they are to predict. Even if GPT-4 and human errors were independent, both predictors would miss more often in difficult studies, producing greater overlap than the global benchmark expects.</w:t>
      </w:r>
    </w:p>
    <w:p>
      <w:pPr>
        <w:pStyle w:val="BodyText"/>
      </w:pPr>
      <w:r>
        <w:t xml:space="preserve">We therefore constructed a stricter benchmark that matches the miss rates of GPT-4 and human forecasters separately within each study. As in the global null, the two predictors are otherwise treated as independent but remain exposed to the sampling error in the same observed effect. We generated 4,000 simulated replicates per comparison. When a predictor’s miss rate within a study was at or below 5%, the rate attributable to sampling error alone, we assigned no additional predictor-specific error; this occurred in 21 studies and inflates the null in the conservative direction.</w:t>
      </w:r>
    </w:p>
    <w:p>
      <w:pPr>
        <w:pStyle w:val="BodyText"/>
      </w:pPr>
      <w:r>
        <w:t xml:space="preserve">The study-specific benchmark takes differences in prediction difficulty across studies as given. Because the observed study-level miss rates may already contain some shared prediction error, the benchmark can absorb part of the dependence being tested. It is therefore more conservative than the global null.</w:t>
      </w:r>
    </w:p>
    <w:p>
      <w:pPr>
        <w:pStyle w:val="BodyText"/>
      </w:pPr>
      <w:r>
        <w:t xml:space="preserve">Under the study-specific null, the expected joint-miss rate is 16.0%, the expected same-direction joint-miss rate is 10.3% and 64.2% of joint misses are expected to occur in the same direction. The corresponding observed values are 20.2%, 18.2% and 90.0%.</w:t>
      </w:r>
    </w:p>
    <w:bookmarkEnd w:id="24"/>
    <w:bookmarkStart w:id="25" w:name="uncertainty-intervals"/>
    <w:p>
      <w:pPr>
        <w:pStyle w:val="Heading2"/>
      </w:pPr>
      <w:r>
        <w:t xml:space="preserve">1.6 Uncertainty intervals</w:t>
      </w:r>
    </w:p>
    <w:p>
      <w:pPr>
        <w:pStyle w:val="FirstParagraph"/>
      </w:pPr>
      <w:r>
        <w:t xml:space="preserve">Comparisons from the same study are not independent because they share participants and often a reference condition. We therefore estimate uncertainty by resampling studies rather than individual comparisons. The 95% confidence intervals are percentile intervals from a nonparametric cluster bootstrap [2] that resamples the 70 studies with replacement 4,000 times. The resulting intervals are 14.9%–26.4% for the joint-miss rate, 13.4%–23.9% for the same-direction joint-miss rate and 84.1%–94.9% for the proportion of joint misses occurring in the same direction.</w:t>
      </w:r>
    </w:p>
    <w:p>
      <w:pPr>
        <w:pStyle w:val="BodyText"/>
      </w:pPr>
      <w:r>
        <w:t xml:space="preserve">The error bars in the figures follow the same logic. Observed archive-wide rates carry the study-level bootstrap interval described above. Corrected-null bars carry the 95% range of the finite-sample Monte Carlo distribution described in Supplementary Methods 1.7, and the bar for the naive benchmark that ignores the shared observed estimate carries a binomial interval at the same archive size. Conditional shares — the proportion of GPT-4’s misses that another predictor repeats, and the proportions in the secondary archive, where only 15 megastudy families (nine with expert forecasts) are available for resampling — carry Wilson 95% intervals.</w:t>
      </w:r>
    </w:p>
    <w:p>
      <w:pPr>
        <w:pStyle w:val="BodyText"/>
      </w:pPr>
      <w:r>
        <w:t xml:space="preserve">The shaded band around the fitted line in Fig. 1a is the 95% confidence band of the regression of the human forecasters’ standardized errors on GPT-4’s, with standard errors clustered by study (Supplementary Results 2.3).</w:t>
      </w:r>
    </w:p>
    <w:bookmarkEnd w:id="25"/>
    <w:bookmarkStart w:id="26" w:name="exceedance-tests"/>
    <w:p>
      <w:pPr>
        <w:pStyle w:val="Heading2"/>
      </w:pPr>
      <w:r>
        <w:t xml:space="preserve">1.7 Exceedance tests</w:t>
      </w:r>
    </w:p>
    <w:p>
      <w:pPr>
        <w:pStyle w:val="FirstParagraph"/>
      </w:pPr>
      <w:r>
        <w:t xml:space="preserve">The corrected null gives the rates that independent predictors would be expected to produce; it does not by itself establish whether the observed rates fall outside what sampling variation under that null could generate. We therefore tested the observed joint-miss rate, same-direction joint-miss rate and direction share against the null benchmarks in three complementary ways. All tests are one-sided.</w:t>
      </w:r>
    </w:p>
    <w:p>
      <w:pPr>
        <w:pStyle w:val="BodyText"/>
      </w:pPr>
      <w:r>
        <w:t xml:space="preserve">First, we simulated 10,000 archives of 1,678 comparisons from the global corrected null, using the same calibration as in Supplementary Methods 1.4. The</w:t>
      </w:r>
      <w:r>
        <w:t xml:space="preserve"> </w:t>
      </w:r>
      <w:r>
        <w:rPr>
          <w:iCs/>
          <w:i/>
        </w:rPr>
        <w:t xml:space="preserve">P</w:t>
      </w:r>
      <w:r>
        <w:t xml:space="preserve"> </w:t>
      </w:r>
      <w:r>
        <w:t xml:space="preserve">value is the share of simulated archives whose rate reaches the observed one. Under this null, the 95% ranges are 12.5%–15.7% for the joint-miss rate, 8.6%–11.5% for the same-direction joint-miss rate and 65.5%–76.9% for the proportion of joint misses occurring in the same direction. None of the 10,000 archives reached the observed values of 20.2%, 18.2% and 90.0% (</w:t>
      </w:r>
      <w:r>
        <w:rPr>
          <w:iCs/>
          <w:i/>
        </w:rPr>
        <w:t xml:space="preserve">P</w:t>
      </w:r>
      <w:r>
        <w:t xml:space="preserve"> </w:t>
      </w:r>
      <w:r>
        <w:t xml:space="preserve">&lt; 0.0001 for each).</w:t>
      </w:r>
    </w:p>
    <w:p>
      <w:pPr>
        <w:pStyle w:val="BodyText"/>
      </w:pPr>
      <w:r>
        <w:t xml:space="preserve">Second, we repeated the test against the stricter study-specific null of Supplementary Methods 1.5, simulating 2,000 archives with the spreads calibrated within each study. The corresponding 95% ranges are 14.5%–17.8%, 8.9%–11.7% and 58.4%–70.1%; again no archive reached the observed values (</w:t>
      </w:r>
      <w:r>
        <w:rPr>
          <w:iCs/>
          <w:i/>
        </w:rPr>
        <w:t xml:space="preserve">P</w:t>
      </w:r>
      <w:r>
        <w:t xml:space="preserve"> </w:t>
      </w:r>
      <w:r>
        <w:t xml:space="preserve">&lt; 0.001 for each).</w:t>
      </w:r>
    </w:p>
    <w:p>
      <w:pPr>
        <w:pStyle w:val="BodyText"/>
      </w:pPr>
      <w:r>
        <w:t xml:space="preserve">Third, because both Monte Carlo tests draw comparisons independently whereas real comparisons cluster within studies, we inverted the study-level bootstrap of Supplementary Methods 1.6 into a test: the</w:t>
      </w:r>
      <w:r>
        <w:t xml:space="preserve"> </w:t>
      </w:r>
      <w:r>
        <w:rPr>
          <w:iCs/>
          <w:i/>
        </w:rPr>
        <w:t xml:space="preserve">P</w:t>
      </w:r>
      <w:r>
        <w:t xml:space="preserve"> </w:t>
      </w:r>
      <w:r>
        <w:t xml:space="preserve">value is the share of the 4,000 bootstrap draws whose rate falls at or below the corrected-null benchmark. This gives</w:t>
      </w:r>
      <w:r>
        <w:t xml:space="preserve"> </w:t>
      </w:r>
      <w:r>
        <w:rPr>
          <w:iCs/>
          <w:i/>
        </w:rPr>
        <w:t xml:space="preserve">P</w:t>
      </w:r>
      <w:r>
        <w:t xml:space="preserve"> </w:t>
      </w:r>
      <w:r>
        <w:t xml:space="preserve">= 0.010 for the joint-miss rate and</w:t>
      </w:r>
      <w:r>
        <w:t xml:space="preserve"> </w:t>
      </w:r>
      <w:r>
        <w:rPr>
          <w:iCs/>
          <w:i/>
        </w:rPr>
        <w:t xml:space="preserve">P</w:t>
      </w:r>
      <w:r>
        <w:t xml:space="preserve"> </w:t>
      </w:r>
      <w:r>
        <w:t xml:space="preserve">&lt; 0.001 for the same-direction joint-miss rate; no draw fell at or below the null for the direction share (</w:t>
      </w:r>
      <w:r>
        <w:rPr>
          <w:iCs/>
          <w:i/>
        </w:rPr>
        <w:t xml:space="preserve">P</w:t>
      </w:r>
      <w:r>
        <w:t xml:space="preserve"> </w:t>
      </w:r>
      <w:r>
        <w:t xml:space="preserve">&lt; 0.00025). All three approaches lead to the same conclusion: the observed overlap exceeds what independent predictors sharing only the observed estimate would produce.</w:t>
      </w:r>
    </w:p>
    <w:bookmarkEnd w:id="26"/>
    <w:bookmarkEnd w:id="27"/>
    <w:bookmarkStart w:id="36" w:name="supplementary-results"/>
    <w:p>
      <w:pPr>
        <w:pStyle w:val="Heading1"/>
      </w:pPr>
      <w:r>
        <w:t xml:space="preserve">2 Supplementary Results</w:t>
      </w:r>
    </w:p>
    <w:bookmarkStart w:id="28" w:name="X3458cf5ab7501246616931bc82842dd9d28a35b"/>
    <w:p>
      <w:pPr>
        <w:pStyle w:val="Heading2"/>
      </w:pPr>
      <w:r>
        <w:t xml:space="preserve">2.1 Robustness to recalibration and threshold</w:t>
      </w:r>
    </w:p>
    <w:p>
      <w:pPr>
        <w:pStyle w:val="FirstParagraph"/>
      </w:pPr>
      <w:r>
        <w:t xml:space="preserve">Supplementary Table 1 shows that the shared-error pattern is robust to the recalibration method and threshold used. The observed joint-miss and same-direction miss rates exceed their corrected-null benchmarks without recalibration, under linear and isotonic recalibration, and at thresholds ranging from 1.64 to 3.29. At stricter thresholds, misses become less frequent but exceed the null by larger relative margins. On the original percentage-point scale, GPT-4 and human forecaster errors correlate at</w:t>
      </w:r>
      <w:r>
        <w:t xml:space="preserve"> </w:t>
      </w:r>
      <w:r>
        <w:rPr>
          <w:iCs/>
          <w:i/>
        </w:rPr>
        <w:t xml:space="preserve">r</w:t>
      </w:r>
      <w:r>
        <w:t xml:space="preserve"> </w:t>
      </w:r>
      <w:r>
        <w:t xml:space="preserve">= 0.59 after linear recalibration and</w:t>
      </w:r>
      <w:r>
        <w:t xml:space="preserve"> </w:t>
      </w:r>
      <w:r>
        <w:rPr>
          <w:iCs/>
          <w:i/>
        </w:rPr>
        <w:t xml:space="preserve">r</w:t>
      </w:r>
      <w:r>
        <w:t xml:space="preserve"> </w:t>
      </w:r>
      <w:r>
        <w:t xml:space="preserve">= 0.39 without recalibration.</w:t>
      </w:r>
    </w:p>
    <w:p>
      <w:pPr>
        <w:pStyle w:val="TableCaption"/>
      </w:pPr>
      <w:r>
        <w:t xml:space="preserve">Supplementary Table 1 | Shared error under alternative recalibrations and thresholds. Values in parentheses are corrected-null benchmarks calculated separately for each row.</w:t>
      </w:r>
      <w:r>
        <w:t xml:space="preserve"> </w:t>
      </w:r>
      <w:r>
        <w:t xml:space="preserve">“</w:t>
      </w:r>
      <w:r>
        <w:t xml:space="preserve">Same side</w:t>
      </w:r>
      <w:r>
        <w:t xml:space="preserve">”</w:t>
      </w:r>
      <w:r>
        <w:t xml:space="preserve"> </w:t>
      </w:r>
      <w:r>
        <w:t xml:space="preserve">is the proportion of all comparisons missed by both predictors in the same direction;</w:t>
      </w:r>
      <w:r>
        <w:t xml:space="preserve"> </w:t>
      </w:r>
      <w:r>
        <w:t xml:space="preserve">“</w:t>
      </w:r>
      <w:r>
        <w:t xml:space="preserve">Direction</w:t>
      </w:r>
      <w:r>
        <w:t xml:space="preserve">”</w:t>
      </w:r>
      <w:r>
        <w:t xml:space="preserve"> </w:t>
      </w:r>
      <w:r>
        <w:t xml:space="preserve">is the proportion of joint misses occurring in the same direction. Isotonic recalibration uses a monotonic fit under the same leave-one-study-out procedure, with predictions outside the training range held at the nearest boundary.</w:t>
      </w:r>
    </w:p>
    <w:tbl>
      <w:tblPr>
        <w:tblStyle w:val="Table"/>
        <w:tblW w:type="pct" w:w="5000"/>
        <w:tblLook w:firstRow="1" w:lastRow="0" w:firstColumn="0" w:lastColumn="0" w:noHBand="0" w:noVBand="0" w:val="0020"/>
        <w:jc w:val="start"/>
        <w:tblCaption w:val="Supplementary Table 1 | Shared error under alternative recalibrations and thresholds. Values in parentheses are corrected-null benchmarks calculated separately for each row. “Same side” is the proportion of all comparisons missed by both predictors in the same direction; “Direction” is the proportion of joint misses occurring in the same direction. Isotonic recalibration uses a monotonic fit under the same leave-one-study-out procedure, with predictions outside the training range held at the nearest boundary."/>
      </w:tblPr>
      <w:tblGrid>
        <w:gridCol w:w="2208"/>
        <w:gridCol w:w="837"/>
        <w:gridCol w:w="1218"/>
        <w:gridCol w:w="1066"/>
        <w:gridCol w:w="1294"/>
        <w:gridCol w:w="1294"/>
      </w:tblGrid>
      <w:tr>
        <w:trPr>
          <w:tblHeader w:val="true"/>
        </w:trPr>
        <w:tc>
          <w:tcPr/>
          <w:p>
            <w:pPr>
              <w:pStyle w:val="Compact"/>
              <w:jc w:val="left"/>
            </w:pPr>
            <w:r>
              <w:t xml:space="preserve">Analysis</w:t>
            </w:r>
          </w:p>
        </w:tc>
        <w:tc>
          <w:tcPr/>
          <w:p>
            <w:pPr>
              <w:pStyle w:val="Compact"/>
              <w:jc w:val="right"/>
            </w:pPr>
            <w:r>
              <w:t xml:space="preserve">GPT-4 miss</w:t>
            </w:r>
          </w:p>
        </w:tc>
        <w:tc>
          <w:tcPr/>
          <w:p>
            <w:pPr>
              <w:pStyle w:val="Compact"/>
              <w:jc w:val="right"/>
            </w:pPr>
            <w:r>
              <w:t xml:space="preserve">Forecaster miss</w:t>
            </w:r>
          </w:p>
        </w:tc>
        <w:tc>
          <w:tcPr/>
          <w:p>
            <w:pPr>
              <w:pStyle w:val="Compact"/>
              <w:jc w:val="right"/>
            </w:pPr>
            <w:r>
              <w:t xml:space="preserve">Joint (null)</w:t>
            </w:r>
          </w:p>
        </w:tc>
        <w:tc>
          <w:tcPr/>
          <w:p>
            <w:pPr>
              <w:pStyle w:val="Compact"/>
              <w:jc w:val="right"/>
            </w:pPr>
            <w:r>
              <w:t xml:space="preserve">Same side (null)</w:t>
            </w:r>
          </w:p>
        </w:tc>
        <w:tc>
          <w:tcPr/>
          <w:p>
            <w:pPr>
              <w:pStyle w:val="Compact"/>
              <w:jc w:val="right"/>
            </w:pPr>
            <w:r>
              <w:t xml:space="preserve">Direction (null)</w:t>
            </w:r>
          </w:p>
        </w:tc>
      </w:tr>
      <w:tr>
        <w:tc>
          <w:tcPr/>
          <w:p>
            <w:pPr>
              <w:pStyle w:val="Compact"/>
              <w:jc w:val="left"/>
            </w:pPr>
            <w:r>
              <w:t xml:space="preserve">No recalibration, 1.96</w:t>
            </w:r>
          </w:p>
        </w:tc>
        <w:tc>
          <w:tcPr/>
          <w:p>
            <w:pPr>
              <w:pStyle w:val="Compact"/>
              <w:jc w:val="right"/>
            </w:pPr>
            <w:r>
              <w:t xml:space="preserve">46.3%</w:t>
            </w:r>
          </w:p>
        </w:tc>
        <w:tc>
          <w:tcPr/>
          <w:p>
            <w:pPr>
              <w:pStyle w:val="Compact"/>
              <w:jc w:val="right"/>
            </w:pPr>
            <w:r>
              <w:t xml:space="preserve">49.8%</w:t>
            </w:r>
          </w:p>
        </w:tc>
        <w:tc>
          <w:tcPr/>
          <w:p>
            <w:pPr>
              <w:pStyle w:val="Compact"/>
              <w:jc w:val="right"/>
            </w:pPr>
            <w:r>
              <w:t xml:space="preserve">27.6% (23.2%)</w:t>
            </w:r>
          </w:p>
        </w:tc>
        <w:tc>
          <w:tcPr/>
          <w:p>
            <w:pPr>
              <w:pStyle w:val="Compact"/>
              <w:jc w:val="right"/>
            </w:pPr>
            <w:r>
              <w:t xml:space="preserve">20.9% (14.1%)</w:t>
            </w:r>
          </w:p>
        </w:tc>
        <w:tc>
          <w:tcPr/>
          <w:p>
            <w:pPr>
              <w:pStyle w:val="Compact"/>
              <w:jc w:val="right"/>
            </w:pPr>
            <w:r>
              <w:t xml:space="preserve">75.8% (60.8%)</w:t>
            </w:r>
          </w:p>
        </w:tc>
      </w:tr>
      <w:tr>
        <w:tc>
          <w:tcPr/>
          <w:p>
            <w:pPr>
              <w:pStyle w:val="Compact"/>
              <w:jc w:val="left"/>
            </w:pPr>
            <w:r>
              <w:t xml:space="preserve">Linear recalibration, 1.96</w:t>
            </w:r>
          </w:p>
        </w:tc>
        <w:tc>
          <w:tcPr/>
          <w:p>
            <w:pPr>
              <w:pStyle w:val="Compact"/>
              <w:jc w:val="right"/>
            </w:pPr>
            <w:r>
              <w:t xml:space="preserve">35.7%</w:t>
            </w:r>
          </w:p>
        </w:tc>
        <w:tc>
          <w:tcPr/>
          <w:p>
            <w:pPr>
              <w:pStyle w:val="Compact"/>
              <w:jc w:val="right"/>
            </w:pPr>
            <w:r>
              <w:t xml:space="preserve">38.0%</w:t>
            </w:r>
          </w:p>
        </w:tc>
        <w:tc>
          <w:tcPr/>
          <w:p>
            <w:pPr>
              <w:pStyle w:val="Compact"/>
              <w:jc w:val="right"/>
            </w:pPr>
            <w:r>
              <w:t xml:space="preserve">20.2% (14.1%)</w:t>
            </w:r>
          </w:p>
        </w:tc>
        <w:tc>
          <w:tcPr/>
          <w:p>
            <w:pPr>
              <w:pStyle w:val="Compact"/>
              <w:jc w:val="right"/>
            </w:pPr>
            <w:r>
              <w:t xml:space="preserve">18.2% (10.0%)</w:t>
            </w:r>
          </w:p>
        </w:tc>
        <w:tc>
          <w:tcPr/>
          <w:p>
            <w:pPr>
              <w:pStyle w:val="Compact"/>
              <w:jc w:val="right"/>
            </w:pPr>
            <w:r>
              <w:t xml:space="preserve">90.0% (71.2%)</w:t>
            </w:r>
          </w:p>
        </w:tc>
      </w:tr>
      <w:tr>
        <w:tc>
          <w:tcPr/>
          <w:p>
            <w:pPr>
              <w:pStyle w:val="Compact"/>
              <w:jc w:val="left"/>
            </w:pPr>
            <w:r>
              <w:t xml:space="preserve">Isotonic recalibration, 1.96</w:t>
            </w:r>
          </w:p>
        </w:tc>
        <w:tc>
          <w:tcPr/>
          <w:p>
            <w:pPr>
              <w:pStyle w:val="Compact"/>
              <w:jc w:val="right"/>
            </w:pPr>
            <w:r>
              <w:t xml:space="preserve">38.1%</w:t>
            </w:r>
          </w:p>
        </w:tc>
        <w:tc>
          <w:tcPr/>
          <w:p>
            <w:pPr>
              <w:pStyle w:val="Compact"/>
              <w:jc w:val="right"/>
            </w:pPr>
            <w:r>
              <w:t xml:space="preserve">35.2%</w:t>
            </w:r>
          </w:p>
        </w:tc>
        <w:tc>
          <w:tcPr/>
          <w:p>
            <w:pPr>
              <w:pStyle w:val="Compact"/>
              <w:jc w:val="right"/>
            </w:pPr>
            <w:r>
              <w:t xml:space="preserve">22.0% (14.0%)</w:t>
            </w:r>
          </w:p>
        </w:tc>
        <w:tc>
          <w:tcPr/>
          <w:p>
            <w:pPr>
              <w:pStyle w:val="Compact"/>
              <w:jc w:val="right"/>
            </w:pPr>
            <w:r>
              <w:t xml:space="preserve">19.1% (10.0%)</w:t>
            </w:r>
          </w:p>
        </w:tc>
        <w:tc>
          <w:tcPr/>
          <w:p>
            <w:pPr>
              <w:pStyle w:val="Compact"/>
              <w:jc w:val="right"/>
            </w:pPr>
            <w:r>
              <w:t xml:space="preserve">87.0% (71.4%)</w:t>
            </w:r>
          </w:p>
        </w:tc>
      </w:tr>
      <w:tr>
        <w:tc>
          <w:tcPr/>
          <w:p>
            <w:pPr>
              <w:pStyle w:val="Compact"/>
              <w:jc w:val="left"/>
            </w:pPr>
            <w:r>
              <w:t xml:space="preserve">Linear, threshold 1.64</w:t>
            </w:r>
          </w:p>
        </w:tc>
        <w:tc>
          <w:tcPr/>
          <w:p>
            <w:pPr>
              <w:pStyle w:val="Compact"/>
              <w:jc w:val="right"/>
            </w:pPr>
            <w:r>
              <w:t xml:space="preserve">41.3%</w:t>
            </w:r>
          </w:p>
        </w:tc>
        <w:tc>
          <w:tcPr/>
          <w:p>
            <w:pPr>
              <w:pStyle w:val="Compact"/>
              <w:jc w:val="right"/>
            </w:pPr>
            <w:r>
              <w:t xml:space="preserve">44.3%</w:t>
            </w:r>
          </w:p>
        </w:tc>
        <w:tc>
          <w:tcPr/>
          <w:p>
            <w:pPr>
              <w:pStyle w:val="Compact"/>
              <w:jc w:val="right"/>
            </w:pPr>
            <w:r>
              <w:t xml:space="preserve">25.0% (18.9%)</w:t>
            </w:r>
          </w:p>
        </w:tc>
        <w:tc>
          <w:tcPr/>
          <w:p>
            <w:pPr>
              <w:pStyle w:val="Compact"/>
              <w:jc w:val="right"/>
            </w:pPr>
            <w:r>
              <w:t xml:space="preserve">22.3% (13.4%)</w:t>
            </w:r>
          </w:p>
        </w:tc>
        <w:tc>
          <w:tcPr/>
          <w:p>
            <w:pPr>
              <w:pStyle w:val="Compact"/>
              <w:jc w:val="right"/>
            </w:pPr>
            <w:r>
              <w:t xml:space="preserve">89.3% (71.0%)</w:t>
            </w:r>
          </w:p>
        </w:tc>
      </w:tr>
      <w:tr>
        <w:tc>
          <w:tcPr/>
          <w:p>
            <w:pPr>
              <w:pStyle w:val="Compact"/>
              <w:jc w:val="left"/>
            </w:pPr>
            <w:r>
              <w:t xml:space="preserve">Linear, threshold 2.58</w:t>
            </w:r>
          </w:p>
        </w:tc>
        <w:tc>
          <w:tcPr/>
          <w:p>
            <w:pPr>
              <w:pStyle w:val="Compact"/>
              <w:jc w:val="right"/>
            </w:pPr>
            <w:r>
              <w:t xml:space="preserve">24.6%</w:t>
            </w:r>
          </w:p>
        </w:tc>
        <w:tc>
          <w:tcPr/>
          <w:p>
            <w:pPr>
              <w:pStyle w:val="Compact"/>
              <w:jc w:val="right"/>
            </w:pPr>
            <w:r>
              <w:t xml:space="preserve">27.4%</w:t>
            </w:r>
          </w:p>
        </w:tc>
        <w:tc>
          <w:tcPr/>
          <w:p>
            <w:pPr>
              <w:pStyle w:val="Compact"/>
              <w:jc w:val="right"/>
            </w:pPr>
            <w:r>
              <w:t xml:space="preserve">11.7% (7.1%)</w:t>
            </w:r>
          </w:p>
        </w:tc>
        <w:tc>
          <w:tcPr/>
          <w:p>
            <w:pPr>
              <w:pStyle w:val="Compact"/>
              <w:jc w:val="right"/>
            </w:pPr>
            <w:r>
              <w:t xml:space="preserve">10.8% (5.3%)</w:t>
            </w:r>
          </w:p>
        </w:tc>
        <w:tc>
          <w:tcPr/>
          <w:p>
            <w:pPr>
              <w:pStyle w:val="Compact"/>
              <w:jc w:val="right"/>
            </w:pPr>
            <w:r>
              <w:t xml:space="preserve">91.9% (73.9%)</w:t>
            </w:r>
          </w:p>
        </w:tc>
      </w:tr>
      <w:tr>
        <w:tc>
          <w:tcPr/>
          <w:p>
            <w:pPr>
              <w:pStyle w:val="Compact"/>
              <w:jc w:val="left"/>
            </w:pPr>
            <w:r>
              <w:t xml:space="preserve">Linear, threshold 3.29</w:t>
            </w:r>
          </w:p>
        </w:tc>
        <w:tc>
          <w:tcPr/>
          <w:p>
            <w:pPr>
              <w:pStyle w:val="Compact"/>
              <w:jc w:val="right"/>
            </w:pPr>
            <w:r>
              <w:t xml:space="preserve">16.9%</w:t>
            </w:r>
          </w:p>
        </w:tc>
        <w:tc>
          <w:tcPr/>
          <w:p>
            <w:pPr>
              <w:pStyle w:val="Compact"/>
              <w:jc w:val="right"/>
            </w:pPr>
            <w:r>
              <w:t xml:space="preserve">18.6%</w:t>
            </w:r>
          </w:p>
        </w:tc>
        <w:tc>
          <w:tcPr/>
          <w:p>
            <w:pPr>
              <w:pStyle w:val="Compact"/>
              <w:jc w:val="right"/>
            </w:pPr>
            <w:r>
              <w:t xml:space="preserve">7.0% (3.4%)</w:t>
            </w:r>
          </w:p>
        </w:tc>
        <w:tc>
          <w:tcPr/>
          <w:p>
            <w:pPr>
              <w:pStyle w:val="Compact"/>
              <w:jc w:val="right"/>
            </w:pPr>
            <w:r>
              <w:t xml:space="preserve">6.6% (2.6%)</w:t>
            </w:r>
          </w:p>
        </w:tc>
        <w:tc>
          <w:tcPr/>
          <w:p>
            <w:pPr>
              <w:pStyle w:val="Compact"/>
              <w:jc w:val="right"/>
            </w:pPr>
            <w:r>
              <w:t xml:space="preserve">94.0% (75.5%)</w:t>
            </w:r>
          </w:p>
        </w:tc>
      </w:tr>
    </w:tbl>
    <w:bookmarkEnd w:id="28"/>
    <w:bookmarkStart w:id="29" w:name="X44bcfb1095250b91e369f8a9fe5352b38047a36"/>
    <w:p>
      <w:pPr>
        <w:pStyle w:val="Heading2"/>
      </w:pPr>
      <w:r>
        <w:t xml:space="preserve">2.2 Study weighting and the authors’ sampling scheme</w:t>
      </w:r>
    </w:p>
    <w:p>
      <w:pPr>
        <w:pStyle w:val="FirstParagraph"/>
      </w:pPr>
      <w:r>
        <w:t xml:space="preserve">The 70 studies contribute between 1 and 198 comparisons each, so the main-text estimates give greater weight to studies with more comparisons. When each study is weighted equally, the joint-miss rate increases from 20.2% to 30.2% and the same-direction joint-miss rate increases from 18.2% to 24.8%.</w:t>
      </w:r>
    </w:p>
    <w:p>
      <w:pPr>
        <w:pStyle w:val="BodyText"/>
      </w:pPr>
      <w:r>
        <w:t xml:space="preserve">We also applied the Article’s own sampling procedure. The Article’s Supplementary Information describes the draw as selecting one reference condition and one dependent variable per study, but that selection would retain 235 contrasts (305 conditions minus 70 studies), not the 469 effects the Article reports. Drawing one reference condition per study and keeping all outcomes retains exactly 469 comparisons on every draw, matching the Article’s count, and is the scheme we reproduce. Across 500 draws, the joint-miss and same-direction rates had medians of 20.9% and 18.3%, with a standard deviation of approximately 2.1 percentage points across draws. This variation is a sensitivity check, not a confidence interval. The confidence intervals reported in the main text come from the study-level bootstrap described in Supplementary Methods 1.6.</w:t>
      </w:r>
    </w:p>
    <w:bookmarkEnd w:id="29"/>
    <w:bookmarkStart w:id="30" w:name="study-level-heterogeneity"/>
    <w:p>
      <w:pPr>
        <w:pStyle w:val="Heading2"/>
      </w:pPr>
      <w:r>
        <w:t xml:space="preserve">2.3 Study-level heterogeneity</w:t>
      </w:r>
    </w:p>
    <w:p>
      <w:pPr>
        <w:pStyle w:val="FirstParagraph"/>
      </w:pPr>
      <w:r>
        <w:t xml:space="preserve">The shared errors were not confined to a small number of studies. The 339 joint misses occurred across 46 of the 70 studies, and the 305 same-direction joint misses across 43. Across the full archive, regressing the human forecasters’ standardized errors on GPT-4’s produced a slope of 0.46 (95% CI 0.30–0.62, with standard errors clustered by study). The strength of this association varied across studies. Among the 39 studies containing at least five comparisons, the median study-specific slope was 0.58 (interquartile range, 0.28–0.97). Study membership accounted for 33.7% of the variance in the co-error — the product of the two predictors’ standardized errors — further indicating meaningful between-study variation.</w:t>
      </w:r>
    </w:p>
    <w:bookmarkEnd w:id="30"/>
    <w:bookmarkStart w:id="31" w:name="the-continuous-co-error"/>
    <w:p>
      <w:pPr>
        <w:pStyle w:val="Heading2"/>
      </w:pPr>
      <w:r>
        <w:t xml:space="preserve">2.4 The continuous co-error</w:t>
      </w:r>
    </w:p>
    <w:p>
      <w:pPr>
        <w:pStyle w:val="FirstParagraph"/>
      </w:pPr>
      <w:r>
        <w:t xml:space="preserve">To test whether the findings depend on classifying predictions as misses, we also used a continuous co-error measure. This measure multiplies the two standardized errors and is positive when they point in the same direction. Its observed mean was 3.62, compared with 1 under the corrected null. Randomly breaking the pairing between GPT-4 and human forecaster errors produced a mean of 0.00 across 2,000 permutations (s.d. = 0.18). The co-error was positive on average in 59 of the 70 studies. A Wilcoxon signed-rank test of the study-level mean co-errors against zero gives</w:t>
      </w:r>
      <w:r>
        <w:t xml:space="preserve"> </w:t>
      </w:r>
      <w:r>
        <w:rPr>
          <w:iCs/>
          <w:i/>
        </w:rPr>
        <w:t xml:space="preserve">P</w:t>
      </w:r>
      <w:r>
        <w:t xml:space="preserve"> </w:t>
      </w:r>
      <w:r>
        <w:t xml:space="preserve">= 5.6 × 10</w:t>
      </w:r>
      <w:r>
        <w:rPr>
          <w:vertAlign w:val="superscript"/>
        </w:rPr>
        <w:t xml:space="preserve">-7</w:t>
      </w:r>
      <w:r>
        <w:t xml:space="preserve">, treating the study rather than the comparison as the unit of analysis. The predictors’ standardized errors also had a Spearman correlation of 0.51, indicating that the association was not driven by extreme errors.</w:t>
      </w:r>
    </w:p>
    <w:bookmarkEnd w:id="31"/>
    <w:bookmarkStart w:id="32" w:name="dependence-across-language-models"/>
    <w:p>
      <w:pPr>
        <w:pStyle w:val="Heading2"/>
      </w:pPr>
      <w:r>
        <w:t xml:space="preserve">2.5 Dependence across language models</w:t>
      </w:r>
    </w:p>
    <w:p>
      <w:pPr>
        <w:pStyle w:val="FirstParagraph"/>
      </w:pPr>
      <w:r>
        <w:t xml:space="preserve">Shared errors with GPT-4 extend to every other predictor in the archive. Among comparisons missed by GPT-4, the other language models miss the same comparison in the same direction in 60%–78% of cases, compared with 29%–31% under the corrected null. The human forecasters have the lowest overlap with GPT-4, at 51% compared with a corrected-null benchmark of 28%.</w:t>
      </w:r>
    </w:p>
    <w:p>
      <w:pPr>
        <w:pStyle w:val="TableCaption"/>
      </w:pPr>
      <w:r>
        <w:t xml:space="preserve">Supplementary Table 2 | Shared misses between GPT-4 and each other predictor in the archive. All predictors were recalibrated using the same leave-one-study-out linear procedure. Miss rates are calculated on comparisons for which predictions from both GPT-4 and the relevant predictor are available. Corrected-null values represent the expected same-direction overlap with GPT-4 for an independent predictor with the same miss rate (Supplementary Methods 1.4). Error correlations are Pearson correlations between the predictors’ standardized errors.</w:t>
      </w:r>
    </w:p>
    <w:tbl>
      <w:tblPr>
        <w:tblStyle w:val="Table"/>
        <w:tblW w:type="pct" w:w="5000"/>
        <w:tblLook w:firstRow="1" w:lastRow="0" w:firstColumn="0" w:lastColumn="0" w:noHBand="0" w:noVBand="0" w:val="0020"/>
        <w:jc w:val="start"/>
        <w:tblCaption w:val="Supplementary Table 2 | Shared misses between GPT-4 and each other predictor in the archive. All predictors were recalibrated using the same leave-one-study-out linear procedure. Miss rates are calculated on comparisons for which predictions from both GPT-4 and the relevant predictor are available. Corrected-null values represent the expected same-direction overlap with GPT-4 for an independent predictor with the same miss rate (Supplementary Methods 1.4). Error correlations are Pearson correlations between the predictors’ standardized errors."/>
      </w:tblPr>
      <w:tblGrid>
        <w:gridCol w:w="1697"/>
        <w:gridCol w:w="942"/>
        <w:gridCol w:w="2168"/>
        <w:gridCol w:w="1414"/>
        <w:gridCol w:w="1697"/>
      </w:tblGrid>
      <w:tr>
        <w:trPr>
          <w:tblHeader w:val="true"/>
        </w:trPr>
        <w:tc>
          <w:tcPr/>
          <w:p>
            <w:pPr>
              <w:pStyle w:val="Compact"/>
              <w:jc w:val="left"/>
            </w:pPr>
            <w:r>
              <w:t xml:space="preserve">Predictor</w:t>
            </w:r>
          </w:p>
        </w:tc>
        <w:tc>
          <w:tcPr/>
          <w:p>
            <w:pPr>
              <w:pStyle w:val="Compact"/>
              <w:jc w:val="right"/>
            </w:pPr>
            <w:r>
              <w:t xml:space="preserve">Miss rate</w:t>
            </w:r>
          </w:p>
        </w:tc>
        <w:tc>
          <w:tcPr/>
          <w:p>
            <w:pPr>
              <w:pStyle w:val="Compact"/>
              <w:jc w:val="right"/>
            </w:pPr>
            <w:r>
              <w:t xml:space="preserve">Also misses, same side</w:t>
            </w:r>
          </w:p>
        </w:tc>
        <w:tc>
          <w:tcPr/>
          <w:p>
            <w:pPr>
              <w:pStyle w:val="Compact"/>
              <w:jc w:val="right"/>
            </w:pPr>
            <w:r>
              <w:t xml:space="preserve">Corrected null</w:t>
            </w:r>
          </w:p>
        </w:tc>
        <w:tc>
          <w:tcPr/>
          <w:p>
            <w:pPr>
              <w:pStyle w:val="Compact"/>
              <w:jc w:val="right"/>
            </w:pPr>
            <w:r>
              <w:t xml:space="preserve">Error correlation</w:t>
            </w:r>
          </w:p>
        </w:tc>
      </w:tr>
      <w:tr>
        <w:tc>
          <w:tcPr/>
          <w:p>
            <w:pPr>
              <w:pStyle w:val="Compact"/>
              <w:jc w:val="left"/>
            </w:pPr>
            <w:r>
              <w:t xml:space="preserve">DeepSeek-V3</w:t>
            </w:r>
          </w:p>
        </w:tc>
        <w:tc>
          <w:tcPr/>
          <w:p>
            <w:pPr>
              <w:pStyle w:val="Compact"/>
              <w:jc w:val="right"/>
            </w:pPr>
            <w:r>
              <w:t xml:space="preserve">40%</w:t>
            </w:r>
          </w:p>
        </w:tc>
        <w:tc>
          <w:tcPr/>
          <w:p>
            <w:pPr>
              <w:pStyle w:val="Compact"/>
              <w:jc w:val="right"/>
            </w:pPr>
            <w:r>
              <w:t xml:space="preserve">78%</w:t>
            </w:r>
          </w:p>
        </w:tc>
        <w:tc>
          <w:tcPr/>
          <w:p>
            <w:pPr>
              <w:pStyle w:val="Compact"/>
              <w:jc w:val="right"/>
            </w:pPr>
            <w:r>
              <w:t xml:space="preserve">29%</w:t>
            </w:r>
          </w:p>
        </w:tc>
        <w:tc>
          <w:tcPr/>
          <w:p>
            <w:pPr>
              <w:pStyle w:val="Compact"/>
              <w:jc w:val="right"/>
            </w:pPr>
            <w:r>
              <w:t xml:space="preserve">0.82</w:t>
            </w:r>
          </w:p>
        </w:tc>
      </w:tr>
      <w:tr>
        <w:tc>
          <w:tcPr/>
          <w:p>
            <w:pPr>
              <w:pStyle w:val="Compact"/>
              <w:jc w:val="left"/>
            </w:pPr>
            <w:r>
              <w:t xml:space="preserve">GPT-OSS-120B</w:t>
            </w:r>
          </w:p>
        </w:tc>
        <w:tc>
          <w:tcPr/>
          <w:p>
            <w:pPr>
              <w:pStyle w:val="Compact"/>
              <w:jc w:val="right"/>
            </w:pPr>
            <w:r>
              <w:t xml:space="preserve">42%</w:t>
            </w:r>
          </w:p>
        </w:tc>
        <w:tc>
          <w:tcPr/>
          <w:p>
            <w:pPr>
              <w:pStyle w:val="Compact"/>
              <w:jc w:val="right"/>
            </w:pPr>
            <w:r>
              <w:t xml:space="preserve">76%</w:t>
            </w:r>
          </w:p>
        </w:tc>
        <w:tc>
          <w:tcPr/>
          <w:p>
            <w:pPr>
              <w:pStyle w:val="Compact"/>
              <w:jc w:val="right"/>
            </w:pPr>
            <w:r>
              <w:t xml:space="preserve">30%</w:t>
            </w:r>
          </w:p>
        </w:tc>
        <w:tc>
          <w:tcPr/>
          <w:p>
            <w:pPr>
              <w:pStyle w:val="Compact"/>
              <w:jc w:val="right"/>
            </w:pPr>
            <w:r>
              <w:t xml:space="preserve">0.79</w:t>
            </w:r>
          </w:p>
        </w:tc>
      </w:tr>
      <w:tr>
        <w:tc>
          <w:tcPr/>
          <w:p>
            <w:pPr>
              <w:pStyle w:val="Compact"/>
              <w:jc w:val="left"/>
            </w:pPr>
            <w:r>
              <w:t xml:space="preserve">GPT-3.5</w:t>
            </w:r>
          </w:p>
        </w:tc>
        <w:tc>
          <w:tcPr/>
          <w:p>
            <w:pPr>
              <w:pStyle w:val="Compact"/>
              <w:jc w:val="right"/>
            </w:pPr>
            <w:r>
              <w:t xml:space="preserve">41%</w:t>
            </w:r>
          </w:p>
        </w:tc>
        <w:tc>
          <w:tcPr/>
          <w:p>
            <w:pPr>
              <w:pStyle w:val="Compact"/>
              <w:jc w:val="right"/>
            </w:pPr>
            <w:r>
              <w:t xml:space="preserve">67%</w:t>
            </w:r>
          </w:p>
        </w:tc>
        <w:tc>
          <w:tcPr/>
          <w:p>
            <w:pPr>
              <w:pStyle w:val="Compact"/>
              <w:jc w:val="right"/>
            </w:pPr>
            <w:r>
              <w:t xml:space="preserve">30%</w:t>
            </w:r>
          </w:p>
        </w:tc>
        <w:tc>
          <w:tcPr/>
          <w:p>
            <w:pPr>
              <w:pStyle w:val="Compact"/>
              <w:jc w:val="right"/>
            </w:pPr>
            <w:r>
              <w:t xml:space="preserve">0.65</w:t>
            </w:r>
          </w:p>
        </w:tc>
      </w:tr>
      <w:tr>
        <w:tc>
          <w:tcPr/>
          <w:p>
            <w:pPr>
              <w:pStyle w:val="Compact"/>
              <w:jc w:val="left"/>
            </w:pPr>
            <w:r>
              <w:t xml:space="preserve">Gemma-3-27B</w:t>
            </w:r>
          </w:p>
        </w:tc>
        <w:tc>
          <w:tcPr/>
          <w:p>
            <w:pPr>
              <w:pStyle w:val="Compact"/>
              <w:jc w:val="right"/>
            </w:pPr>
            <w:r>
              <w:t xml:space="preserve">39%</w:t>
            </w:r>
          </w:p>
        </w:tc>
        <w:tc>
          <w:tcPr/>
          <w:p>
            <w:pPr>
              <w:pStyle w:val="Compact"/>
              <w:jc w:val="right"/>
            </w:pPr>
            <w:r>
              <w:t xml:space="preserve">64%</w:t>
            </w:r>
          </w:p>
        </w:tc>
        <w:tc>
          <w:tcPr/>
          <w:p>
            <w:pPr>
              <w:pStyle w:val="Compact"/>
              <w:jc w:val="right"/>
            </w:pPr>
            <w:r>
              <w:t xml:space="preserve">29%</w:t>
            </w:r>
          </w:p>
        </w:tc>
        <w:tc>
          <w:tcPr/>
          <w:p>
            <w:pPr>
              <w:pStyle w:val="Compact"/>
              <w:jc w:val="right"/>
            </w:pPr>
            <w:r>
              <w:t xml:space="preserve">0.67</w:t>
            </w:r>
          </w:p>
        </w:tc>
      </w:tr>
      <w:tr>
        <w:tc>
          <w:tcPr/>
          <w:p>
            <w:pPr>
              <w:pStyle w:val="Compact"/>
              <w:jc w:val="left"/>
            </w:pPr>
            <w:r>
              <w:t xml:space="preserve">babbage-002</w:t>
            </w:r>
          </w:p>
        </w:tc>
        <w:tc>
          <w:tcPr/>
          <w:p>
            <w:pPr>
              <w:pStyle w:val="Compact"/>
              <w:jc w:val="right"/>
            </w:pPr>
            <w:r>
              <w:t xml:space="preserve">40%</w:t>
            </w:r>
          </w:p>
        </w:tc>
        <w:tc>
          <w:tcPr/>
          <w:p>
            <w:pPr>
              <w:pStyle w:val="Compact"/>
              <w:jc w:val="right"/>
            </w:pPr>
            <w:r>
              <w:t xml:space="preserve">62%</w:t>
            </w:r>
          </w:p>
        </w:tc>
        <w:tc>
          <w:tcPr/>
          <w:p>
            <w:pPr>
              <w:pStyle w:val="Compact"/>
              <w:jc w:val="right"/>
            </w:pPr>
            <w:r>
              <w:t xml:space="preserve">29%</w:t>
            </w:r>
          </w:p>
        </w:tc>
        <w:tc>
          <w:tcPr/>
          <w:p>
            <w:pPr>
              <w:pStyle w:val="Compact"/>
              <w:jc w:val="right"/>
            </w:pPr>
            <w:r>
              <w:t xml:space="preserve">0.57</w:t>
            </w:r>
          </w:p>
        </w:tc>
      </w:tr>
      <w:tr>
        <w:tc>
          <w:tcPr/>
          <w:p>
            <w:pPr>
              <w:pStyle w:val="Compact"/>
              <w:jc w:val="left"/>
            </w:pPr>
            <w:r>
              <w:t xml:space="preserve">davinci-002</w:t>
            </w:r>
          </w:p>
        </w:tc>
        <w:tc>
          <w:tcPr/>
          <w:p>
            <w:pPr>
              <w:pStyle w:val="Compact"/>
              <w:jc w:val="right"/>
            </w:pPr>
            <w:r>
              <w:t xml:space="preserve">45%</w:t>
            </w:r>
          </w:p>
        </w:tc>
        <w:tc>
          <w:tcPr/>
          <w:p>
            <w:pPr>
              <w:pStyle w:val="Compact"/>
              <w:jc w:val="right"/>
            </w:pPr>
            <w:r>
              <w:t xml:space="preserve">60%</w:t>
            </w:r>
          </w:p>
        </w:tc>
        <w:tc>
          <w:tcPr/>
          <w:p>
            <w:pPr>
              <w:pStyle w:val="Compact"/>
              <w:jc w:val="right"/>
            </w:pPr>
            <w:r>
              <w:t xml:space="preserve">31%</w:t>
            </w:r>
          </w:p>
        </w:tc>
        <w:tc>
          <w:tcPr/>
          <w:p>
            <w:pPr>
              <w:pStyle w:val="Compact"/>
              <w:jc w:val="right"/>
            </w:pPr>
            <w:r>
              <w:t xml:space="preserve">0.57</w:t>
            </w:r>
          </w:p>
        </w:tc>
      </w:tr>
      <w:tr>
        <w:tc>
          <w:tcPr/>
          <w:p>
            <w:pPr>
              <w:pStyle w:val="Compact"/>
              <w:jc w:val="left"/>
            </w:pPr>
            <w:r>
              <w:t xml:space="preserve">Human forecasters</w:t>
            </w:r>
          </w:p>
        </w:tc>
        <w:tc>
          <w:tcPr/>
          <w:p>
            <w:pPr>
              <w:pStyle w:val="Compact"/>
              <w:jc w:val="right"/>
            </w:pPr>
            <w:r>
              <w:t xml:space="preserve">38%</w:t>
            </w:r>
          </w:p>
        </w:tc>
        <w:tc>
          <w:tcPr/>
          <w:p>
            <w:pPr>
              <w:pStyle w:val="Compact"/>
              <w:jc w:val="right"/>
            </w:pPr>
            <w:r>
              <w:t xml:space="preserve">51%</w:t>
            </w:r>
          </w:p>
        </w:tc>
        <w:tc>
          <w:tcPr/>
          <w:p>
            <w:pPr>
              <w:pStyle w:val="Compact"/>
              <w:jc w:val="right"/>
            </w:pPr>
            <w:r>
              <w:t xml:space="preserve">28%</w:t>
            </w:r>
          </w:p>
        </w:tc>
        <w:tc>
          <w:tcPr/>
          <w:p>
            <w:pPr>
              <w:pStyle w:val="Compact"/>
              <w:jc w:val="right"/>
            </w:pPr>
            <w:r>
              <w:t xml:space="preserve">0.50</w:t>
            </w:r>
          </w:p>
        </w:tc>
      </w:tr>
    </w:tbl>
    <w:bookmarkEnd w:id="32"/>
    <w:bookmarkStart w:id="33" w:name="secondary-archive-of-megastudies"/>
    <w:p>
      <w:pPr>
        <w:pStyle w:val="Heading2"/>
      </w:pPr>
      <w:r>
        <w:t xml:space="preserve">2.6 Secondary archive of megastudies</w:t>
      </w:r>
    </w:p>
    <w:p>
      <w:pPr>
        <w:pStyle w:val="FirstParagraph"/>
      </w:pPr>
      <w:r>
        <w:t xml:space="preserve">The secondary archive contains 606 treatment effects from 15 megastudies, with expert forecasts available for 376 conditions in nine of them. We derived the comparison-level data from the authors’ megastudies.RDS file, following their scale conversions, family-specific scale ratios and data corrections. Because outcome scales differ across megastudy families, we recalibrated predictions separately within each family using a leave-one-condition-out procedure.</w:t>
      </w:r>
    </w:p>
    <w:p>
      <w:pPr>
        <w:pStyle w:val="BodyText"/>
      </w:pPr>
      <w:r>
        <w:t xml:space="preserve">Across the 376 conditions, experts missed 31.9% of the observed effects and GPT-4 missed 30.3%. Of the 114 conditions missed by GPT-4, experts also missed 93 (81.6%); 92 of these 93 joint misses (98.9%) were in the same direction. Both predictors therefore missed 93 of the 376 conditions (24.7%), and missed in the same direction on 92 (24.5% of all conditions). Under the corrected null, the expected same-direction joint-miss rate is 8.3%; under the naive benchmark that ignores the shared observed estimate, it is 4.8%. Under the corrected null, experts would be expected to miss 34.7% of GPT-4’s misses, with 78.9% of joint misses occurring in the same direction. Expert errors also closely tracked GPT-4’s errors, with a regression slope of 0.89 (95% CI 0.85–0.93, with standard errors clustered by megastudy family). Because the analysis contains only nine megastudy-family clusters, this interval should be interpreted with caution.</w:t>
      </w:r>
    </w:p>
    <w:bookmarkEnd w:id="33"/>
    <w:bookmarkStart w:id="34" w:name="concentration-of-same-side-joint-misses"/>
    <w:p>
      <w:pPr>
        <w:pStyle w:val="Heading2"/>
      </w:pPr>
      <w:r>
        <w:t xml:space="preserve">2.7 Concentration of same-side joint misses</w:t>
      </w:r>
    </w:p>
    <w:p>
      <w:pPr>
        <w:pStyle w:val="FirstParagraph"/>
      </w:pPr>
      <w:r>
        <w:t xml:space="preserve">Same-direction joint misses were more common for larger observed effects. Using the Article’s five-percentage-point threshold, rates were 27.9% across 752 larger-effect comparisons and 10.3% across 926 smaller-effect comparisons. Some difference is expected because grouping by a noisy observed estimate selects large effects inflated by sampling error, while both forecasts remain more moderate. Accordingly, the corrected-null benchmarks were 15.0% and 6.6%, respectively. The observed rates exceeded both benchmarks, indicating that sampling error partly — but not fully — explains the concentration. We therefore do not rely on this split in the main text.</w:t>
      </w:r>
    </w:p>
    <w:p>
      <w:pPr>
        <w:pStyle w:val="BodyText"/>
      </w:pPr>
      <w:r>
        <w:t xml:space="preserve">We next defined the profile of predictions a researcher would be most likely to treat as compelling evidence: both predictors expecting a large effect (top fifth by the magnitude of the average raw prediction), agreeing in sign, and closely aligned in magnitude (disagreement below the median). 75 comparisons met these criteria, of which 56.0% were same-direction joint misses, compared with 16.4% of the remaining comparisons and 22.2% expected under the corrected null. Because the profile is based on predictions rather than observed effects, it avoids the selection issue above and reflects how researchers might screen on LLM–human forecaster agreement. We therefore report this analysis in the main text.</w:t>
      </w:r>
    </w:p>
    <w:p>
      <w:pPr>
        <w:pStyle w:val="BodyText"/>
      </w:pPr>
      <w:r>
        <w:t xml:space="preserve">This analysis describes where shared misses are concentrated; it does not independently establish that the two predictors’ errors are dependent. Because both predictions are evaluated against the same noisy observed estimate, sampling error alone can place them on the same side. Dependence is instead evaluated using the corrected nulls in Supplementary Methods 1.4 and 1.5.</w:t>
      </w:r>
    </w:p>
    <w:bookmarkEnd w:id="34"/>
    <w:bookmarkStart w:id="35" w:name="X880eca90fdc30d028603b20f488ff0e67392f84"/>
    <w:p>
      <w:pPr>
        <w:pStyle w:val="Heading2"/>
      </w:pPr>
      <w:r>
        <w:t xml:space="preserve">2.8 Bounding the share of misses attributable to inaccurate estimates</w:t>
      </w:r>
    </w:p>
    <w:p>
      <w:pPr>
        <w:pStyle w:val="FirstParagraph"/>
      </w:pPr>
      <w:r>
        <w:t xml:space="preserve">An observed effect may itself be inaccurate, in which case a joint miss could reflect sound forecasts and a faulty estimate rather than shared forecasting error. This section bounds how much of the same-direction overlap that explanation can carry. If an estimate’s</w:t>
      </w:r>
      <w:r>
        <w:t xml:space="preserve"> </w:t>
      </w:r>
      <w:r>
        <w:rPr>
          <w:iCs/>
          <w:i/>
        </w:rPr>
        <w:t xml:space="preserve">t</w:t>
      </w:r>
      <w:r>
        <w:t xml:space="preserve">-interval contains the true effect, a forecast outside that interval is necessarily different from the truth, so the miss cannot be attributed to the estimate alone. Under calibrated standard errors the true effect lies outside the</w:t>
      </w:r>
      <w:r>
        <w:t xml:space="preserve"> </w:t>
      </w:r>
      <w:r>
        <w:rPr>
          <w:iCs/>
          <w:i/>
        </w:rPr>
        <w:t xml:space="preserve">t</w:t>
      </w:r>
      <w:r>
        <w:t xml:space="preserve">-interval with probability 2(1 − Φ(</w:t>
      </w:r>
      <w:r>
        <w:rPr>
          <w:iCs/>
          <w:i/>
        </w:rPr>
        <w:t xml:space="preserve">t</w:t>
      </w:r>
      <w:r>
        <w:t xml:space="preserve">)), which is 5.0% at</w:t>
      </w:r>
      <w:r>
        <w:t xml:space="preserve"> </w:t>
      </w:r>
      <w:r>
        <w:rPr>
          <w:iCs/>
          <w:i/>
        </w:rPr>
        <w:t xml:space="preserve">t</w:t>
      </w:r>
      <w:r>
        <w:t xml:space="preserve"> </w:t>
      </w:r>
      <w:r>
        <w:t xml:space="preserve">= 1.96 and 0.1% at</w:t>
      </w:r>
      <w:r>
        <w:t xml:space="preserve"> </w:t>
      </w:r>
      <w:r>
        <w:rPr>
          <w:iCs/>
          <w:i/>
        </w:rPr>
        <w:t xml:space="preserve">t</w:t>
      </w:r>
      <w:r>
        <w:t xml:space="preserve"> </w:t>
      </w:r>
      <w:r>
        <w:t xml:space="preserve">= 3.29. The share of comparisons whose same-direction joint miss the estimate alone could explain is therefore capped at those rates.</w:t>
      </w:r>
    </w:p>
    <w:p>
      <w:pPr>
        <w:pStyle w:val="BodyText"/>
      </w:pPr>
      <w:r>
        <w:t xml:space="preserve">The observed same-direction joint-miss rates are 18.2% and 6.6%, exceeding the caps by factors of 3.6 and 65. In expectation, at least 72.5% of same-direction joint misses at the 1.96 threshold, and at least 98.5% at the 3.29 threshold, must therefore occur on comparisons whose interval contains the true effect, where both forecasts are demonstrably in error.</w:t>
      </w:r>
    </w:p>
    <w:p>
      <w:pPr>
        <w:pStyle w:val="BodyText"/>
      </w:pPr>
      <w:r>
        <w:t xml:space="preserve">The cap is an expected rate, and the realized number of intervals excluding the truth varies from archive to archive. As sensitivity checks we recompute each floor with a binomial 97.5% upper limit on that number, and with intervals assumed to fail at ten times their nominal rate. Because comparisons cluster within studies, the binomial limit is indicative rather than exact. At the 1.96 threshold the floor is 66.6% under the binomial limit but does not survive substantial miscalibration. At the 3.29 threshold it is 95.5% under the binomial limit and 84.7% under tenfold miscalibration. The claim carried into the main text therefore rests on the strictest threshold, where it is robust. Calibration itself is defended by the archive’s design. The experiments are pre-registered, every pairwise comparison is analysed rather than only the statistically significant ones, and the estimates are simple mean differences from large samples, so the selection mechanisms that undermine interval calibration in the published literature are absent by construction.</w:t>
      </w:r>
    </w:p>
    <w:bookmarkEnd w:id="35"/>
    <w:bookmarkEnd w:id="36"/>
    <w:bookmarkStart w:id="38" w:name="data-and-code-provenance"/>
    <w:p>
      <w:pPr>
        <w:pStyle w:val="Heading1"/>
      </w:pPr>
      <w:r>
        <w:t xml:space="preserve">3 Data and code provenance</w:t>
      </w:r>
    </w:p>
    <w:p>
      <w:pPr>
        <w:pStyle w:val="FirstParagraph"/>
      </w:pPr>
      <w:r>
        <w:t xml:space="preserve">All analyses were produced in R 4.3, starting from the raw files in Code Ocean capsule 9843791 [1]. Reanalysis code, the deposited comparison-level tables and a self-verifying analysis report are available at</w:t>
      </w:r>
      <w:r>
        <w:t xml:space="preserve"> </w:t>
      </w:r>
      <w:hyperlink r:id="rId37">
        <w:r>
          <w:rPr>
            <w:rStyle w:val="Hyperlink"/>
          </w:rPr>
          <w:t xml:space="preserve">https://github.com/Livedenkule/Large-language-models-and-human-crowds-make-the-same-prediction-errors-</w:t>
        </w:r>
      </w:hyperlink>
      <w:r>
        <w:t xml:space="preserve"> </w:t>
      </w:r>
      <w:r>
        <w:t xml:space="preserve">(archived at [ZENODO DOI ON PUBLICATION]). The report re-computes every quantity in this document and refuses to render if any reported value fails to reproduce.</w:t>
      </w:r>
    </w:p>
    <w:bookmarkEnd w:id="38"/>
    <w:bookmarkStart w:id="40" w:name="supplementary-references"/>
    <w:p>
      <w:pPr>
        <w:pStyle w:val="Heading1"/>
      </w:pPr>
      <w:r>
        <w:t xml:space="preserve">Supplementary references</w:t>
      </w:r>
    </w:p>
    <w:p>
      <w:pPr>
        <w:pStyle w:val="FirstParagraph"/>
      </w:pPr>
      <w:r>
        <w:t xml:space="preserve">[1] Ashokkumar, A., Hewitt, L., Ghezae, I. &amp; Willer, R. Data and code for: Large language models can predict the results of social science experiments. Code Ocean</w:t>
      </w:r>
      <w:r>
        <w:t xml:space="preserve"> </w:t>
      </w:r>
      <w:hyperlink r:id="rId39">
        <w:r>
          <w:rPr>
            <w:rStyle w:val="Hyperlink"/>
          </w:rPr>
          <w:t xml:space="preserve">https://codeocean.com/capsule/9843791/tree/v1</w:t>
        </w:r>
      </w:hyperlink>
      <w:r>
        <w:t xml:space="preserve"> </w:t>
      </w:r>
      <w:r>
        <w:t xml:space="preserve">(2026).</w:t>
      </w:r>
    </w:p>
    <w:p>
      <w:pPr>
        <w:pStyle w:val="BodyText"/>
      </w:pPr>
      <w:r>
        <w:t xml:space="preserve">[2] Efron, B. &amp; Tibshirani, R. J. An Introduction to the Bootstrap (Chapman &amp; Hall, 1993).</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codeocean.com/capsule/9843791/tree/v1" TargetMode="External" /><Relationship Type="http://schemas.openxmlformats.org/officeDocument/2006/relationships/hyperlink" Id="rId37" Target="https://github.com/Livedenkule/Large-language-models-and-human-crowds-make-the-same-prediction-errors-" TargetMode="External" /></Relationships>
</file>

<file path=word/_rels/footnotes.xml.rels><?xml version="1.0" encoding="UTF-8"?><Relationships xmlns="http://schemas.openxmlformats.org/package/2006/relationships"><Relationship Type="http://schemas.openxmlformats.org/officeDocument/2006/relationships/hyperlink" Id="rId39" Target="https://codeocean.com/capsule/9843791/tree/v1" TargetMode="External" /><Relationship Type="http://schemas.openxmlformats.org/officeDocument/2006/relationships/hyperlink" Id="rId37" Target="https://github.com/Livedenkule/Large-language-models-and-human-crowds-make-the-same-prediction-err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Live Leonhardsen Wilhelmsen, Roya Esfandiari &amp; Anton Gollwitzer</dc:creator>
  <cp:keywords/>
  <dcterms:created xsi:type="dcterms:W3CDTF">2026-09-07T11:48:11Z</dcterms:created>
  <dcterms:modified xsi:type="dcterms:W3CDTF">2026-09-07T11:48:11Z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Large language models and human forecasters make the same prediction errors</vt:lpwstr>
  </property>
</Properties>
</file>