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jc w:val="center"/>
        <w:rPr/>
      </w:pPr>
      <w:r>
        <w:rPr/>
        <w:t>Теория Эффективных Агентов</w:t>
      </w:r>
    </w:p>
    <w:p>
      <w:pPr>
        <w:pStyle w:val="Normal"/>
        <w:spacing w:before="0" w:after="120"/>
        <w:jc w:val="center"/>
        <w:rPr/>
      </w:pPr>
      <w:r>
        <w:rPr/>
        <w:t xml:space="preserve">Александр Лайвлендер </w:t>
      </w:r>
      <w:r>
        <w:rPr>
          <w:color w:val="0563C1"/>
          <w:u w:val="single"/>
        </w:rPr>
        <w:t>livelandr@proton.me</w:t>
      </w:r>
    </w:p>
    <w:p>
      <w:pPr>
        <w:pStyle w:val="Heading2"/>
        <w:spacing w:before="0" w:after="200"/>
        <w:jc w:val="start"/>
        <w:rPr/>
      </w:pPr>
      <w:r>
        <w:rPr/>
        <w:t>Введение</w:t>
      </w:r>
    </w:p>
    <w:p>
      <w:pPr>
        <w:pStyle w:val="Normal"/>
        <w:spacing w:before="0" w:after="120"/>
        <w:jc w:val="start"/>
        <w:rPr/>
      </w:pPr>
      <w:r>
        <w:rPr/>
        <w:t>Теория Эффективных Агентов (ТЭА) - модель описания рыночной динамики, в которой ценообразование стремится к эффективной цене (см. Гипотеза Эффективного рынка), через взаимодействие эффективных агентов.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Фундамент</w:t>
      </w:r>
    </w:p>
    <w:p>
      <w:pPr>
        <w:pStyle w:val="Normal"/>
        <w:spacing w:before="0" w:after="120"/>
        <w:jc w:val="start"/>
        <w:rPr/>
      </w:pPr>
      <w:r>
        <w:rPr/>
        <w:t>Главный объект ТЭА - эффективных агенты, социономические феномены, возникающих на высоколиквидных активах с малым контролем конкретных лиц, от чего более проявляемы на товарных и криптовалютных рынках а также индексах, и в меньшей мере на стоимостях акций.</w:t>
      </w:r>
    </w:p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/>
        <w:t>Существует два вида агентов, которые также делятся на две части в процессе их проявления.</w:t>
      </w:r>
    </w:p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Разворотный агент</w:t>
      </w:r>
      <w:r>
        <w:rPr/>
        <w:t xml:space="preserve"> - основной агент в ТЭА, функция которого заключается в развороте тенденции движения цены.</w:t>
        <w:br/>
        <w:t>Подразделяется на предвещающую и действующую части.</w:t>
      </w:r>
    </w:p>
    <w:p>
      <w:pPr>
        <w:pStyle w:val="Normal"/>
        <w:spacing w:before="0" w:after="120"/>
        <w:jc w:val="start"/>
        <w:rPr/>
      </w:pPr>
      <w:r>
        <w:rPr/>
        <w:t>Предвещающая часть указывает на скорый разворот, а также сохраняет инерцию прошлой действующей части, создавая эффект гистерезиса.</w:t>
      </w:r>
    </w:p>
    <w:p>
      <w:pPr>
        <w:pStyle w:val="Normal"/>
        <w:spacing w:before="0" w:after="120"/>
        <w:jc w:val="start"/>
        <w:rPr/>
      </w:pPr>
      <w:r>
        <w:rPr/>
        <w:t>Движущая часть оказывает влияние, провоцирующее разворот. (Временное допущение, будет уточнено далее.) А также передает вектор действия предвещающей части следующего разворотного агента.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Разгрузочный агент</w:t>
      </w:r>
      <w:r>
        <w:rPr/>
        <w:t xml:space="preserve"> - агент, возникающий в случае низкого или нулевого влияния движущей части прошлого разворотного агента.</w:t>
        <w:br/>
        <w:t>Подразделяется на накопительную и действующую части.</w:t>
      </w:r>
    </w:p>
    <w:p>
      <w:pPr>
        <w:pStyle w:val="Normal"/>
        <w:spacing w:before="0" w:after="120"/>
        <w:jc w:val="start"/>
        <w:rPr/>
      </w:pPr>
      <w:r>
        <w:rPr/>
        <w:t xml:space="preserve">Накопительная часть начинается как предвещающая часть разворотного агента, но затем переходит в фазу накопления из-за феномена названного </w:t>
      </w:r>
      <w:r>
        <w:rPr>
          <w:i/>
          <w:iCs/>
        </w:rPr>
        <w:t>откатом</w:t>
      </w:r>
      <w:r>
        <w:rPr/>
        <w:t>.</w:t>
      </w:r>
    </w:p>
    <w:p>
      <w:pPr>
        <w:pStyle w:val="Normal"/>
        <w:spacing w:before="0" w:after="120"/>
        <w:jc w:val="start"/>
        <w:rPr/>
      </w:pPr>
      <w:r>
        <w:rPr>
          <w:i/>
          <w:iCs/>
        </w:rPr>
        <w:t>Откат</w:t>
      </w:r>
      <w:r>
        <w:rPr/>
        <w:t xml:space="preserve"> возникает достаточно хаотично, от чего и создается рыночная неопределенность. Этот феномен позволяет цене идти в противоположном направлении, при этом накапливая силу для мощного импульса, откат длится от середины накопительной до середины движущей части,которой и передает всю накопленную силу, который затем действует как действующая часть разворотного агента.</w:t>
      </w:r>
    </w:p>
    <w:p>
      <w:pPr>
        <w:pStyle w:val="Normal"/>
        <w:spacing w:before="0" w:after="200"/>
        <w:rPr/>
      </w:pPr>
      <w:r>
        <w:rPr/>
        <w:t xml:space="preserve"> </w:t>
      </w:r>
      <w:r>
        <w:rPr/>
        <w:t xml:space="preserve">Разгрузочные агенты имеют накопительный эффект, что позволяет им выстраиватся друг за другом, накапливая силу и выпуская её в одном приумноженном импульсе. Данный феномен называется </w:t>
      </w:r>
      <w:r>
        <w:rPr>
          <w:i/>
          <w:iCs/>
        </w:rPr>
        <w:t>Разгрузочной цепью</w:t>
      </w:r>
      <w:r>
        <w:rPr/>
        <w:t>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Технический анализ агентов</w:t>
      </w:r>
    </w:p>
    <w:p>
      <w:pPr>
        <w:pStyle w:val="Normal"/>
        <w:spacing w:before="0" w:after="120"/>
        <w:jc w:val="start"/>
        <w:rPr/>
      </w:pPr>
      <w:r>
        <w:rPr/>
        <w:t>Изначально ТЭА создавалась для объяснения значений, возникающих при использовании моего личного индикатора EMAD, принцип которого заключается в поиске точки пересечения медленной SMA и быстрой HMA через модифицированный метод секущих.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EMAD создает структуры, с которыми и отождествляются виды агентов.</w:t>
      </w:r>
    </w:p>
    <w:p>
      <w:pPr>
        <w:pStyle w:val="Normal"/>
        <w:spacing w:before="0" w:after="120"/>
        <w:jc w:val="start"/>
        <w:rPr/>
      </w:pPr>
      <w:r>
        <w:rPr>
          <w:b/>
          <w:bCs/>
        </w:rPr>
        <w:t>Разворотные</w:t>
      </w:r>
      <w:r>
        <w:rPr/>
        <w:t xml:space="preserve"> агенты проявляются в виде паттернов форм кубических парабол, начинающихся от </w:t>
      </w:r>
      <w:r>
        <w:rPr/>
      </w:r>
      <m:oMath xmlns:m="http://schemas.openxmlformats.org/officeDocument/2006/math">
        <m:r>
          <m:rPr>
            <m:lit/>
            <m:nor/>
          </m:rPr>
          <m:t xml:space="preserve">+</m:t>
        </m:r>
        <m:r>
          <m:rPr>
            <m:lit/>
            <m:nor/>
          </m:rPr>
          <m:t xml:space="preserve">∞</m:t>
        </m:r>
      </m:oMath>
      <w:r>
        <w:rPr/>
        <w:t xml:space="preserve">, пересекающих </w:t>
      </w:r>
      <w:r>
        <w:rPr/>
      </w:r>
      <m:oMath xmlns:m="http://schemas.openxmlformats.org/officeDocument/2006/math">
        <m:r>
          <m:t xml:space="preserve">0</m:t>
        </m:r>
      </m:oMath>
      <w:r>
        <w:rPr/>
        <w:t xml:space="preserve">, а затем стремящихся к </w:t>
      </w:r>
      <w:r>
        <w:rPr/>
      </w:r>
      <m:oMath xmlns:m="http://schemas.openxmlformats.org/officeDocument/2006/math">
        <m:r>
          <m:t xml:space="preserve">−</m:t>
        </m:r>
        <m:r>
          <m:rPr>
            <m:lit/>
            <m:nor/>
          </m:rPr>
          <m:t xml:space="preserve">∞</m:t>
        </m:r>
      </m:oMath>
      <w:r>
        <w:rPr/>
        <w:t>.</w:t>
      </w:r>
    </w:p>
    <w:p>
      <w:pPr>
        <w:pStyle w:val="Normal"/>
        <w:spacing w:before="0" w:after="120"/>
        <w:jc w:val="start"/>
        <w:rPr/>
      </w:pPr>
      <w:r>
        <w:rPr/>
        <w:t>Положительные значение EMAD указывают на предвещающую часть, а отрицательные - на действующую.</w:t>
      </w:r>
    </w:p>
    <w:p>
      <w:pPr>
        <w:pStyle w:val="Normal"/>
        <w:spacing w:before="0" w:after="120"/>
        <w:jc w:val="start"/>
        <w:rPr/>
      </w:pPr>
      <w:r>
        <w:rPr/>
      </w:r>
    </w:p>
    <w:p>
      <w:pPr>
        <w:pStyle w:val="Normal"/>
        <w:spacing w:before="0" w:after="120"/>
        <w:jc w:val="start"/>
        <w:rPr/>
      </w:pPr>
      <w:r>
        <w:rPr>
          <w:b/>
          <w:bCs/>
          <w:i w:val="false"/>
          <w:iCs w:val="false"/>
        </w:rPr>
        <w:t>Разгрузочные</w:t>
      </w:r>
      <w:r>
        <w:rPr>
          <w:b/>
          <w:bCs/>
          <w:i w:val="false"/>
          <w:iCs w:val="false"/>
        </w:rPr>
        <w:t xml:space="preserve"> </w:t>
      </w:r>
      <w:r>
        <w:rPr/>
        <w:t>агенты выглядят как две классические параболы, положительная указывает на разгрузочную часть, а отрицательная на действующую часть.</w:t>
      </w:r>
    </w:p>
    <w:p>
      <w:pPr>
        <w:pStyle w:val="Normal"/>
        <w:spacing w:before="0" w:after="120"/>
        <w:jc w:val="start"/>
        <w:rPr/>
      </w:pPr>
      <w:r>
        <w:rPr/>
        <w:t xml:space="preserve">Любопытно проявление </w:t>
      </w:r>
      <w:r>
        <w:rPr>
          <w:i/>
          <w:iCs/>
        </w:rPr>
        <w:t>отката</w:t>
      </w:r>
      <w:r>
        <w:rPr/>
        <w:t xml:space="preserve"> на графике EMAD. Процесс выглядит как обратная отмотка, значения зеркально повторяются, создавая симметриченые паттерны, а цена начинает двигатся в обратном направлении, пока процесс не дойдет до середины прошлой действующей части, далее EMAD идёт в обычном направлении, а движущая часть оказывает усиленное влияние на цену.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Квази-вероятностная природа агентов</w:t>
      </w:r>
    </w:p>
    <w:p>
      <w:pPr>
        <w:pStyle w:val="Normal"/>
        <w:spacing w:before="0" w:after="120"/>
        <w:jc w:val="start"/>
        <w:rPr/>
      </w:pPr>
      <w:r>
        <w:rPr/>
        <w:t>Изначально, при изучении поведения EMAD были попытки считать его значения как силу тренда, что оказалось грубой аппроксимацией, из-за наличия бесконечных значений, также из-за этого безуспешным оказалось применение классических вероятностей.</w:t>
      </w:r>
    </w:p>
    <w:p>
      <w:pPr>
        <w:pStyle w:val="Normal"/>
        <w:spacing w:before="0" w:after="120"/>
        <w:jc w:val="start"/>
        <w:rPr/>
      </w:pPr>
      <w:r>
        <w:rPr/>
        <w:t>Наиболее успешным способом интерпретации значений EMAD оказалось применение квази-вероятностей.</w:t>
        <w:br/>
        <w:t>Положительные значения EMAD указывают на отрицательную вероятность разворота, а отрицательные значения - на положительную вероятность.</w:t>
      </w:r>
    </w:p>
    <w:p>
      <w:pPr>
        <w:pStyle w:val="Normal"/>
        <w:spacing w:before="0" w:after="120"/>
        <w:jc w:val="start"/>
        <w:rPr/>
      </w:pPr>
      <w:r>
        <w:rPr/>
        <w:t>Пример отрицательных вероятностей в контексте EMAD в игре в кости:</w:t>
        <w:br/>
        <w:t>Представим игру в кости, и скажем, что выпадение числа 5 - отрицательно, а числа 6 - нулевая.</w:t>
        <w:br/>
        <w:t xml:space="preserve">Число 6 в этом контексте никогда не выпадет. Но вероятность выпадения 5 не нулевое, что означает что его выпадение возможно, но в данном случае, кость будет развернута внешним фактором в виде моей руки. </w:t>
      </w:r>
    </w:p>
    <w:p>
      <w:pPr>
        <w:pStyle w:val="Normal"/>
        <w:spacing w:before="0" w:after="120"/>
        <w:jc w:val="start"/>
        <w:rPr/>
      </w:pPr>
      <w:r>
        <w:rPr/>
        <w:t>Именно это часто заметно при работе с EMAD, некоторые скачки могут произойти преждевременно, но если значение EMAD положительное и достаточно высокое (т.е. высокая отрицательная вероятность), эта флуктуация будет нивелирована, также бывает и наоборот, в случае если значение EMAD низкое, но все еще отрицательное, случайная флуктуация может быть не нивелирована, а в некоторых случаях даже усилена появившейся положительной вероятностью (отрицательным значением EMAD), это редкий частный случай, в основном проявляющийся на высоких таймфреймах и глобальных уровнях.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Фрактальная природа агентов</w:t>
      </w:r>
    </w:p>
    <w:p>
      <w:pPr>
        <w:pStyle w:val="Normal"/>
        <w:spacing w:before="0" w:after="120"/>
        <w:jc w:val="start"/>
        <w:rPr/>
      </w:pPr>
      <w:r>
        <w:rPr/>
        <w:t>Агенты существуют на всех масштабах, порождая фракталы, именно фрактальная природа агентов и является причиной существования разгрузочных агентов. По этой причине просчет EMAD требует достаточно высоких периодов, что вероятнее всего указывает на связь с теоремой Котельникова (Найквиста-Шеннона).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Разгрузочные агенты в этом случае работают как механизмы синхронизации, в случае, если разворотный агент низкого порядка уже перешел в действующую часть, а разворотный агент высокого порядка всё еще находится в предвещающей части и оказывает действие в противоположную сторону, вероятно этот эффект и порождает феномен </w:t>
      </w:r>
      <w:r>
        <w:rPr>
          <w:i/>
          <w:iCs/>
        </w:rPr>
        <w:t>отката</w:t>
      </w:r>
      <w:r>
        <w:rPr/>
        <w:t xml:space="preserve">, а переход разворотного агента высшего порядка в действующую и оказывает то самое усиление, которое создают </w:t>
      </w:r>
      <w:r>
        <w:rPr>
          <w:i/>
          <w:iCs/>
        </w:rPr>
        <w:t>разгрузочные цепи</w:t>
      </w:r>
      <w:r>
        <w:rPr/>
        <w:t xml:space="preserve">.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Связь с социономикой</w:t>
      </w:r>
    </w:p>
    <w:p>
      <w:pPr>
        <w:pStyle w:val="Normal"/>
        <w:spacing w:before="0" w:after="120"/>
        <w:jc w:val="start"/>
        <w:rPr/>
      </w:pPr>
      <w:r>
        <w:rPr/>
        <w:t>Спускаясь на уровень ниже технического анализа, можно предположить, что вероятности EMAD не указывают на вероятность разворота как таковую, а скорее на то, насколько отреагирует рынок на новую информацию. В случае если получение информации, к примеру, плохих новостей, совпадет с положительной вероятностью разворота вниз, она окажет гораздо более значительное влияние, но если совпадет с отрицательной вероятностью, то скорее всего, информация не окажет особого влияния. Также работает и с разворотом вверх.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 xml:space="preserve">Также интересна корелляция точек пересечений нуля, асимптот, и экстремумов EMAD с критическими точками волн из Волновой Теории Эллиотта, что любопытно, учитывая фрактальные природы ВТЭ и ТЭА, также эта связь позволяет решить основную проблему субъективности в построении разметок волн. 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Эффективность и уязвимости ТЭА</w:t>
      </w:r>
    </w:p>
    <w:p>
      <w:pPr>
        <w:pStyle w:val="Normal"/>
        <w:spacing w:before="0" w:after="120"/>
        <w:jc w:val="start"/>
        <w:rPr/>
      </w:pPr>
      <w:r>
        <w:rPr/>
        <w:t>Наиболее эффективное применение происходит в связке с Волновой Теорией Эллиотта, из-за причин названных в предыдущей главе. Также ТЭА отлично показывает глобальные тенденции движения на цикличных рынках.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Normal"/>
        <w:spacing w:before="0" w:after="120"/>
        <w:jc w:val="start"/>
        <w:rPr/>
      </w:pPr>
      <w:r>
        <w:rPr/>
        <w:t>Тем не менее, из-за устройства EMAD и самого ТЭА, агенты плохо проявляются на рынках с постоянным трендом, из-за чего приходится использовать логарифмические шкалы и производные от цен инструменты, в пример можно привести котировки S&amp;P 500, на которых сложно увидеть истинное проявление агентов, что исправляется использованием индекса Шиллера.</w:t>
      </w:r>
    </w:p>
    <w:p>
      <w:pPr>
        <w:pStyle w:val="Normal"/>
        <w:spacing w:before="0" w:after="200"/>
        <w:rPr/>
      </w:pPr>
      <w:r>
        <w:rPr/>
        <w:t xml:space="preserve"> </w:t>
      </w:r>
    </w:p>
    <w:p>
      <w:pPr>
        <w:pStyle w:val="Heading2"/>
        <w:spacing w:before="0" w:after="200"/>
        <w:jc w:val="start"/>
        <w:rPr/>
      </w:pPr>
      <w:r>
        <w:rPr/>
        <w:t>Наиболее глобальные проявления</w:t>
      </w:r>
    </w:p>
    <w:p>
      <w:pPr>
        <w:pStyle w:val="ListParagraph"/>
        <w:numPr>
          <w:ilvl w:val="0"/>
          <w:numId w:val="3"/>
        </w:numPr>
        <w:spacing w:before="0" w:after="100"/>
        <w:jc w:val="start"/>
        <w:rPr/>
      </w:pPr>
      <w:r>
        <w:rPr/>
        <w:t>Brent (1999-2022). На 2 недельном таймфрейме можно было заметить неудачное влияние разворотного агента в периоде c 1999 по 2001, что вызвало разгрузочную цепь из 4 разгрузочных агентов, длящуюся с 2001 по май 2012 года, предвещающая часть следующего за цепью разворотного агента вверх продлилась по февраль 2015 года, момента пересечения нуля. Далее, после разворотного агента 2012-2016 года вновь образовалась разгрузочная цепь из 2 агентов, окончившаяся пересечением нуля в середине января 2022 года.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 xml:space="preserve">Brent (2022-2025) Также на 2 недельном таймфрейме, образовался разворотный агент вверх с долгой предвещающей частью, пересечение нуля произошло в сентябре 2025 года, в феврале 2026 года произошло начало операции "Эпическая ярость", приведшая к взлёту цен на нефть. 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Brent (2026-Текущее время) На 2 недельном таймфрейме, в мае произошло пересечение нуля, приведшее к падению цен на нефть, при этом, на 3 недельном таймфрейме, данный агент начал преобразование в разгрузочного агента, что может привести к усиленному импульсу цен вверх на протяжении 2026-2027 года.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CAPE/S&amp;P 500 (1982-2007) На 1 месячном таймфрейме, образовался разворотный агент вниз в 1982 году, пересечение нуля произошло в 1987, а затем, в 1990, начала образовыватся разгрузочная цепь. Окончившаяся в феврале 2004, пересечением нуля разворотным агентом вверх, затем, в 2005 начал образовыватся разворотный агент вниз, пересечение нуля произошло в феврале 2007 года, движущая часть продлилась до февраля 2008 года, передав импульс следующему разворотному агенту вверх.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CAPE/S&amp;P 500 (2010-Наше время) Также на 1 месячном таймфрейме, в 2010 началась предвещающая часть разворотного агента вниз, пересечение нуля произошло в августе 2016, с марта 2020 года началась разгрузочная цепь, на июль 2026, мы находимся на середине действующей части второго разгрузочного агента, апогей действия ожидается на конец 2026-начало 2027, что может привести к крупному кризису. Что любопытно, на 3 месячном таймфрейме мы находимся на действующей части первого разгрузочного агента, начавшегося в марте 2002 года, после разворотного агента вниз начавшегося в 1984 году, и пересекшего ноль в 1991 году.</w:t>
      </w:r>
    </w:p>
    <w:p>
      <w:pPr>
        <w:pStyle w:val="ListParagraph"/>
        <w:numPr>
          <w:ilvl w:val="0"/>
          <w:numId w:val="1"/>
        </w:numPr>
        <w:spacing w:before="0" w:after="100"/>
        <w:jc w:val="start"/>
        <w:rPr/>
      </w:pPr>
      <w:r>
        <w:rPr/>
        <w:t>SI, рублевый фьючерс на доллар. (2025-Наше время). На недельном графике, с февраля 2025 длится разворотный агент вверх, пересечение нуля произошло в феврале 2026 года, на июль 2026 года, мы находимся на пике действия действующей части разворотного агента. На 2 недельном таймфрейме, данный разворотный агент еще не пересек 0, в случае пересечения им 0, рубль может ждать крупная девальвация.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"/>
      <w:lvlJc w:val="start"/>
      <w:pPr>
        <w:tabs>
          <w:tab w:val="num" w:pos="0"/>
        </w:tabs>
        <w:ind w:start="240" w:hanging="180"/>
      </w:pPr>
      <w:rPr>
        <w:rFonts w:ascii="Wingdings" w:hAnsi="Wingdings" w:cs="Wingdings" w:hint="default"/>
      </w:rPr>
    </w:lvl>
    <w:lvl w:ilvl="1">
      <w:start w:val="1"/>
      <w:numFmt w:val="bullet"/>
      <w:suff w:val="space"/>
      <w:lvlText w:val=""/>
      <w:lvlJc w:val="start"/>
      <w:pPr>
        <w:tabs>
          <w:tab w:val="num" w:pos="0"/>
        </w:tabs>
        <w:ind w:start="660" w:hanging="180"/>
      </w:pPr>
      <w:rPr>
        <w:rFonts w:ascii="Wingdings 2" w:hAnsi="Wingdings 2" w:cs="Wingdings 2" w:hint="default"/>
      </w:rPr>
    </w:lvl>
    <w:lvl w:ilvl="2">
      <w:start w:val="1"/>
      <w:numFmt w:val="bullet"/>
      <w:suff w:val="space"/>
      <w:lvlText w:val="■"/>
      <w:lvlJc w:val="start"/>
      <w:pPr>
        <w:tabs>
          <w:tab w:val="num" w:pos="0"/>
        </w:tabs>
        <w:ind w:start="1080" w:hanging="180"/>
      </w:pPr>
      <w:rPr>
        <w:rFonts w:ascii="OpenSymbol" w:hAnsi="OpenSymbol" w:cs="OpenSymbol" w:hint="default"/>
      </w:rPr>
    </w:lvl>
    <w:lvl w:ilvl="3">
      <w:start w:val="1"/>
      <w:numFmt w:val="bullet"/>
      <w:suff w:val="space"/>
      <w:lvlText w:val=""/>
      <w:lvlJc w:val="start"/>
      <w:pPr>
        <w:tabs>
          <w:tab w:val="num" w:pos="0"/>
        </w:tabs>
        <w:ind w:start="1500" w:hanging="180"/>
      </w:pPr>
      <w:rPr>
        <w:rFonts w:ascii="Wingdings" w:hAnsi="Wingdings" w:cs="Wingdings" w:hint="default"/>
      </w:rPr>
    </w:lvl>
    <w:lvl w:ilvl="4">
      <w:start w:val="1"/>
      <w:numFmt w:val="bullet"/>
      <w:suff w:val="space"/>
      <w:lvlText w:val=""/>
      <w:lvlJc w:val="start"/>
      <w:pPr>
        <w:tabs>
          <w:tab w:val="num" w:pos="0"/>
        </w:tabs>
        <w:ind w:start="1920" w:hanging="180"/>
      </w:pPr>
      <w:rPr>
        <w:rFonts w:ascii="Wingdings 2" w:hAnsi="Wingdings 2" w:cs="Wingdings 2" w:hint="default"/>
      </w:rPr>
    </w:lvl>
    <w:lvl w:ilvl="5">
      <w:start w:val="1"/>
      <w:numFmt w:val="bullet"/>
      <w:suff w:val="space"/>
      <w:lvlText w:val="■"/>
      <w:lvlJc w:val="start"/>
      <w:pPr>
        <w:tabs>
          <w:tab w:val="num" w:pos="0"/>
        </w:tabs>
        <w:ind w:start="2340" w:hanging="180"/>
      </w:pPr>
      <w:rPr>
        <w:rFonts w:ascii="OpenSymbol" w:hAnsi="OpenSymbol" w:cs="OpenSymbol" w:hint="default"/>
      </w:rPr>
    </w:lvl>
    <w:lvl w:ilvl="6">
      <w:start w:val="1"/>
      <w:numFmt w:val="bullet"/>
      <w:suff w:val="space"/>
      <w:lvlText w:val=""/>
      <w:lvlJc w:val="start"/>
      <w:pPr>
        <w:tabs>
          <w:tab w:val="num" w:pos="0"/>
        </w:tabs>
        <w:ind w:start="2760" w:hanging="180"/>
      </w:pPr>
      <w:rPr>
        <w:rFonts w:ascii="Wingdings" w:hAnsi="Wingdings" w:cs="Wingdings" w:hint="default"/>
      </w:rPr>
    </w:lvl>
    <w:lvl w:ilvl="7">
      <w:start w:val="1"/>
      <w:numFmt w:val="bullet"/>
      <w:suff w:val="space"/>
      <w:lvlText w:val=""/>
      <w:lvlJc w:val="start"/>
      <w:pPr>
        <w:tabs>
          <w:tab w:val="num" w:pos="0"/>
        </w:tabs>
        <w:ind w:start="3180" w:hanging="180"/>
      </w:pPr>
      <w:rPr>
        <w:rFonts w:ascii="Wingdings 2" w:hAnsi="Wingdings 2" w:cs="Wingdings 2" w:hint="default"/>
      </w:rPr>
    </w:lvl>
    <w:lvl w:ilvl="8">
      <w:start w:val="1"/>
      <w:numFmt w:val="bullet"/>
      <w:suff w:val="space"/>
      <w:lvlText w:val="■"/>
      <w:lvlJc w:val="start"/>
      <w:pPr>
        <w:tabs>
          <w:tab w:val="num" w:pos="0"/>
        </w:tabs>
        <w:ind w:start="3600" w:hanging="18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Heading"/>
    <w:qFormat/>
    <w:pPr/>
    <w:rPr>
      <w:b/>
      <w:bCs/>
      <w:color w:val="000000"/>
      <w:sz w:val="40"/>
      <w:szCs w:val="40"/>
    </w:rPr>
  </w:style>
  <w:style w:type="paragraph" w:styleId="Heading2">
    <w:name w:val="heading 2"/>
    <w:basedOn w:val="Heading"/>
    <w:qFormat/>
    <w:pPr/>
    <w:rPr>
      <w:b/>
      <w:bCs/>
      <w:color w:val="000000"/>
      <w:sz w:val="36"/>
      <w:szCs w:val="36"/>
    </w:rPr>
  </w:style>
  <w:style w:type="paragraph" w:styleId="Heading3">
    <w:name w:val="heading 3"/>
    <w:basedOn w:val="Heading"/>
    <w:qFormat/>
    <w:pPr/>
    <w:rPr>
      <w:b/>
      <w:bCs/>
      <w:color w:val="000000"/>
      <w:sz w:val="32"/>
      <w:szCs w:val="32"/>
    </w:rPr>
  </w:style>
  <w:style w:type="paragraph" w:styleId="Heading4">
    <w:name w:val="heading 4"/>
    <w:basedOn w:val="Heading"/>
    <w:qFormat/>
    <w:pPr/>
    <w:rPr>
      <w:b/>
      <w:bCs/>
      <w:color w:val="000000"/>
      <w:sz w:val="28"/>
      <w:szCs w:val="28"/>
    </w:rPr>
  </w:style>
  <w:style w:type="paragraph" w:styleId="Heading5">
    <w:name w:val="heading 5"/>
    <w:basedOn w:val="Heading"/>
    <w:qFormat/>
    <w:pPr/>
    <w:rPr>
      <w:b/>
      <w:bCs/>
      <w:color w:val="000000"/>
      <w:sz w:val="24"/>
      <w:szCs w:val="24"/>
    </w:rPr>
  </w:style>
  <w:style w:type="paragraph" w:styleId="Heading6">
    <w:name w:val="heading 6"/>
    <w:basedOn w:val="Heading"/>
    <w:qFormat/>
    <w:pPr/>
    <w:rPr>
      <w:b/>
      <w:bCs/>
      <w:color w:val="000000"/>
      <w:sz w:val="20"/>
      <w:szCs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4"/>
      <w:szCs w:val="24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LibreOffice/26.2.4.2$Linux_X86_64 LibreOffice_project/620$Build-2</Application>
  <AppVersion>15.0000</AppVersion>
  <Pages>4</Pages>
  <Words>1237</Words>
  <Characters>8025</Characters>
  <CharactersWithSpaces>9231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2026-07-19T13:33:09Z</dcterms:created>
  <dc:creator>Un-named</dc:creator>
  <dc:description/>
  <dc:language>ru-RU</dc:language>
  <cp:lastModifiedBy/>
  <dcterms:modified xsi:type="dcterms:W3CDTF">2026-07-19T16:35:08Z</dcterms:modified>
  <cp:revision>2</cp:revision>
  <dc:subject/>
  <dc:title/>
</cp:coreProperties>
</file>