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Folio Demo Document</w:t>
      </w:r>
    </w:p>
    <w:p w14:paraId="00000002">
      <w:pPr>
        <w:rPr/>
        <w:pStyle w:val="Quote"/>
      </w:pPr>
      <w:r>
        <w:rPr/>
        <w:t xml:space="preserve">Folio compiles Markdown directly into </w:t>
      </w:r>
      <w:r>
        <w:rPr>
          <w:b/>
          <w:bCs/>
        </w:rPr>
        <w:t xml:space="preserve">native Word structures</w:t>
      </w:r>
      <w:r>
        <w:rPr/>
        <w:t xml:space="preserve"> — editable equations, well-formed tables, aligned fonts, with no manual cleanup pass.</w:t>
      </w:r>
    </w:p>
    <w:p w14:paraId="00000003">
      <w:pPr>
        <w:rPr/>
        <w:pStyle w:val="Heading2"/>
      </w:pPr>
      <w:r>
        <w:rPr/>
        <w:t xml:space="preserve">Heading hierarchy</w:t>
      </w:r>
    </w:p>
    <w:p w14:paraId="00000004">
      <w:pPr>
        <w:rPr/>
      </w:pPr>
      <w:r>
        <w:rPr/>
        <w:t xml:space="preserve">The next two paragraphs show the visual difference between H2 and H3.</w:t>
      </w:r>
    </w:p>
    <w:p w14:paraId="00000005">
      <w:pPr>
        <w:rPr/>
        <w:pStyle w:val="Heading3"/>
      </w:pPr>
      <w:r>
        <w:rPr/>
        <w:t xml:space="preserve">Heading 3: research context</w:t>
      </w:r>
    </w:p>
    <w:p w14:paraId="00000006">
      <w:pPr>
        <w:rPr/>
      </w:pPr>
      <w:r>
        <w:rPr/>
        <w:t xml:space="preserve">Academic writers and technical authors share one pain point — </w:t>
      </w:r>
      <w:r>
        <w:rPr>
          <w:b/>
          <w:bCs/>
        </w:rPr>
        <w:t xml:space="preserve">formatting cleanup</w:t>
      </w:r>
      <w:r>
        <w:rPr/>
        <w:t xml:space="preserve">. After the content is done, half the day is spent dragging styles from Markdown into Word. Folio is designed to eliminate that step.</w:t>
      </w:r>
    </w:p>
    <w:p w14:paraId="00000007">
      <w:pPr>
        <w:rPr/>
        <w:pStyle w:val="Heading2"/>
      </w:pPr>
      <w:r>
        <w:rPr/>
        <w:t xml:space="preserve">Equations</w:t>
      </w:r>
    </w:p>
    <w:p w14:paraId="00000008">
      <w:pPr>
        <w:rPr/>
      </w:pPr>
      <w:r>
        <w:rPr/>
        <w:t xml:space="preserve">Inline math: when </w:t>
      </w:r>
      <m:oMath xmlns:m="http://schemas.openxmlformats.org/officeDocument/2006/math">
        <m:r>
          <m:rPr>
            <m:sty m:val="i"/>
          </m:rPr>
          <m:t>a</m:t>
        </m:r>
        <m:r>
          <m:rPr>
            <m:sty m:val="p"/>
          </m:rPr>
          <m:t>≠</m:t>
        </m:r>
        <m:r>
          <m:rPr>
            <m:sty m:val="p"/>
          </m:rPr>
          <m:t>0</m:t>
        </m:r>
      </m:oMath>
      <w:r>
        <w:rPr/>
        <w:t xml:space="preserve">, the quadratic </w:t>
      </w:r>
      <m:oMath xmlns:m="http://schemas.openxmlformats.org/officeDocument/2006/math"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c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has the solutions below.</w:t>
      </w:r>
    </w:p>
    <w:p w14:paraId="00000009">
      <w:pPr>
        <w:rPr/>
      </w:pPr>
      <w:r>
        <w:rPr/>
        <w:t xml:space="preserve">Display math:</w:t>
      </w:r>
    </w:p>
    <m:oMathPara xmlns:m="http://schemas.openxmlformats.org/officeDocument/2006/math">
      <m:oMath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-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±</m:t>
            </m:r>
            <m:rad>
              <m:radPr>
                <m:degHide m:val="1"/>
              </m:radPr>
              <m:deg/>
              <m:e>
                <m:sSup>
                  <m:e>
                    <m:r>
                      <m:rPr>
                        <m:sty m:val="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2</m:t>
                    </m:r>
                  </m:sup>
                </m:sSup>
                <m:r>
                  <m:rPr>
                    <m:sty m:val="p"/>
                  </m:rPr>
                  <m:t>-</m:t>
                </m:r>
                <m:r>
                  <m:rPr>
                    <m:sty m:val="p"/>
                  </m:rPr>
                  <m:t>4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</m:e>
            </m:rad>
          </m:num>
          <m:den>
            <m:r>
              <m:rPr>
                <m:sty m:val="p"/>
              </m:rPr>
              <m:t>2</m:t>
            </m:r>
            <m:r>
              <m:rPr>
                <m:sty m:val="i"/>
              </m:rPr>
              <m:t>a</m:t>
            </m:r>
          </m:den>
        </m:f>
      </m:oMath>
    </m:oMathPara>
    <w:p w14:paraId="0000000b">
      <w:pPr>
        <w:rPr/>
      </w:pPr>
      <w:r>
        <w:rPr/>
        <w:t xml:space="preserve">Einstein</w:t>
      </w:r>
      <w:r>
        <w:rPr/>
        <w:t xml:space="preserve">’</w:t>
      </w:r>
      <w:r>
        <w:rPr/>
        <w:t xml:space="preserve">s mass–energy equivalence:</w:t>
      </w:r>
    </w:p>
    <m:oMathPara xmlns:m="http://schemas.openxmlformats.org/officeDocument/2006/math">
      <m:oMath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m:oMathPara>
    <w:p w14:paraId="0000000d">
      <w:pPr>
        <w:rPr/>
      </w:pPr>
      <w:r>
        <w:rPr/>
        <w:t xml:space="preserve">Sums and integrals:</w:t>
      </w:r>
    </w:p>
    <m:oMathPara xmlns:m="http://schemas.openxmlformats.org/officeDocument/2006/math">
      <m:oMath>
        <m:nary>
          <m:naryPr>
            <m:chr m:val="∑"/>
            <m:limLoc m:val="undOvr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/>
        </m:nary>
        <m:r>
          <m:rPr>
            <m:sty m:val="i"/>
          </m:rPr>
          <m:t>i</m:t>
        </m:r>
        <m:r>
          <m:rPr>
            <m:sty m:val="p"/>
          </m:rPr>
          <m:t>=</m:t>
        </m:r>
        <m:f>
          <m:num>
            <m:r>
              <m:rPr>
                <m:sty m:val="i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2</m:t>
            </m:r>
          </m:den>
        </m:f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p w14:paraId="0000000f">
      <w:pPr>
        <w:rPr/>
      </w:pPr>
      <w:r>
        <w:rPr/>
        <w:t xml:space="preserve">A matrix:</w:t>
      </w:r>
    </w:p>
    <m:oMathPara xmlns:m="http://schemas.openxmlformats.org/officeDocument/2006/math">
      <m:oMath>
        <m:r>
          <m:rPr>
            <m:sty m:val="p"/>
          </m:rPr>
          <m:t>(</m:t>
        </m:r>
        <m:m>
          <m:mr>
            <m:e>
              <m:r>
                <m:rPr>
                  <m:sty m:val="i"/>
                </m:rPr>
                <m:t>a</m:t>
              </m:r>
            </m:e>
            <m:e>
              <m:r>
                <m:rPr>
                  <m:sty m:val="i"/>
                </m:rPr>
                <m:t>b</m:t>
              </m:r>
            </m:e>
          </m:mr>
          <m:mr>
            <m:e>
              <m:r>
                <m:rPr>
                  <m:sty m:val="i"/>
                </m:rPr>
                <m:t>c</m:t>
              </m:r>
            </m:e>
            <m:e>
              <m:r>
                <m:rPr>
                  <m:sty m:val="i"/>
                </m:rPr>
                <m:t>d</m:t>
              </m:r>
            </m:e>
          </m:mr>
        </m:m>
        <m:r>
          <m:rPr>
            <m:sty m:val="p"/>
          </m:rPr>
          <m:t>)</m:t>
        </m:r>
      </m:oMath>
    </m:oMathPara>
    <w:p w14:paraId="00000011">
      <w:pPr>
        <w:rPr/>
        <w:pStyle w:val="Heading2"/>
      </w:pPr>
      <w:r>
        <w:rPr/>
        <w:t xml:space="preserve">Code blocks</w:t>
      </w:r>
    </w:p>
    <w:p w14:paraId="00000012">
      <w:pPr>
        <w:rPr/>
      </w:pPr>
      <w:r>
        <w:rPr/>
        <w:t xml:space="preserve">Rust with syntax highlighting:</w:t>
      </w:r>
    </w:p>
    <w:p w14:paraId="00000013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fn</w:t>
      </w:r>
      <w:r>
        <w:rPr>
          <w:rFonts w:ascii="Menlo" w:hAnsi="Consolas" w:eastAsia="PingFang SC"/>
        </w:rPr>
        <w:t xml:space="preserve"> </w:t>
      </w:r>
      <w:r>
        <w:rPr>
          <w:color w:val="795DA3"/>
          <w:b/>
          <w:bCs/>
          <w:rFonts w:ascii="Menlo" w:hAnsi="Consolas" w:eastAsia="PingFang SC"/>
        </w:rPr>
        <w:t xml:space="preserve">main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{</w:t>
      </w:r>
    </w:p>
    <w:p w14:paraId="00000014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color w:val="A71D5D"/>
          <w:b/>
          <w:bCs/>
          <w:rFonts w:ascii="Menlo" w:hAnsi="Consolas" w:eastAsia="PingFang SC"/>
        </w:rPr>
        <w:t xml:space="preserve">let</w:t>
      </w:r>
      <w:r>
        <w:rPr>
          <w:rFonts w:ascii="Menlo" w:hAnsi="Consolas" w:eastAsia="PingFang SC"/>
        </w:rPr>
        <w:t xml:space="preserve"> greeting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Hello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;</w:t>
      </w:r>
    </w:p>
    <w:p w14:paraId="00000015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println!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0086B3"/>
          <w:rFonts w:ascii="Menlo" w:hAnsi="Consolas" w:eastAsia="PingFang SC"/>
        </w:rPr>
        <w:t xml:space="preserve">{}</w:t>
      </w:r>
      <w:r>
        <w:rPr>
          <w:color w:val="183691"/>
          <w:rFonts w:ascii="Menlo" w:hAnsi="Consolas" w:eastAsia="PingFang SC"/>
        </w:rPr>
        <w:t xml:space="preserve">, Folio!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greeting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;</w:t>
      </w:r>
    </w:p>
    <w:p w14:paraId="00000016">
      <w:pPr>
        <w:rPr/>
        <w:pStyle w:val="SourceCode"/>
      </w:pPr>
      <w:r>
        <w:rPr>
          <w:rFonts w:ascii="Menlo" w:hAnsi="Consolas" w:eastAsia="PingFang SC"/>
        </w:rPr>
        <w:t xml:space="preserve">}</w:t>
      </w:r>
    </w:p>
    <w:p w14:paraId="00000017">
      <w:pPr>
        <w:rPr/>
      </w:pPr>
      <w:r>
        <w:rPr/>
        <w:t xml:space="preserve">Python example:</w:t>
      </w:r>
    </w:p>
    <w:p w14:paraId="00000018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import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</w:p>
    <w:p w14:paraId="00000019">
      <w:pPr>
        <w:rPr/>
        <w:pStyle w:val="SourceCode"/>
      </w:pPr>
      <w:r>
        <w:rPr>
          <w:rFonts w:ascii="Menlo" w:hAnsi="Consolas" w:eastAsia="PingFang SC"/>
        </w:rPr>
        <w:t xml:space="preserve"/>
      </w:r>
    </w:p>
    <w:p w14:paraId="0000001a">
      <w:pPr>
        <w:rPr/>
        <w:pStyle w:val="SourceCode"/>
      </w:pP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folio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convert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# Hello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0086B3"/>
          <w:rFonts w:ascii="Menlo" w:hAnsi="Consolas" w:eastAsia="PingFang SC"/>
        </w:rPr>
        <w:t xml:space="preserve">\n</w:t>
      </w:r>
      <w:r>
        <w:rPr>
          <w:color w:val="183691"/>
          <w:rFonts w:ascii="Menlo" w:hAnsi="Consolas" w:eastAsia="PingFang SC"/>
        </w:rPr>
        <w:t xml:space="preserve">$E = mc^2$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theme</w:t>
      </w:r>
      <w:r>
        <w:rPr>
          <w:color w:val="A71D5D"/>
          <w:b/>
          <w:bCs/>
          <w:rFonts w:ascii="Menlo" w:hAnsi="Consolas" w:eastAsia="PingFang SC"/>
        </w:rPr>
        <w:t xml:space="preserve">=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academic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</w:p>
    <w:p w14:paraId="0000001b">
      <w:pPr>
        <w:rPr/>
        <w:pStyle w:val="SourceCode"/>
      </w:pPr>
      <w:r>
        <w:rPr>
          <w:color w:val="A71D5D"/>
          <w:b/>
          <w:bCs/>
          <w:rFonts w:ascii="Menlo" w:hAnsi="Consolas" w:eastAsia="PingFang SC"/>
        </w:rPr>
        <w:t xml:space="preserve">with</w:t>
      </w:r>
      <w:r>
        <w:rPr>
          <w:rFonts w:ascii="Menlo" w:hAnsi="Consolas" w:eastAsia="PingFang SC"/>
        </w:rPr>
        <w:t xml:space="preserve"> </w:t>
      </w:r>
      <w:r>
        <w:rPr>
          <w:color w:val="62A35C"/>
          <w:rFonts w:ascii="Menlo" w:hAnsi="Consolas" w:eastAsia="PingFang SC"/>
        </w:rPr>
        <w:t xml:space="preserve">open</w:t>
      </w:r>
      <w:r>
        <w:rPr>
          <w:rFonts w:ascii="Menlo" w:hAnsi="Consolas" w:eastAsia="PingFang SC"/>
        </w:rPr>
        <w:t xml:space="preserve">(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paper.docx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,</w:t>
      </w:r>
      <w:r>
        <w:rPr>
          <w:rFonts w:ascii="Menlo" w:hAnsi="Consolas" w:eastAsia="PingFang SC"/>
        </w:rPr>
        <w:t xml:space="preserve"> </w:t>
      </w:r>
      <w:r>
        <w:rPr>
          <w:color w:val="183691"/>
          <w:rFonts w:ascii="Menlo" w:hAnsi="Consolas" w:eastAsia="PingFang SC"/>
        </w:rPr>
        <w:t xml:space="preserve">"</w:t>
      </w:r>
      <w:r>
        <w:rPr>
          <w:color w:val="183691"/>
          <w:rFonts w:ascii="Menlo" w:hAnsi="Consolas" w:eastAsia="PingFang SC"/>
        </w:rPr>
        <w:t xml:space="preserve">wb</w:t>
      </w:r>
      <w:r>
        <w:rPr>
          <w:color w:val="183691"/>
          <w:rFonts w:ascii="Menlo" w:hAnsi="Consolas" w:eastAsia="PingFang SC"/>
        </w:rPr>
        <w:t xml:space="preserve">"</w:t>
      </w:r>
      <w:r>
        <w:rPr>
          <w:rFonts w:ascii="Menlo" w:hAnsi="Consolas" w:eastAsia="PingFang SC"/>
        </w:rPr>
        <w:t xml:space="preserve">)</w:t>
      </w:r>
      <w:r>
        <w:rPr>
          <w:rFonts w:ascii="Menlo" w:hAnsi="Consolas" w:eastAsia="PingFang SC"/>
        </w:rPr>
        <w:t xml:space="preserve"> </w:t>
      </w:r>
      <w:r>
        <w:rPr>
          <w:color w:val="A71D5D"/>
          <w:b/>
          <w:bCs/>
          <w:rFonts w:ascii="Menlo" w:hAnsi="Consolas" w:eastAsia="PingFang SC"/>
        </w:rPr>
        <w:t xml:space="preserve">as</w:t>
      </w:r>
      <w:r>
        <w:rPr>
          <w:rFonts w:ascii="Menlo" w:hAnsi="Consolas" w:eastAsia="PingFang SC"/>
        </w:rPr>
        <w:t xml:space="preserve">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:</w:t>
      </w:r>
    </w:p>
    <w:p w14:paraId="0000001c">
      <w:pPr>
        <w:rPr/>
        <w:pStyle w:val="SourceCode"/>
      </w:pPr>
      <w:r>
        <w:rPr>
          <w:rFonts w:ascii="Menlo" w:hAnsi="Consolas" w:eastAsia="PingFang SC"/>
        </w:rPr>
        <w:t xml:space="preserve">    </w:t>
      </w:r>
      <w:r>
        <w:rPr>
          <w:rFonts w:ascii="Menlo" w:hAnsi="Consolas" w:eastAsia="PingFang SC"/>
        </w:rPr>
        <w:t xml:space="preserve">f</w:t>
      </w:r>
      <w:r>
        <w:rPr>
          <w:rFonts w:ascii="Menlo" w:hAnsi="Consolas" w:eastAsia="PingFang SC"/>
        </w:rPr>
        <w:t xml:space="preserve">.</w:t>
      </w:r>
      <w:r>
        <w:rPr>
          <w:rFonts w:ascii="Menlo" w:hAnsi="Consolas" w:eastAsia="PingFang SC"/>
        </w:rPr>
        <w:t xml:space="preserve">write</w:t>
      </w:r>
      <w:r>
        <w:rPr>
          <w:rFonts w:ascii="Menlo" w:hAnsi="Consolas" w:eastAsia="PingFang SC"/>
        </w:rPr>
        <w:t xml:space="preserve">(</w:t>
      </w:r>
      <w:r>
        <w:rPr>
          <w:rFonts w:ascii="Menlo" w:hAnsi="Consolas" w:eastAsia="PingFang SC"/>
        </w:rPr>
        <w:t xml:space="preserve">data</w:t>
      </w:r>
      <w:r>
        <w:rPr>
          <w:rFonts w:ascii="Menlo" w:hAnsi="Consolas" w:eastAsia="PingFang SC"/>
        </w:rPr>
        <w:t xml:space="preserve">)</w:t>
      </w:r>
    </w:p>
    <w:p w14:paraId="0000001d">
      <w:pPr>
        <w:rPr/>
        <w:pStyle w:val="Heading2"/>
      </w:pPr>
      <w:r>
        <w:rPr/>
        <w:t xml:space="preserve">Tables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1e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1f">
            <w:pPr>
              <w:rPr/>
              <w:pStyle w:val="TableHeader"/>
              <w:jc w:val="left"/>
            </w:pPr>
            <w:r>
              <w:rPr/>
              <w:t xml:space="preserve">Font</w:t>
            </w:r>
          </w:p>
        </w:tc>
        <w:tc>
          <w:tcPr/>
          <w:p w14:paraId="00000020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21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academic</w:t>
            </w:r>
          </w:p>
        </w:tc>
        <w:tc>
          <w:tcPr/>
          <w:p w14:paraId="00000022">
            <w:pPr>
              <w:rPr/>
              <w:jc w:val="left"/>
            </w:pPr>
            <w:r>
              <w:rPr/>
              <w:t xml:space="preserve">Times New Roman 12pt</w:t>
            </w:r>
          </w:p>
        </w:tc>
        <w:tc>
          <w:tcPr/>
          <w:p w14:paraId="00000023">
            <w:pPr>
              <w:rPr/>
              <w:jc w:val="left"/>
            </w:pPr>
            <w:r>
              <w:rPr/>
              <w:t xml:space="preserve">English academic papers</w:t>
            </w:r>
          </w:p>
        </w:tc>
      </w:tr>
      <w:tr>
        <w:trPr/>
        <w:tc>
          <w:tcPr/>
          <w:p w14:paraId="00000024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thesis-cn</w:t>
            </w:r>
          </w:p>
        </w:tc>
        <w:tc>
          <w:tcPr/>
          <w:p w14:paraId="00000025">
            <w:pPr>
              <w:rPr/>
              <w:jc w:val="left"/>
            </w:pPr>
            <w:r>
              <w:rPr/>
              <w:t xml:space="preserve">SimSun + SimHei headings</w:t>
            </w:r>
          </w:p>
        </w:tc>
        <w:tc>
          <w:tcPr/>
          <w:p w14:paraId="00000026">
            <w:pPr>
              <w:rPr/>
              <w:jc w:val="left"/>
            </w:pPr>
            <w:r>
              <w:rPr/>
              <w:t xml:space="preserve">Chinese theses</w:t>
            </w:r>
          </w:p>
        </w:tc>
      </w:tr>
      <w:tr>
        <w:trPr/>
        <w:tc>
          <w:tcPr/>
          <w:p w14:paraId="00000027">
            <w:pPr>
              <w:rPr/>
              <w:jc w:val="left"/>
            </w:pPr>
            <w:r>
              <w:rPr>
                <w:rFonts w:ascii="Menlo" w:hAnsi="Consolas" w:eastAsia="PingFang SC"/>
                <w:rStyle w:val="InlineCode"/>
              </w:rPr>
              <w:t xml:space="preserve">report</w:t>
            </w:r>
          </w:p>
        </w:tc>
        <w:tc>
          <w:tcPr/>
          <w:p w14:paraId="00000028">
            <w:pPr>
              <w:rPr/>
              <w:jc w:val="left"/>
            </w:pPr>
            <w:r>
              <w:rPr/>
              <w:t xml:space="preserve">Calibri with blue accents</w:t>
            </w:r>
          </w:p>
        </w:tc>
        <w:tc>
          <w:tcPr/>
          <w:p w14:paraId="00000029">
            <w:pPr>
              <w:rPr/>
              <w:jc w:val="left"/>
            </w:pPr>
            <w:r>
              <w:rPr/>
              <w:t xml:space="preserve">Business memos, status updates</w:t>
            </w:r>
          </w:p>
        </w:tc>
      </w:tr>
    </w:tbl>
    <w:p w14:paraId="0000002a">
      <w:pPr>
        <w:rPr/>
        <w:pStyle w:val="Heading2"/>
      </w:pPr>
      <w:r>
        <w:rPr/>
        <w:t xml:space="preserve">Lists and tasks</w:t>
      </w:r>
    </w:p>
    <w:p w14:paraId="0000002b">
      <w:pPr>
        <w:rPr/>
      </w:pPr>
      <w:r>
        <w:rPr/>
        <w:t xml:space="preserve">Unordered list:</w:t>
      </w:r>
    </w:p>
    <w:p w14:paraId="0000002c">
      <w:pPr>
        <w:rPr/>
        <w:numPr>
          <w:numId w:val="1001"/>
          <w:ilvl w:val="0"/>
        </w:numPr>
      </w:pPr>
      <w:r>
        <w:rPr/>
        <w:t xml:space="preserve">Command-line (</w:t>
      </w:r>
      <w:r>
        <w:rPr>
          <w:rFonts w:ascii="Menlo" w:hAnsi="Consolas" w:eastAsia="PingFang SC"/>
          <w:rStyle w:val="InlineCode"/>
        </w:rPr>
        <w:t xml:space="preserve">scribe-cli</w:t>
      </w:r>
      <w:r>
        <w:rPr/>
        <w:t xml:space="preserve">)</w:t>
      </w:r>
    </w:p>
    <w:p w14:paraId="0000002d">
      <w:pPr>
        <w:rPr/>
        <w:numPr>
          <w:numId w:val="1001"/>
          <w:ilvl w:val="0"/>
        </w:numPr>
      </w:pPr>
      <w:r>
        <w:rPr/>
        <w:t xml:space="preserve">Python package (</w:t>
      </w:r>
      <w:r>
        <w:rPr>
          <w:rFonts w:ascii="Menlo" w:hAnsi="Consolas" w:eastAsia="PingFang SC"/>
          <w:rStyle w:val="InlineCode"/>
        </w:rPr>
        <w:t xml:space="preserve">folio-docx</w:t>
      </w:r>
      <w:r>
        <w:rPr/>
        <w:t xml:space="preserve">)</w:t>
      </w:r>
    </w:p>
    <w:p w14:paraId="0000002e">
      <w:pPr>
        <w:rPr/>
        <w:numPr>
          <w:numId w:val="1001"/>
          <w:ilvl w:val="0"/>
        </w:numPr>
      </w:pPr>
      <w:r>
        <w:rPr/>
        <w:t xml:space="preserve">Desktop application (Tauri)</w:t>
      </w:r>
    </w:p>
    <w:p w14:paraId="0000002f">
      <w:pPr>
        <w:rPr/>
      </w:pPr>
      <w:r>
        <w:rPr/>
        <w:t xml:space="preserve">Ordered list:</w:t>
      </w:r>
    </w:p>
    <w:p w14:paraId="00000030">
      <w:pPr>
        <w:rPr/>
        <w:numPr>
          <w:numId w:val="1002"/>
          <w:ilvl w:val="0"/>
        </w:numPr>
      </w:pPr>
      <w:r>
        <w:rPr/>
        <w:t xml:space="preserve">Write Markdown</w:t>
      </w:r>
    </w:p>
    <w:p w14:paraId="00000031">
      <w:pPr>
        <w:rPr/>
        <w:numPr>
          <w:numId w:val="1002"/>
          <w:ilvl w:val="0"/>
        </w:numPr>
      </w:pPr>
      <w:r>
        <w:rPr/>
        <w:t xml:space="preserve">Pick a theme or supply a reference doc</w:t>
      </w:r>
    </w:p>
    <w:p w14:paraId="00000032">
      <w:pPr>
        <w:rPr/>
        <w:numPr>
          <w:numId w:val="1002"/>
          <w:ilvl w:val="0"/>
        </w:numPr>
      </w:pPr>
      <w:r>
        <w:rPr/>
        <w:t xml:space="preserve">Export to Word — </w:t>
      </w:r>
      <w:r>
        <w:rPr>
          <w:b/>
          <w:bCs/>
        </w:rPr>
        <w:t xml:space="preserve">no manual cleanup</w:t>
      </w:r>
    </w:p>
    <w:p w14:paraId="00000033">
      <w:pPr>
        <w:rPr/>
      </w:pPr>
      <w:r>
        <w:rPr/>
        <w:t xml:space="preserve">Task list:</w:t>
      </w:r>
    </w:p>
    <w:p w14:paraId="00000034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Markdown → native Word structures</w:t>
      </w:r>
    </w:p>
    <w:p w14:paraId="00000035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Built-in themes</w:t>
      </w:r>
    </w:p>
    <w:p w14:paraId="00000036">
      <w:pPr>
        <w:rPr/>
        <w:numPr>
          <w:numId w:val="1003"/>
          <w:ilvl w:val="0"/>
        </w:numPr>
      </w:pPr>
      <w:r>
        <w:rPr/>
        <w:t xml:space="preserve">☑ </w:t>
      </w:r>
      <w:r>
        <w:rPr/>
        <w:t xml:space="preserve">Reference-doc inherits styles + page setup</w:t>
      </w:r>
    </w:p>
    <w:p w14:paraId="00000037">
      <w:pPr>
        <w:rPr/>
        <w:numPr>
          <w:numId w:val="1003"/>
          <w:ilvl w:val="0"/>
        </w:numPr>
      </w:pPr>
      <w:r>
        <w:rPr/>
        <w:t xml:space="preserve">☐ </w:t>
      </w:r>
      <w:r>
        <w:rPr/>
        <w:t xml:space="preserve">Custom theme scaffolder (planned)</w:t>
      </w:r>
    </w:p>
    <w:p w14:paraId="00000038">
      <w:pPr>
        <w:rPr/>
        <w:pStyle w:val="Heading2"/>
      </w:pPr>
      <w:r>
        <w:rPr/>
        <w:t xml:space="preserve">Quotes and footnotes</w:t>
      </w:r>
    </w:p>
    <w:p w14:paraId="00000039">
      <w:pPr>
        <w:rPr/>
        <w:pStyle w:val="Quote"/>
      </w:pPr>
      <w:r>
        <w:rPr/>
        <w:t xml:space="preserve">“</w:t>
      </w:r>
      <w:r>
        <w:rPr/>
        <w:t xml:space="preserve">Markdown to polished </w:t>
      </w:r>
      <w:r>
        <w:rPr>
          <w:rFonts w:ascii="Menlo" w:hAnsi="Consolas" w:eastAsia="PingFang SC"/>
          <w:rStyle w:val="InlineCode"/>
        </w:rPr>
        <w:t xml:space="preserve">.docx</w:t>
      </w:r>
      <w:r>
        <w:rPr/>
        <w:t xml:space="preserve"> output, without the cleanup pass.</w:t>
      </w:r>
      <w:r>
        <w:rPr/>
        <w:t xml:space="preserve">”</w:t>
      </w:r>
    </w:p>
    <w:p w14:paraId="0000003a">
      <w:pPr>
        <w:rPr/>
        <w:pStyle w:val="Quote"/>
      </w:pPr>
      <w:r>
        <w:rPr/>
        <w:t xml:space="preserve">— Folio project page</w:t>
      </w:r>
    </w:p>
    <w:p w14:paraId="0000003b">
      <w:pPr>
        <w:rPr/>
      </w:pPr>
      <w:r>
        <w:rPr/>
        <w:t xml:space="preserve">Body text with a footnote</w:t>
      </w:r>
      <w:r>
        <w:rPr>
          <w:rStyle w:val="FootnoteReference"/>
        </w:rPr>
        <w:footnoteReference w:id="1"/>
      </w:r>
      <w:r>
        <w:rPr/>
        <w:t xml:space="preserve">, expanded at the document end.</w:t>
      </w:r>
    </w:p>
    <w:p w14:paraId="0000003d">
      <w:pPr>
        <w:rPr/>
        <w:pStyle w:val="Heading2"/>
      </w:pPr>
      <w:r>
        <w:rPr/>
        <w:t xml:space="preserve">Inline formatting</w:t>
      </w:r>
    </w:p>
    <w:p w14:paraId="0000003e">
      <w:pPr>
        <w:rPr/>
      </w:pPr>
      <w:r>
        <w:rPr/>
        <w:t xml:space="preserve">We support </w:t>
      </w:r>
      <w:r>
        <w:rPr>
          <w:b/>
          <w:bCs/>
        </w:rPr>
        <w:t xml:space="preserve">bold</w:t>
      </w:r>
      <w:r>
        <w:rPr/>
        <w:t xml:space="preserve">, </w:t>
      </w:r>
      <w:r>
        <w:rPr>
          <w:i/>
          <w:iCs/>
        </w:rPr>
        <w:t xml:space="preserve">italic</w:t>
      </w:r>
      <w:r>
        <w:rPr/>
        <w:t xml:space="preserve">, </w:t>
      </w:r>
      <w:r>
        <w:rPr>
          <w:strike/>
        </w:rPr>
        <w:t xml:space="preserve">strikethrough</w:t>
      </w:r>
      <w:r>
        <w:rPr/>
        <w:t xml:space="preserve">, </w:t>
      </w:r>
      <w:r>
        <w:rPr>
          <w:rFonts w:ascii="Menlo" w:hAnsi="Consolas" w:eastAsia="PingFang SC"/>
          <w:rStyle w:val="InlineCode"/>
        </w:rPr>
        <w:t xml:space="preserve">inline code</w:t>
      </w:r>
      <w:r>
        <w:rPr/>
        <w:t xml:space="preserve">, </w:t>
      </w:r>
      <w:r>
        <w:rPr>
          <w:color w:val="0563C1"/>
          <w:u w:val="single"/>
        </w:rPr>
        <w:t xml:space="preserve">hyperlinks</w:t>
      </w:r>
      <w:r>
        <w:rPr/>
        <w:t xml:space="preserve">, and inline math like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t xml:space="preserve">.</w:t>
      </w:r>
    </w:p>
    <w:p w14:paraId="0000003f">
      <w:pPr>
        <w:rPr/>
      </w:pPr>
      <w:r>
        <w:rPr/>
        <w:t xml:space="preserve">Mixed scripts work cleanly: research suggests </w:t>
      </w:r>
      <w:r>
        <w:rPr>
          <w:b/>
          <w:bCs/>
        </w:rPr>
        <w:t xml:space="preserve">Markdown to Word</w:t>
      </w:r>
      <w:r>
        <w:rPr/>
        <w:t xml:space="preserve"> receives over 10,000 monthly searches on GitHub, yet existing tools fail on </w:t>
      </w:r>
      <w:r>
        <w:rPr>
          <w:i/>
          <w:iCs/>
        </w:rPr>
        <w:t xml:space="preserve">equation rendering</w:t>
      </w:r>
      <w:r>
        <w:rPr/>
        <w:t xml:space="preserve"> almost universally.</w:t>
      </w:r>
    </w:p>
    <w:p w14:paraId="00000040">
      <w:pPr>
        <w:rPr/>
        <w:pStyle w:val="Heading2"/>
      </w:pPr>
      <w:r>
        <w:rPr/>
        <w:t xml:space="preserve">Horizontal rule</w:t>
      </w:r>
    </w:p>
    <w:p w14:paraId="00000041">
      <w:pPr>
        <w:rPr/>
      </w:pPr>
      <w:r>
        <w:rPr/>
        <w:t xml:space="preserve">The line below is </w:t>
      </w:r>
      <w:r>
        <w:rPr>
          <w:rFonts w:ascii="Menlo" w:hAnsi="Consolas" w:eastAsia="PingFang SC"/>
          <w:rStyle w:val="InlineCode"/>
        </w:rPr>
        <w:t xml:space="preserve">---</w:t>
      </w:r>
      <w:r>
        <w:rPr/>
        <w:t xml:space="preserve">:</w:t>
      </w:r>
    </w:p>
    <w:p w14:paraId="00000042">
      <w:pPr>
        <w:rPr/>
        <w:pStyle w:val="HorizontalRule"/>
      </w:pPr>
    </w:p>
    <w:p w14:paraId="00000043">
      <w:pPr>
        <w:rPr/>
      </w:pPr>
      <w:r>
        <w:rPr/>
        <w:t xml:space="preserve">End of demo. Try it:</w:t>
      </w:r>
    </w:p>
    <w:p w14:paraId="00000044">
      <w:pPr>
        <w:rPr/>
        <w:pStyle w:val="SourceCode"/>
      </w:pPr>
      <w:r>
        <w:rPr>
          <w:rFonts w:ascii="Menlo" w:hAnsi="Consolas" w:eastAsia="PingFang SC"/>
        </w:rPr>
        <w:t xml:space="preserve">scribe-cli</w:t>
      </w:r>
      <w:r>
        <w:rPr>
          <w:rFonts w:ascii="Menlo" w:hAnsi="Consolas" w:eastAsia="PingFang SC"/>
        </w:rPr>
        <w:t xml:space="preserve"> demo-en.md</w:t>
      </w:r>
      <w:r>
        <w:rPr>
          <w:rFonts w:ascii="Menlo" w:hAnsi="Consolas" w:eastAsia="PingFang SC"/>
        </w:rPr>
        <w:t xml:space="preserve"> -</w:t>
      </w:r>
      <w:r>
        <w:rPr>
          <w:rFonts w:ascii="Menlo" w:hAnsi="Consolas" w:eastAsia="PingFang SC"/>
        </w:rPr>
        <w:t xml:space="preserve">o</w:t>
      </w:r>
      <w:r>
        <w:rPr>
          <w:rFonts w:ascii="Menlo" w:hAnsi="Consolas" w:eastAsia="PingFang SC"/>
        </w:rPr>
        <w:t xml:space="preserve"> demo-en.docx</w:t>
      </w:r>
      <w:r>
        <w:rPr>
          <w:rFonts w:ascii="Menlo" w:hAnsi="Consolas" w:eastAsia="PingFang SC"/>
        </w:rPr>
        <w:t xml:space="preserve"> --</w:t>
      </w:r>
      <w:r>
        <w:rPr>
          <w:rFonts w:ascii="Menlo" w:hAnsi="Consolas" w:eastAsia="PingFang SC"/>
        </w:rPr>
        <w:t xml:space="preserve">theme</w:t>
      </w:r>
      <w:r>
        <w:rPr>
          <w:rFonts w:ascii="Menlo" w:hAnsi="Consolas" w:eastAsia="PingFang SC"/>
        </w:rPr>
        <w:t xml:space="preserve"> academic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id="1">
    <w:p w14:paraId="0000003c">
      <w:pPr>
        <w:rPr/>
      </w:pPr>
      <w:r>
        <w:rPr/>
        <w:t xml:space="preserve">Footnotes become native Word footnotes, not in-page links.</w:t>
      </w:r>
    </w:p>
  </w:footnote>
</w:footnote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  <w:num w:numId="1001">
    <w:abstractNumId w:val="101"/>
  </w:num>
  <w:num w:numId="1002">
    <w:abstractNumId w:val="102"/>
  </w:num>
  <w:num w:numId="1003">
    <w:abstractNumId w:val="10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color w:val="111827"/>
      <w:b/>
      <w:bCs/>
    </w:rPr>
    <w:pPr>
      <w:rPr/>
      <w:outlineLvl w:val="0"/>
    </w:pPr>
    <w:next w:val="Normal"/>
    <w:qFormat/>
    <w:uiPriority w:val="1"/>
    <w:unhideWhenUsed/>
    <w:basedOn w:val="Normal"/>
  </w:style>
  <w:style w:type="paragraph" w:styleId="Heading2">
    <w:name w:val="Heading 2"/>
    <w:rPr>
      <w:sz w:val="28"/>
      <w:szCs w:val="28"/>
      <w:color w:val="111827"/>
      <w:b/>
      <w:bCs/>
    </w:rPr>
    <w:pPr>
      <w:rPr/>
      <w:outlineLvl w:val="1"/>
    </w:pPr>
    <w:next w:val="Normal"/>
    <w:qFormat/>
    <w:uiPriority w:val="2"/>
    <w:unhideWhenUsed/>
    <w:basedOn w:val="Normal"/>
  </w:style>
  <w:style w:type="paragraph" w:styleId="Heading3">
    <w:name w:val="Heading 3"/>
    <w:rPr>
      <w:sz w:val="24"/>
      <w:szCs w:val="24"/>
      <w:color w:val="1F2937"/>
      <w:b/>
      <w:bCs/>
    </w:rPr>
    <w:pPr>
      <w:rPr/>
      <w:outlineLvl w:val="2"/>
    </w:pPr>
    <w:next w:val="Normal"/>
    <w:qFormat/>
    <w:uiPriority w:val="3"/>
    <w:unhideWhenUsed/>
    <w:basedOn w:val="Normal"/>
  </w:style>
  <w:style w:type="paragraph" w:styleId="Heading4">
    <w:name w:val="Heading 4"/>
    <w:rPr>
      <w:sz w:val="22"/>
      <w:szCs w:val="22"/>
      <w:color w:val="374151"/>
      <w:b/>
      <w:bCs/>
    </w:rPr>
    <w:pPr>
      <w:rPr/>
      <w:outlineLvl w:val="3"/>
    </w:pPr>
    <w:next w:val="Normal"/>
    <w:qFormat/>
    <w:uiPriority w:val="4"/>
    <w:unhideWhenUsed/>
    <w:basedOn w:val="Normal"/>
  </w:style>
  <w:style w:type="paragraph" w:styleId="Heading5">
    <w:name w:val="Heading 5"/>
    <w:rPr>
      <w:sz w:val="20"/>
      <w:szCs w:val="20"/>
      <w:color w:val="4B5563"/>
      <w:b/>
      <w:bCs/>
    </w:rPr>
    <w:pPr>
      <w:rPr/>
      <w:outlineLvl w:val="4"/>
    </w:pPr>
    <w:next w:val="Normal"/>
    <w:qFormat/>
    <w:uiPriority w:val="5"/>
    <w:unhideWhenUsed/>
    <w:basedOn w:val="Normal"/>
  </w:style>
  <w:style w:type="paragraph" w:styleId="Heading6">
    <w:name w:val="Heading 6"/>
    <w:rPr>
      <w:sz w:val="18"/>
      <w:szCs w:val="18"/>
      <w:color w:val="4B5563"/>
      <w:b/>
      <w:bCs/>
    </w:rPr>
    <w:pPr>
      <w:rPr/>
      <w:outlineLvl w:val="5"/>
    </w:pPr>
    <w:next w:val="Normal"/>
    <w:qFormat/>
    <w:uiPriority w:val="6"/>
    <w:unhideWhenUsed/>
    <w:basedOn w:val="Normal"/>
  </w:style>
  <w:style w:type="paragraph" w:styleId="Quote">
    <w:name w:val="Quote"/>
    <w:rPr>
      <w:color w:val="4B5563"/>
      <w:i/>
      <w:iCs/>
    </w:rPr>
    <w:pPr>
      <w:rPr/>
      <w:ind w:left="420" w:right="0"/>
      <w:pBdr>
        <w:left w:val="single" w:space="0" w:sz="8" w:color="CBD5E1"/>
      </w:pBdr>
    </w:pPr>
    <w:next w:val="Normal"/>
    <w:qFormat/>
    <w:unhideWhenUsed/>
    <w:basedOn w:val="Normal"/>
  </w:style>
  <w:style w:type="paragraph" w:styleId="SourceCode">
    <w:name w:val="Source Code"/>
    <w:rPr>
      <w:sz w:val="21"/>
      <w:szCs w:val="21"/>
      <w:color w:val="111827"/>
      <w:rFonts w:ascii="Menlo" w:hAnsi="Consolas" w:eastAsia="PingFang SC"/>
    </w:rPr>
    <w:pPr>
      <w:rPr/>
      <w:ind w:left="240" w:right="0"/>
      <w:shd w:val="clear" w:color="auto" w:fill="F6F8FA"/>
    </w:pPr>
    <w:next w:val="SourceCode"/>
    <w:qFormat/>
    <w:unhideWhenUsed/>
    <w:basedOn w:val="Normal"/>
  </w:style>
  <w:style w:type="character" w:styleId="InlineCode">
    <w:name w:val="Inline Code"/>
    <w:rPr>
      <w:sz w:val="21"/>
      <w:szCs w:val="21"/>
      <w:color w:val="111827"/>
      <w:rFonts w:ascii="Menlo" w:hAnsi="Consolas" w:eastAsia="PingFang SC"/>
      <w:shd w:val="clear" w:color="auto" w:fill="F3F4F6"/>
    </w:rPr>
    <w:pPr>
      <w:rPr/>
    </w:pPr>
    <w:qFormat/>
    <w:unhideWhenUsed/>
  </w:style>
  <w:style w:type="paragraph" w:styleId="TableHeader">
    <w:name w:val="Table Header"/>
    <w:rPr>
      <w:color w:val="111827"/>
      <w:b/>
      <w:bCs/>
    </w:rPr>
    <w:pPr>
      <w:rPr/>
    </w:pPr>
    <w:next w:val="Normal"/>
    <w:qFormat/>
    <w:unhideWhenUsed/>
    <w:basedOn w:val="Normal"/>
  </w:style>
  <w:style w:type="paragraph" w:styleId="HorizontalRule">
    <w:name w:val="Horizontal Rule"/>
    <w:rPr/>
    <w:pPr>
      <w:rPr/>
      <w:pBdr>
        <w:top w:val="single" w:space="0" w:sz="8" w:color="D1D5DB"/>
      </w:pBdr>
    </w:pPr>
    <w:next w:val="Normal"/>
    <w:qFormat/>
    <w:unhideWhenUsed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7" Type="http://schemas.openxmlformats.org/officeDocument/2006/relationships/numbering" Target="numbering.xml" /><Relationship Id="rId8" Type="http://schemas.openxmlformats.org/officeDocument/2006/relationships/footnotes" Target="footnotes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