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pStyle w:val="Heading1"/>
      </w:pPr>
      <w:r>
        <w:rPr/>
        <w:t xml:space="preserve">Folio 演示文档</w:t>
      </w:r>
    </w:p>
    <w:p w14:paraId="00000002">
      <w:pPr>
        <w:rPr/>
        <w:pStyle w:val="Quote"/>
      </w:pPr>
      <w:r>
        <w:rPr/>
        <w:t xml:space="preserve">Folio 把 Markdown 直接转换成 </w:t>
      </w:r>
      <w:r>
        <w:rPr>
          <w:b/>
          <w:bCs/>
        </w:rPr>
        <w:t xml:space="preserve">Word 原生结构</w:t>
      </w:r>
      <w:r>
        <w:rPr/>
        <w:t xml:space="preserve">——可编辑公式、规整表格、对齐字体，无需手动调整。</w:t>
      </w:r>
    </w:p>
    <w:p w14:paraId="00000003">
      <w:pPr>
        <w:rPr/>
        <w:pStyle w:val="Heading2"/>
      </w:pPr>
      <w:r>
        <w:rPr/>
        <w:t xml:space="preserve">标题层级</w:t>
      </w:r>
    </w:p>
    <w:p w14:paraId="00000004">
      <w:pPr>
        <w:rPr/>
      </w:pPr>
      <w:r>
        <w:rPr/>
        <w:t xml:space="preserve">下面几段展示二级、三级、四级标题的视觉差异。</w:t>
      </w:r>
    </w:p>
    <w:p w14:paraId="00000005">
      <w:pPr>
        <w:rPr/>
        <w:pStyle w:val="Heading3"/>
      </w:pPr>
      <w:r>
        <w:rPr/>
        <w:t xml:space="preserve">三级标题：研究背景</w:t>
      </w:r>
    </w:p>
    <w:p w14:paraId="00000006">
      <w:pPr>
        <w:rPr/>
      </w:pPr>
      <w:r>
        <w:rPr/>
        <w:t xml:space="preserve">学术写作和技术文档共同的痛点是 </w:t>
      </w:r>
      <w:r>
        <w:rPr>
          <w:b/>
          <w:bCs/>
        </w:rPr>
        <w:t xml:space="preserve">格式整理</w:t>
      </w:r>
      <w:r>
        <w:rPr/>
        <w:t xml:space="preserve">：内容写完后，光是把样式从 Markdown 统一到 Word 就要花掉半天。Folio 的设计目标就是把这一步消除。</w:t>
      </w:r>
    </w:p>
    <w:p w14:paraId="00000007">
      <w:pPr>
        <w:rPr/>
        <w:pStyle w:val="Heading4"/>
      </w:pPr>
      <w:r>
        <w:rPr/>
        <w:t xml:space="preserve">四级标题：实现说明</w:t>
      </w:r>
    </w:p>
    <w:p w14:paraId="00000008">
      <w:pPr>
        <w:rPr/>
      </w:pPr>
      <w:r>
        <w:rPr/>
        <w:t xml:space="preserve">Folio 使用纯 Rust 管道——无需 Pandoc 依赖，命令行和桌面应用也不需要 Python 运行时。公式以原生 OMML 格式输出，而非图片。</w:t>
      </w:r>
    </w:p>
    <w:p w14:paraId="00000009">
      <w:pPr>
        <w:rPr/>
        <w:pStyle w:val="Heading2"/>
      </w:pPr>
      <w:r>
        <w:rPr/>
        <w:t xml:space="preserve">行内格式</w:t>
      </w:r>
    </w:p>
    <w:p w14:paraId="0000000a">
      <w:pPr>
        <w:rPr/>
      </w:pPr>
      <w:r>
        <w:rPr/>
        <w:t xml:space="preserve">一段带有强制换行的文字：</w:t>
      </w:r>
      <w:r>
        <w:rPr/>
        <w:br w:type="textWrapping"/>
      </w:r>
      <w:r>
        <w:rPr/>
        <w:t xml:space="preserve">第二句在同一段落内另起一行。</w:t>
      </w:r>
    </w:p>
    <w:p w14:paraId="0000000b">
      <w:pPr>
        <w:rPr/>
      </w:pPr>
      <w:r>
        <w:rPr/>
        <w:t xml:space="preserve">支持 </w:t>
      </w:r>
      <w:r>
        <w:rPr>
          <w:b/>
          <w:bCs/>
        </w:rPr>
        <w:t xml:space="preserve">加粗</w:t>
      </w:r>
      <w:r>
        <w:rPr/>
        <w:t xml:space="preserve">、</w:t>
      </w:r>
      <w:r>
        <w:rPr>
          <w:i/>
          <w:iCs/>
        </w:rPr>
        <w:t xml:space="preserve">斜体</w:t>
      </w:r>
      <w:r>
        <w:rPr/>
        <w:t xml:space="preserve">、</w:t>
      </w:r>
      <w:r>
        <w:rPr>
          <w:strike/>
        </w:rPr>
        <w:t xml:space="preserve">删除线</w:t>
      </w:r>
      <w:r>
        <w:rPr/>
        <w:t xml:space="preserve">、</w:t>
      </w:r>
      <w:r>
        <w:rPr>
          <w:rFonts w:ascii="Menlo" w:hAnsi="Consolas" w:eastAsia="PingFang SC"/>
          <w:rStyle w:val="InlineCode"/>
        </w:rPr>
        <w:t xml:space="preserve">行内代码</w:t>
      </w:r>
      <w:r>
        <w:rPr/>
        <w:t xml:space="preserve">、</w:t>
      </w:r>
      <w:r>
        <w:rPr>
          <w:color w:val="0563C1"/>
          <w:u w:val="single"/>
        </w:rPr>
        <w:t xml:space="preserve">超链接</w:t>
      </w:r>
      <w:r>
        <w:rPr/>
        <w:t xml:space="preserve">，以及行内公式 </w:t>
      </w:r>
      <m:oMath xmlns:m="http://schemas.openxmlformats.org/officeDocument/2006/math"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/>
        <w:t xml:space="preserve">。</w:t>
      </w:r>
    </w:p>
    <w:p w14:paraId="0000000c">
      <w:pPr>
        <w:rPr/>
      </w:pPr>
      <w:r>
        <w:rPr/>
        <w:t xml:space="preserve">中英混排：研究表明，</w:t>
      </w:r>
      <w:r>
        <w:rPr>
          <w:b/>
          <w:bCs/>
        </w:rPr>
        <w:t xml:space="preserve">Markdown to Word</w:t>
      </w:r>
      <w:r>
        <w:rPr/>
        <w:t xml:space="preserve"> 在 GitHub 上每月有超过 10,000 次相关搜索，但现有工具在 </w:t>
      </w:r>
      <w:r>
        <w:rPr>
          <w:i/>
          <w:iCs/>
        </w:rPr>
        <w:t xml:space="preserve">公式渲染</w:t>
      </w:r>
      <w:r>
        <w:rPr/>
        <w:t xml:space="preserve"> 上几乎全部失败。</w:t>
      </w:r>
    </w:p>
    <w:p w14:paraId="0000000d">
      <w:pPr>
        <w:rPr/>
        <w:pStyle w:val="Heading2"/>
      </w:pPr>
      <w:r>
        <w:rPr/>
        <w:t xml:space="preserve">公式</w:t>
      </w:r>
    </w:p>
    <w:p w14:paraId="0000000e">
      <w:pPr>
        <w:rPr/>
      </w:pPr>
      <w:r>
        <w:rPr/>
        <w:t xml:space="preserve">行内公式：当 </w:t>
      </w:r>
      <m:oMath xmlns:m="http://schemas.openxmlformats.org/officeDocument/2006/math">
        <m:r>
          <m:rPr>
            <m:sty m:val="i"/>
          </m:rPr>
          <m:t>a</m:t>
        </m:r>
        <m:r>
          <m:rPr>
            <m:sty m:val="p"/>
          </m:rPr>
          <m:t>≠</m:t>
        </m:r>
        <m:r>
          <m:rPr>
            <m:sty m:val="p"/>
          </m:rPr>
          <m:t>0</m:t>
        </m:r>
      </m:oMath>
      <w:r>
        <w:rPr/>
        <w:t xml:space="preserve">，关于 </w:t>
      </w:r>
      <m:oMath xmlns:m="http://schemas.openxmlformats.org/officeDocument/2006/math">
        <m:r>
          <m:rPr>
            <m:sty m:val="i"/>
          </m:rPr>
          <m:t>x</m:t>
        </m:r>
      </m:oMath>
      <w:r>
        <w:rPr/>
        <w:t xml:space="preserve"> 的一元二次方程 </w:t>
      </w:r>
      <m:oMath xmlns:m="http://schemas.openxmlformats.org/officeDocument/2006/math">
        <m:r>
          <m:rPr>
            <m:sty m:val="i"/>
          </m:rPr>
          <m:t>a</m:t>
        </m:r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+</m:t>
        </m:r>
        <m:r>
          <m:rPr>
            <m:sty m:val="i"/>
          </m:rPr>
          <m:t>b</m:t>
        </m:r>
        <m:r>
          <m:rPr>
            <m:sty m:val="i"/>
          </m:rPr>
          <m:t>x</m:t>
        </m:r>
        <m:r>
          <m:rPr>
            <m:sty m:val="p"/>
          </m:rPr>
          <m:t>+</m:t>
        </m:r>
        <m:r>
          <m:rPr>
            <m:sty m:val="i"/>
          </m:rPr>
          <m:t>c</m:t>
        </m:r>
        <m:r>
          <m:rPr>
            <m:sty m:val="p"/>
          </m:rPr>
          <m:t>=</m:t>
        </m:r>
        <m:r>
          <m:rPr>
            <m:sty m:val="p"/>
          </m:rPr>
          <m:t>0</m:t>
        </m:r>
      </m:oMath>
      <w:r>
        <w:rPr/>
        <w:t xml:space="preserve"> 有以下解。</w:t>
      </w:r>
    </w:p>
    <w:p w14:paraId="0000000f">
      <w:pPr>
        <w:rPr/>
      </w:pPr>
      <w:r>
        <w:rPr/>
        <w:t xml:space="preserve">显示公式：</w:t>
      </w:r>
    </w:p>
    <m:oMathPara xmlns:m="http://schemas.openxmlformats.org/officeDocument/2006/math">
      <m:oMath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-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±</m:t>
            </m:r>
            <m:rad>
              <m:radPr>
                <m:degHide m:val="1"/>
              </m:radPr>
              <m:deg/>
              <m:e>
                <m:sSup>
                  <m:e>
                    <m:r>
                      <m:rPr>
                        <m:sty m:val="i"/>
                      </m:rPr>
                      <m:t>b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-</m:t>
                </m:r>
                <m:r>
                  <m:rPr>
                    <m:sty m:val="p"/>
                  </m:rPr>
                  <m:t>4</m:t>
                </m:r>
                <m:r>
                  <m:rPr>
                    <m:sty m:val="i"/>
                  </m:rPr>
                  <m:t>a</m:t>
                </m:r>
                <m:r>
                  <m:rPr>
                    <m:sty m:val="i"/>
                  </m:rPr>
                  <m:t>c</m:t>
                </m:r>
              </m:e>
            </m:rad>
          </m:num>
          <m:den>
            <m:r>
              <m:rPr>
                <m:sty m:val="p"/>
              </m:rPr>
              <m:t>2</m:t>
            </m:r>
            <m:r>
              <m:rPr>
                <m:sty m:val="i"/>
              </m:rPr>
              <m:t>a</m:t>
            </m:r>
          </m:den>
        </m:f>
      </m:oMath>
    </m:oMathPara>
    <w:p w14:paraId="00000011">
      <w:pPr>
        <w:rPr/>
      </w:pPr>
      <w:r>
        <w:rPr/>
        <w:t xml:space="preserve">爱因斯坦质能方程：</w:t>
      </w:r>
    </w:p>
    <m:oMathPara xmlns:m="http://schemas.openxmlformats.org/officeDocument/2006/math">
      <m:oMath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</m:oMathPara>
    <w:p w14:paraId="00000013">
      <w:pPr>
        <w:rPr/>
      </w:pPr>
      <w:r>
        <w:rPr/>
        <w:t xml:space="preserve">求和与积分：</w:t>
      </w:r>
    </w:p>
    <m:oMathPara xmlns:m="http://schemas.openxmlformats.org/officeDocument/2006/math">
      <m:oMath>
        <m:nary>
          <m:naryPr>
            <m:chr m:val="∑"/>
            <m:limLoc m:val="undOvr"/>
          </m:naryPr>
          <m:sub>
            <m:r>
              <m:rPr>
                <m:sty m:val="i"/>
              </m:rPr>
              <m:t>i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i"/>
              </m:rPr>
              <m:t>n</m:t>
            </m:r>
          </m:sup>
          <m:e/>
        </m:nary>
        <m:r>
          <m:rPr>
            <m:sty m:val="i"/>
          </m:rPr>
          <m:t>i</m:t>
        </m:r>
        <m:r>
          <m:rPr>
            <m:sty m:val="p"/>
          </m:rPr>
          <m:t>=</m:t>
        </m:r>
        <m:f>
          <m:num>
            <m:r>
              <m:rPr>
                <m:sty m:val="i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2</m:t>
            </m:r>
          </m:den>
        </m:f>
        <m:sSubSup>
          <m:e>
            <m:r>
              <m:rPr>
                <m:sty m:val="p"/>
              </m:rPr>
              <m:t>∫</m:t>
            </m:r>
          </m:e>
          <m:sub>
            <m:r>
              <m:rPr>
                <m:sty m:val="p"/>
              </m:rPr>
              <m:t>0</m:t>
            </m:r>
          </m:sub>
          <m:sup>
            <m:r>
              <m:rPr>
                <m:sty m:val="p"/>
              </m:rPr>
              <m:t>1</m:t>
            </m:r>
          </m:sup>
        </m:sSubSup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i"/>
          </m:rPr>
          <m:t>d</m:t>
        </m:r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3</m:t>
            </m:r>
          </m:den>
        </m:f>
      </m:oMath>
    </m:oMathPara>
    <w:p w14:paraId="00000015">
      <w:pPr>
        <w:rPr/>
      </w:pPr>
      <w:r>
        <w:rPr/>
        <w:t xml:space="preserve">矩阵：</w:t>
      </w:r>
    </w:p>
    <m:oMathPara xmlns:m="http://schemas.openxmlformats.org/officeDocument/2006/math">
      <m:oMath>
        <m:r>
          <m:rPr>
            <m:sty m:val="p"/>
          </m:rPr>
          <m:t>(</m:t>
        </m:r>
        <m:m>
          <m:mr>
            <m:e>
              <m:r>
                <m:rPr>
                  <m:sty m:val="i"/>
                </m:rPr>
                <m:t>a</m:t>
              </m:r>
            </m:e>
            <m:e>
              <m:r>
                <m:rPr>
                  <m:sty m:val="i"/>
                </m:rPr>
                <m:t>b</m:t>
              </m:r>
            </m:e>
          </m:mr>
          <m:mr>
            <m:e>
              <m:r>
                <m:rPr>
                  <m:sty m:val="i"/>
                </m:rPr>
                <m:t>c</m:t>
              </m:r>
            </m:e>
            <m:e>
              <m:r>
                <m:rPr>
                  <m:sty m:val="i"/>
                </m:rPr>
                <m:t>d</m:t>
              </m:r>
            </m:e>
          </m:mr>
        </m:m>
        <m:r>
          <m:rPr>
            <m:sty m:val="p"/>
          </m:rPr>
          <m:t>)</m:t>
        </m:r>
      </m:oMath>
    </m:oMathPara>
    <w:p w14:paraId="00000017">
      <w:pPr>
        <w:rPr/>
        <w:pStyle w:val="Heading2"/>
      </w:pPr>
      <w:r>
        <w:rPr/>
        <w:t xml:space="preserve">代码块</w:t>
      </w:r>
    </w:p>
    <w:p w14:paraId="00000018">
      <w:pPr>
        <w:rPr/>
      </w:pPr>
      <w:r>
        <w:rPr/>
        <w:t xml:space="preserve">带语法高亮的 Rust 代码：</w:t>
      </w:r>
    </w:p>
    <w:p w14:paraId="00000019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fn</w:t>
      </w:r>
      <w:r>
        <w:rPr>
          <w:rFonts w:ascii="Menlo" w:hAnsi="Consolas" w:eastAsia="PingFang SC"/>
        </w:rPr>
        <w:t xml:space="preserve"> </w:t>
      </w:r>
      <w:r>
        <w:rPr>
          <w:color w:val="795DA3"/>
          <w:b/>
          <w:bCs/>
          <w:rFonts w:ascii="Menlo" w:hAnsi="Consolas" w:eastAsia="PingFang SC"/>
        </w:rPr>
        <w:t xml:space="preserve">main</w:t>
      </w:r>
      <w:r>
        <w:rPr>
          <w:rFonts w:ascii="Menlo" w:hAnsi="Consolas" w:eastAsia="PingFang SC"/>
        </w:rPr>
        <w:t xml:space="preserve">(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{</w:t>
      </w:r>
    </w:p>
    <w:p w14:paraId="0000001a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color w:val="A71D5D"/>
          <w:b/>
          <w:bCs/>
          <w:rFonts w:ascii="Menlo" w:hAnsi="Consolas" w:eastAsia="PingFang SC"/>
        </w:rPr>
        <w:t xml:space="preserve">let</w:t>
      </w:r>
      <w:r>
        <w:rPr>
          <w:rFonts w:ascii="Menlo" w:hAnsi="Consolas" w:eastAsia="PingFang SC"/>
        </w:rPr>
        <w:t xml:space="preserve"> s 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rFonts w:ascii="Menlo" w:hAnsi="Consolas" w:eastAsia="PingFang SC"/>
        </w:rPr>
        <w:t xml:space="preserve"> 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你好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;</w:t>
      </w:r>
    </w:p>
    <w:p w14:paraId="0000001b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rFonts w:ascii="Menlo" w:hAnsi="Consolas" w:eastAsia="PingFang SC"/>
        </w:rPr>
        <w:t xml:space="preserve">println!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0086B3"/>
          <w:rFonts w:ascii="Menlo" w:hAnsi="Consolas" w:eastAsia="PingFang SC"/>
        </w:rPr>
        <w:t xml:space="preserve">{}</w:t>
      </w:r>
      <w:r>
        <w:rPr>
          <w:color w:val="183691"/>
          <w:rFonts w:ascii="Menlo" w:hAnsi="Consolas" w:eastAsia="PingFang SC"/>
        </w:rPr>
        <w:t xml:space="preserve">, Folio!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s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;</w:t>
      </w:r>
    </w:p>
    <w:p w14:paraId="0000001c">
      <w:pPr>
        <w:rPr/>
        <w:pStyle w:val="SourceCode"/>
      </w:pPr>
      <w:r>
        <w:rPr>
          <w:rFonts w:ascii="Menlo" w:hAnsi="Consolas" w:eastAsia="PingFang SC"/>
        </w:rPr>
        <w:t xml:space="preserve">}</w:t>
      </w:r>
    </w:p>
    <w:p w14:paraId="0000001d">
      <w:pPr>
        <w:rPr/>
      </w:pPr>
      <w:r>
        <w:rPr/>
        <w:t xml:space="preserve">Python 示例：</w:t>
      </w:r>
    </w:p>
    <w:p w14:paraId="0000001e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import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folio</w:t>
      </w:r>
    </w:p>
    <w:p w14:paraId="0000001f">
      <w:pPr>
        <w:rPr/>
        <w:pStyle w:val="SourceCode"/>
      </w:pPr>
      <w:r>
        <w:rPr>
          <w:rFonts w:ascii="Menlo" w:hAnsi="Consolas" w:eastAsia="PingFang SC"/>
        </w:rPr>
        <w:t xml:space="preserve"/>
      </w:r>
    </w:p>
    <w:p w14:paraId="00000020">
      <w:pPr>
        <w:rPr/>
        <w:pStyle w:val="SourceCode"/>
      </w:pPr>
      <w:r>
        <w:rPr>
          <w:rFonts w:ascii="Menlo" w:hAnsi="Consolas" w:eastAsia="PingFang SC"/>
        </w:rPr>
        <w:t xml:space="preserve">bytes_</w:t>
      </w:r>
      <w:r>
        <w:rPr>
          <w:rFonts w:ascii="Menlo" w:hAnsi="Consolas" w:eastAsia="PingFang SC"/>
        </w:rPr>
        <w:t xml:space="preserve"> 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folio</w:t>
      </w:r>
      <w:r>
        <w:rPr>
          <w:rFonts w:ascii="Menlo" w:hAnsi="Consolas" w:eastAsia="PingFang SC"/>
        </w:rPr>
        <w:t xml:space="preserve">.</w:t>
      </w:r>
      <w:r>
        <w:rPr>
          <w:rFonts w:ascii="Menlo" w:hAnsi="Consolas" w:eastAsia="PingFang SC"/>
        </w:rPr>
        <w:t xml:space="preserve">convert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# Hello</w:t>
      </w:r>
      <w:r>
        <w:rPr>
          <w:color w:val="0086B3"/>
          <w:rFonts w:ascii="Menlo" w:hAnsi="Consolas" w:eastAsia="PingFang SC"/>
        </w:rPr>
        <w:t xml:space="preserve">\n</w:t>
      </w:r>
      <w:r>
        <w:rPr>
          <w:color w:val="0086B3"/>
          <w:rFonts w:ascii="Menlo" w:hAnsi="Consolas" w:eastAsia="PingFang SC"/>
        </w:rPr>
        <w:t xml:space="preserve">\n</w:t>
      </w:r>
      <w:r>
        <w:rPr>
          <w:color w:val="183691"/>
          <w:rFonts w:ascii="Menlo" w:hAnsi="Consolas" w:eastAsia="PingFang SC"/>
        </w:rPr>
        <w:t xml:space="preserve">$E = mc^2$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theme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academic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)</w:t>
      </w:r>
    </w:p>
    <w:p w14:paraId="00000021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with</w:t>
      </w:r>
      <w:r>
        <w:rPr>
          <w:rFonts w:ascii="Menlo" w:hAnsi="Consolas" w:eastAsia="PingFang SC"/>
        </w:rPr>
        <w:t xml:space="preserve"> </w:t>
      </w:r>
      <w:r>
        <w:rPr>
          <w:color w:val="62A35C"/>
          <w:rFonts w:ascii="Menlo" w:hAnsi="Consolas" w:eastAsia="PingFang SC"/>
        </w:rPr>
        <w:t xml:space="preserve">open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paper.docx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wb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 </w:t>
      </w:r>
      <w:r>
        <w:rPr>
          <w:color w:val="A71D5D"/>
          <w:b/>
          <w:bCs/>
          <w:rFonts w:ascii="Menlo" w:hAnsi="Consolas" w:eastAsia="PingFang SC"/>
        </w:rPr>
        <w:t xml:space="preserve">as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</w:t>
      </w:r>
      <w:r>
        <w:rPr>
          <w:rFonts w:ascii="Menlo" w:hAnsi="Consolas" w:eastAsia="PingFang SC"/>
        </w:rPr>
        <w:t xml:space="preserve">:</w:t>
      </w:r>
    </w:p>
    <w:p w14:paraId="00000022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rFonts w:ascii="Menlo" w:hAnsi="Consolas" w:eastAsia="PingFang SC"/>
        </w:rPr>
        <w:t xml:space="preserve">f</w:t>
      </w:r>
      <w:r>
        <w:rPr>
          <w:rFonts w:ascii="Menlo" w:hAnsi="Consolas" w:eastAsia="PingFang SC"/>
        </w:rPr>
        <w:t xml:space="preserve">.</w:t>
      </w:r>
      <w:r>
        <w:rPr>
          <w:rFonts w:ascii="Menlo" w:hAnsi="Consolas" w:eastAsia="PingFang SC"/>
        </w:rPr>
        <w:t xml:space="preserve">write</w:t>
      </w:r>
      <w:r>
        <w:rPr>
          <w:rFonts w:ascii="Menlo" w:hAnsi="Consolas" w:eastAsia="PingFang SC"/>
        </w:rPr>
        <w:t xml:space="preserve">(</w:t>
      </w:r>
      <w:r>
        <w:rPr>
          <w:rFonts w:ascii="Menlo" w:hAnsi="Consolas" w:eastAsia="PingFang SC"/>
        </w:rPr>
        <w:t xml:space="preserve">bytes_</w:t>
      </w:r>
      <w:r>
        <w:rPr>
          <w:rFonts w:ascii="Menlo" w:hAnsi="Consolas" w:eastAsia="PingFang SC"/>
        </w:rPr>
        <w:t xml:space="preserve">)</w:t>
      </w:r>
    </w:p>
    <w:p w14:paraId="00000023">
      <w:pPr>
        <w:rPr/>
      </w:pPr>
      <w:r>
        <w:rPr/>
        <w:t xml:space="preserve">JSON 配置：</w:t>
      </w:r>
    </w:p>
    <w:p w14:paraId="00000024">
      <w:pPr>
        <w:rPr/>
        <w:pStyle w:val="SourceCode"/>
      </w:pPr>
      <w:r>
        <w:rPr>
          <w:rFonts w:ascii="Menlo" w:hAnsi="Consolas" w:eastAsia="PingFang SC"/>
        </w:rPr>
        <w:t xml:space="preserve">{</w:t>
      </w:r>
    </w:p>
    <w:p w14:paraId="00000025">
      <w:pPr>
        <w:rPr/>
        <w:pStyle w:val="SourceCode"/>
      </w:pPr>
      <w:r>
        <w:rPr>
          <w:rFonts w:ascii="Menlo" w:hAnsi="Consolas" w:eastAsia="PingFang SC"/>
        </w:rPr>
        <w:t xml:space="preserve">  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color w:val="183691"/>
          <w:b/>
          <w:bCs/>
          <w:rFonts w:ascii="Menlo" w:hAnsi="Consolas" w:eastAsia="PingFang SC"/>
        </w:rPr>
        <w:t xml:space="preserve">工具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: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Folio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</w:p>
    <w:p w14:paraId="00000026">
      <w:pPr>
        <w:rPr/>
        <w:pStyle w:val="SourceCode"/>
      </w:pPr>
      <w:r>
        <w:rPr>
          <w:rFonts w:ascii="Menlo" w:hAnsi="Consolas" w:eastAsia="PingFang SC"/>
        </w:rPr>
        <w:t xml:space="preserve">  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color w:val="183691"/>
          <w:b/>
          <w:bCs/>
          <w:rFonts w:ascii="Menlo" w:hAnsi="Consolas" w:eastAsia="PingFang SC"/>
        </w:rPr>
        <w:t xml:space="preserve">版本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: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0.2.1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</w:p>
    <w:p w14:paraId="00000027">
      <w:pPr>
        <w:rPr/>
        <w:pStyle w:val="SourceCode"/>
      </w:pPr>
      <w:r>
        <w:rPr>
          <w:rFonts w:ascii="Menlo" w:hAnsi="Consolas" w:eastAsia="PingFang SC"/>
        </w:rPr>
        <w:t xml:space="preserve">  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color w:val="183691"/>
          <w:b/>
          <w:bCs/>
          <w:rFonts w:ascii="Menlo" w:hAnsi="Consolas" w:eastAsia="PingFang SC"/>
        </w:rPr>
        <w:t xml:space="preserve">功能</w:t>
      </w:r>
      <w:r>
        <w:rPr>
          <w:color w:val="183691"/>
          <w:b/>
          <w:bCs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: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[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公式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表格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图片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脚注</w:t>
      </w:r>
      <w:r>
        <w:rPr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]</w:t>
      </w:r>
    </w:p>
    <w:p w14:paraId="00000028">
      <w:pPr>
        <w:rPr/>
        <w:pStyle w:val="SourceCode"/>
      </w:pPr>
      <w:r>
        <w:rPr>
          <w:rFonts w:ascii="Menlo" w:hAnsi="Consolas" w:eastAsia="PingFang SC"/>
        </w:rPr>
        <w:t xml:space="preserve">}</w:t>
      </w:r>
    </w:p>
    <w:p w14:paraId="00000029">
      <w:pPr>
        <w:rPr/>
        <w:pStyle w:val="Heading2"/>
      </w:pPr>
      <w:r>
        <w:rPr/>
        <w:t xml:space="preserve">表格</w:t>
      </w:r>
    </w:p>
    <w:p w14:paraId="0000002a">
      <w:pPr>
        <w:rPr/>
      </w:pPr>
      <w:r>
        <w:rPr/>
        <w:t xml:space="preserve">对齐表格（左对齐 / 居中 / 右对齐）：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2b">
            <w:pPr>
              <w:rPr/>
              <w:pStyle w:val="TableHeader"/>
              <w:jc w:val="left"/>
            </w:pPr>
            <w:r>
              <w:rPr/>
              <w:t xml:space="preserve">主题</w:t>
            </w:r>
          </w:p>
        </w:tc>
        <w:tc>
          <w:tcPr/>
          <w:p w14:paraId="0000002c">
            <w:pPr>
              <w:rPr/>
              <w:pStyle w:val="TableHeader"/>
              <w:jc w:val="center"/>
            </w:pPr>
            <w:r>
              <w:rPr/>
              <w:t xml:space="preserve">字体</w:t>
            </w:r>
          </w:p>
        </w:tc>
        <w:tc>
          <w:tcPr/>
          <w:p w14:paraId="0000002d">
            <w:pPr>
              <w:rPr/>
              <w:pStyle w:val="TableHeader"/>
              <w:jc w:val="right"/>
            </w:pPr>
            <w:r>
              <w:rPr/>
              <w:t xml:space="preserve">适用场景</w:t>
            </w:r>
          </w:p>
        </w:tc>
      </w:tr>
      <w:tr>
        <w:trPr/>
        <w:tc>
          <w:tcPr/>
          <w:p w14:paraId="0000002e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academic</w:t>
            </w:r>
          </w:p>
        </w:tc>
        <w:tc>
          <w:tcPr/>
          <w:p w14:paraId="0000002f">
            <w:pPr>
              <w:rPr/>
              <w:jc w:val="center"/>
            </w:pPr>
            <w:r>
              <w:rPr/>
              <w:t xml:space="preserve">Times New Roman 12pt</w:t>
            </w:r>
          </w:p>
        </w:tc>
        <w:tc>
          <w:tcPr/>
          <w:p w14:paraId="00000030">
            <w:pPr>
              <w:rPr/>
              <w:jc w:val="right"/>
            </w:pPr>
            <w:r>
              <w:rPr/>
              <w:t xml:space="preserve">英文学术论文</w:t>
            </w:r>
          </w:p>
        </w:tc>
      </w:tr>
      <w:tr>
        <w:trPr/>
        <w:tc>
          <w:tcPr/>
          <w:p w14:paraId="00000031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thesis-cn</w:t>
            </w:r>
          </w:p>
        </w:tc>
        <w:tc>
          <w:tcPr/>
          <w:p w14:paraId="00000032">
            <w:pPr>
              <w:rPr/>
              <w:jc w:val="center"/>
            </w:pPr>
            <w:r>
              <w:rPr/>
              <w:t xml:space="preserve">宋体 12pt + 黑体标题</w:t>
            </w:r>
          </w:p>
        </w:tc>
        <w:tc>
          <w:tcPr/>
          <w:p w14:paraId="00000033">
            <w:pPr>
              <w:rPr/>
              <w:jc w:val="right"/>
            </w:pPr>
            <w:r>
              <w:rPr/>
              <w:t xml:space="preserve">中文学位论文</w:t>
            </w:r>
          </w:p>
        </w:tc>
      </w:tr>
      <w:tr>
        <w:trPr/>
        <w:tc>
          <w:tcPr/>
          <w:p w14:paraId="00000034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report</w:t>
            </w:r>
          </w:p>
        </w:tc>
        <w:tc>
          <w:tcPr/>
          <w:p w14:paraId="00000035">
            <w:pPr>
              <w:rPr/>
              <w:jc w:val="center"/>
            </w:pPr>
            <w:r>
              <w:rPr/>
              <w:t xml:space="preserve">Calibri + 蓝色点缀</w:t>
            </w:r>
          </w:p>
        </w:tc>
        <w:tc>
          <w:tcPr/>
          <w:p w14:paraId="00000036">
            <w:pPr>
              <w:rPr/>
              <w:jc w:val="right"/>
            </w:pPr>
            <w:r>
              <w:rPr/>
              <w:t xml:space="preserve">商务报告、内部备忘</w:t>
            </w:r>
          </w:p>
        </w:tc>
      </w:tr>
    </w:tbl>
    <w:p w14:paraId="00000037">
      <w:pPr>
        <w:rPr/>
        <w:pStyle w:val="Heading2"/>
      </w:pPr>
      <w:r>
        <w:rPr/>
        <w:t xml:space="preserve">列表与任务</w:t>
      </w:r>
    </w:p>
    <w:p w14:paraId="00000038">
      <w:pPr>
        <w:rPr/>
      </w:pPr>
      <w:r>
        <w:rPr/>
        <w:t xml:space="preserve">带嵌套的无序列表：</w:t>
      </w:r>
    </w:p>
    <w:p w14:paraId="00000039">
      <w:pPr>
        <w:rPr/>
        <w:numPr>
          <w:numId w:val="1001"/>
          <w:ilvl w:val="0"/>
        </w:numPr>
      </w:pPr>
      <w:r>
        <w:rPr/>
        <w:t xml:space="preserve">命令行 (</w:t>
      </w:r>
      <w:r>
        <w:rPr>
          <w:rFonts w:ascii="Menlo" w:hAnsi="Consolas" w:eastAsia="PingFang SC"/>
          <w:rStyle w:val="InlineCode"/>
        </w:rPr>
        <w:t xml:space="preserve">scribe-cli</w:t>
      </w:r>
      <w:r>
        <w:rPr/>
        <w:t xml:space="preserve">)</w:t>
      </w:r>
    </w:p>
    <w:p w14:paraId="0000003a">
      <w:pPr>
        <w:rPr/>
        <w:numPr>
          <w:numId w:val="1002"/>
          <w:ilvl w:val="1"/>
        </w:numPr>
      </w:pPr>
      <w:r>
        <w:rPr/>
        <w:t xml:space="preserve">单文件转换</w:t>
      </w:r>
    </w:p>
    <w:p w14:paraId="0000003b">
      <w:pPr>
        <w:rPr/>
        <w:numPr>
          <w:numId w:val="1002"/>
          <w:ilvl w:val="1"/>
        </w:numPr>
      </w:pPr>
      <w:r>
        <w:rPr/>
        <w:t xml:space="preserve">Shell 循环批量转换</w:t>
      </w:r>
    </w:p>
    <w:p w14:paraId="0000003c">
      <w:pPr>
        <w:rPr/>
        <w:numPr>
          <w:numId w:val="1001"/>
          <w:ilvl w:val="0"/>
        </w:numPr>
      </w:pPr>
      <w:r>
        <w:rPr/>
        <w:t xml:space="preserve">Python 包 (</w:t>
      </w:r>
      <w:r>
        <w:rPr>
          <w:rFonts w:ascii="Menlo" w:hAnsi="Consolas" w:eastAsia="PingFang SC"/>
          <w:rStyle w:val="InlineCode"/>
        </w:rPr>
        <w:t xml:space="preserve">folio-docx</w:t>
      </w:r>
      <w:r>
        <w:rPr/>
        <w:t xml:space="preserve">)</w:t>
      </w:r>
    </w:p>
    <w:p w14:paraId="0000003d">
      <w:pPr>
        <w:rPr/>
        <w:numPr>
          <w:numId w:val="1003"/>
          <w:ilvl w:val="1"/>
        </w:numPr>
      </w:pPr>
      <w:r>
        <w:rPr>
          <w:rFonts w:ascii="Menlo" w:hAnsi="Consolas" w:eastAsia="PingFang SC"/>
          <w:rStyle w:val="InlineCode"/>
        </w:rPr>
        <w:t xml:space="preserve">folio.convert()</w:t>
      </w:r>
      <w:r>
        <w:rPr/>
        <w:t xml:space="preserve"> — 字符串转字节</w:t>
      </w:r>
    </w:p>
    <w:p w14:paraId="0000003e">
      <w:pPr>
        <w:rPr/>
        <w:numPr>
          <w:numId w:val="1003"/>
          <w:ilvl w:val="1"/>
        </w:numPr>
      </w:pPr>
      <w:r>
        <w:rPr>
          <w:rFonts w:ascii="Menlo" w:hAnsi="Consolas" w:eastAsia="PingFang SC"/>
          <w:rStyle w:val="InlineCode"/>
        </w:rPr>
        <w:t xml:space="preserve">folio.convert_file()</w:t>
      </w:r>
      <w:r>
        <w:rPr/>
        <w:t xml:space="preserve"> — 文件转文件</w:t>
      </w:r>
    </w:p>
    <w:p w14:paraId="0000003f">
      <w:pPr>
        <w:rPr/>
        <w:numPr>
          <w:numId w:val="1001"/>
          <w:ilvl w:val="0"/>
        </w:numPr>
      </w:pPr>
      <w:r>
        <w:rPr/>
        <w:t xml:space="preserve">桌面应用 (Tauri)</w:t>
      </w:r>
    </w:p>
    <w:p w14:paraId="00000040">
      <w:pPr>
        <w:rPr/>
      </w:pPr>
      <w:r>
        <w:rPr/>
        <w:t xml:space="preserve">有序列表：</w:t>
      </w:r>
    </w:p>
    <w:p w14:paraId="00000041">
      <w:pPr>
        <w:rPr/>
        <w:numPr>
          <w:numId w:val="1004"/>
          <w:ilvl w:val="0"/>
        </w:numPr>
      </w:pPr>
      <w:r>
        <w:rPr/>
        <w:t xml:space="preserve">写 Markdown</w:t>
      </w:r>
    </w:p>
    <w:p w14:paraId="00000042">
      <w:pPr>
        <w:rPr/>
        <w:numPr>
          <w:numId w:val="1004"/>
          <w:ilvl w:val="0"/>
        </w:numPr>
      </w:pPr>
      <w:r>
        <w:rPr/>
        <w:t xml:space="preserve">选主题或自带模板</w:t>
      </w:r>
    </w:p>
    <w:p w14:paraId="00000043">
      <w:pPr>
        <w:rPr/>
        <w:numPr>
          <w:numId w:val="1004"/>
          <w:ilvl w:val="0"/>
        </w:numPr>
      </w:pPr>
      <w:r>
        <w:rPr/>
        <w:t xml:space="preserve">导出 Word，</w:t>
      </w:r>
      <w:r>
        <w:rPr>
          <w:b/>
          <w:bCs/>
        </w:rPr>
        <w:t xml:space="preserve">不再调整样式</w:t>
      </w:r>
    </w:p>
    <w:p w14:paraId="00000044">
      <w:pPr>
        <w:rPr/>
      </w:pPr>
      <w:r>
        <w:rPr/>
        <w:t xml:space="preserve">任务列表：</w:t>
      </w:r>
    </w:p>
    <w:p w14:paraId="00000045">
      <w:pPr>
        <w:rPr/>
        <w:numPr>
          <w:numId w:val="1005"/>
          <w:ilvl w:val="0"/>
        </w:numPr>
      </w:pPr>
      <w:r>
        <w:rPr/>
        <w:t xml:space="preserve">☑ </w:t>
      </w:r>
      <w:r>
        <w:rPr/>
        <w:t xml:space="preserve">Markdown → Word 原生结构</w:t>
      </w:r>
    </w:p>
    <w:p w14:paraId="00000046">
      <w:pPr>
        <w:rPr/>
        <w:numPr>
          <w:numId w:val="1005"/>
          <w:ilvl w:val="0"/>
        </w:numPr>
      </w:pPr>
      <w:r>
        <w:rPr/>
        <w:t xml:space="preserve">☑ </w:t>
      </w:r>
      <w:r>
        <w:rPr/>
        <w:t xml:space="preserve">内置主题</w:t>
      </w:r>
    </w:p>
    <w:p w14:paraId="00000047">
      <w:pPr>
        <w:rPr/>
        <w:numPr>
          <w:numId w:val="1005"/>
          <w:ilvl w:val="0"/>
        </w:numPr>
      </w:pPr>
      <w:r>
        <w:rPr/>
        <w:t xml:space="preserve">☑ </w:t>
      </w:r>
      <w:r>
        <w:rPr/>
        <w:t xml:space="preserve">reference-doc 继承样式 + 页面设置</w:t>
      </w:r>
    </w:p>
    <w:p w14:paraId="00000048">
      <w:pPr>
        <w:rPr/>
        <w:numPr>
          <w:numId w:val="1005"/>
          <w:ilvl w:val="0"/>
        </w:numPr>
      </w:pPr>
      <w:r>
        <w:rPr/>
        <w:t xml:space="preserve">☐ </w:t>
      </w:r>
      <w:r>
        <w:rPr/>
        <w:t xml:space="preserve">自定义主题脚手架（计划中）</w:t>
      </w:r>
    </w:p>
    <w:p w14:paraId="00000049">
      <w:pPr>
        <w:rPr/>
        <w:pStyle w:val="Heading2"/>
      </w:pPr>
      <w:r>
        <w:rPr/>
        <w:t xml:space="preserve">图片</w:t>
      </w:r>
    </w:p>
    <w:p w14:paraId="0000004a">
      <w:pPr>
        <w:rPr/>
      </w:pPr>
      <w:r>
        <w:rPr/>
        <w:t xml:space="preserve">应用图标（PNG 光栅图）：</w:t>
      </w:r>
    </w:p>
    <w:p w14:paraId="0000004b">
      <w:pPr>
        <w:rPr/>
      </w:pPr>
      <w:r>
        <w:rPr/>
        <w:drawing>
          <wp:inline distT="0" distB="0" distL="0" distR="0">
            <wp:extent cx="5600000" cy="560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4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5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c">
      <w:pPr>
        <w:rPr/>
      </w:pPr>
      <w:r>
        <w:rPr/>
        <w:t xml:space="preserve">宽横幅（SVG，自动缩放至页宽）：</w:t>
      </w:r>
    </w:p>
    <w:p w14:paraId="0000004d">
      <w:pPr>
        <w:rPr/>
      </w:pPr>
      <w:r>
        <w:rPr/>
        <w:drawing>
          <wp:inline distT="0" distB="0" distL="0" distR="0">
            <wp:extent cx="5600000" cy="126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5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e">
      <w:pPr>
        <w:rPr/>
      </w:pPr>
      <w:r>
        <w:rPr/>
        <w:t xml:space="preserve">布局示意图（SVG）：</w:t>
      </w:r>
    </w:p>
    <w:p w14:paraId="0000004f">
      <w:pPr>
        <w:rPr/>
      </w:pPr>
      <w:r>
        <w:rPr/>
        <w:drawing>
          <wp:inline distT="0" distB="0" distL="0" distR="0">
            <wp:extent cx="5600000" cy="336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6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3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0">
      <w:pPr>
        <w:rPr/>
        <w:pStyle w:val="Heading2"/>
      </w:pPr>
      <w:r>
        <w:rPr/>
        <w:t xml:space="preserve">引用与脚注</w:t>
      </w:r>
    </w:p>
    <w:p w14:paraId="00000051">
      <w:pPr>
        <w:rPr/>
        <w:pStyle w:val="Quote"/>
      </w:pPr>
      <w:r>
        <w:rPr/>
        <w:t xml:space="preserve">“</w:t>
      </w:r>
      <w:r>
        <w:rPr/>
        <w:t xml:space="preserve">Markdown to polished </w:t>
      </w:r>
      <w:r>
        <w:rPr>
          <w:rFonts w:ascii="Menlo" w:hAnsi="Consolas" w:eastAsia="PingFang SC"/>
          <w:rStyle w:val="InlineCode"/>
        </w:rPr>
        <w:t xml:space="preserve">.docx</w:t>
      </w:r>
      <w:r>
        <w:rPr/>
        <w:t xml:space="preserve"> output, without the cleanup pass.</w:t>
      </w:r>
      <w:r>
        <w:rPr/>
        <w:t xml:space="preserve">”</w:t>
      </w:r>
    </w:p>
    <w:p w14:paraId="00000052">
      <w:pPr>
        <w:rPr/>
        <w:pStyle w:val="Quote"/>
      </w:pPr>
      <w:r>
        <w:rPr/>
        <w:t xml:space="preserve">—— Folio 项目主页</w:t>
      </w:r>
    </w:p>
    <w:p w14:paraId="00000053">
      <w:pPr>
        <w:rPr/>
      </w:pPr>
      <w:r>
        <w:rPr/>
        <w:t xml:space="preserve">行内文字带脚注</w:t>
      </w:r>
      <w:r>
        <w:rPr>
          <w:rStyle w:val="FootnoteReference"/>
        </w:rPr>
        <w:footnoteReference w:id="2"/>
      </w:r>
      <w:r>
        <w:rPr/>
        <w:t xml:space="preserve">，可以在文档底部展开。</w:t>
      </w:r>
    </w:p>
    <w:p w14:paraId="00000055">
      <w:pPr>
        <w:rPr/>
        <w:pStyle w:val="Heading2"/>
      </w:pPr>
      <w:r>
        <w:rPr/>
        <w:t xml:space="preserve">分隔线</w:t>
      </w:r>
    </w:p>
    <w:p w14:paraId="00000056">
      <w:pPr>
        <w:rPr/>
      </w:pPr>
      <w:r>
        <w:rPr/>
        <w:t xml:space="preserve">下面是分隔线（</w:t>
      </w:r>
      <w:r>
        <w:rPr>
          <w:rFonts w:ascii="Menlo" w:hAnsi="Consolas" w:eastAsia="PingFang SC"/>
          <w:rStyle w:val="InlineCode"/>
        </w:rPr>
        <w:t xml:space="preserve">---</w:t>
      </w:r>
      <w:r>
        <w:rPr/>
        <w:t xml:space="preserve">）：</w:t>
      </w:r>
    </w:p>
    <w:p w14:paraId="00000057">
      <w:pPr>
        <w:rPr/>
        <w:pStyle w:val="HorizontalRule"/>
      </w:pPr>
    </w:p>
    <w:p w14:paraId="00000058">
      <w:pPr>
        <w:rPr/>
      </w:pPr>
      <w:r>
        <w:rPr/>
        <w:t xml:space="preserve">至此演示结束。运行下面的命令体验：</w:t>
      </w:r>
    </w:p>
    <w:p w14:paraId="00000059">
      <w:pPr>
        <w:rPr/>
        <w:pStyle w:val="SourceCode"/>
      </w:pPr>
      <w:r>
        <w:rPr>
          <w:rFonts w:ascii="Menlo" w:hAnsi="Consolas" w:eastAsia="PingFang SC"/>
        </w:rPr>
        <w:t xml:space="preserve">scribe-cli</w:t>
      </w:r>
      <w:r>
        <w:rPr>
          <w:rFonts w:ascii="Menlo" w:hAnsi="Consolas" w:eastAsia="PingFang SC"/>
        </w:rPr>
        <w:t xml:space="preserve"> demo-cn.md</w:t>
      </w:r>
      <w:r>
        <w:rPr>
          <w:rFonts w:ascii="Menlo" w:hAnsi="Consolas" w:eastAsia="PingFang SC"/>
        </w:rPr>
        <w:t xml:space="preserve"> -</w:t>
      </w:r>
      <w:r>
        <w:rPr>
          <w:rFonts w:ascii="Menlo" w:hAnsi="Consolas" w:eastAsia="PingFang SC"/>
        </w:rPr>
        <w:t xml:space="preserve">o</w:t>
      </w:r>
      <w:r>
        <w:rPr>
          <w:rFonts w:ascii="Menlo" w:hAnsi="Consolas" w:eastAsia="PingFang SC"/>
        </w:rPr>
        <w:t xml:space="preserve"> demo-cn.docx</w:t>
      </w:r>
      <w:r>
        <w:rPr>
          <w:rFonts w:ascii="Menlo" w:hAnsi="Consolas" w:eastAsia="PingFang SC"/>
        </w:rPr>
        <w:t xml:space="preserve"> --</w:t>
      </w:r>
      <w:r>
        <w:rPr>
          <w:rFonts w:ascii="Menlo" w:hAnsi="Consolas" w:eastAsia="PingFang SC"/>
        </w:rPr>
        <w:t xml:space="preserve">theme</w:t>
      </w:r>
      <w:r>
        <w:rPr>
          <w:rFonts w:ascii="Menlo" w:hAnsi="Consolas" w:eastAsia="PingFang SC"/>
        </w:rPr>
        <w:t xml:space="preserve"> thesis-cn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id="2">
    <w:p w14:paraId="00000054">
      <w:pPr>
        <w:rPr/>
      </w:pPr>
      <w:r>
        <w:rPr/>
        <w:t xml:space="preserve">脚注会被转换成 Word 原生 footnote，不是页内链接，复制到其他 Word 文档中依然有效。</w:t>
      </w:r>
    </w:p>
  </w:footnote>
</w:footnotes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abstractNum w:abstractNumId="101">
    <w:lvl w:ilvl="0">
      <w:start w:val="1"/>
      <w:numFmt w:val="bullet"/>
      <w:lvlText w:val="•"/>
      <w:lvlJc w:val="left"/>
      <w:pPr>
        <w:rPr/>
        <w:ind w:left="720" w:right="0"/>
      </w:pPr>
      <w:rPr/>
    </w:lvl>
    <w:lvl w:ilvl="1">
      <w:start w:val="1"/>
      <w:numFmt w:val="bullet"/>
      <w:lvlText w:val="◦"/>
      <w:lvlJc w:val="left"/>
      <w:pPr>
        <w:rPr/>
        <w:ind w:left="1440" w:right="0"/>
      </w:pPr>
      <w:rPr/>
    </w:lvl>
    <w:lvl w:ilvl="2">
      <w:start w:val="1"/>
      <w:numFmt w:val="bullet"/>
      <w:lvlText w:val="▪"/>
      <w:lvlJc w:val="left"/>
      <w:pPr>
        <w:rPr/>
        <w:ind w:left="2160" w:right="0"/>
      </w:pPr>
      <w:rPr/>
    </w:lvl>
  </w:abstractNum>
  <w:abstractNum w:abstractNumId="102">
    <w:lvl w:ilvl="0">
      <w:start w:val="1"/>
      <w:numFmt w:val="decimal"/>
      <w:lvlText w:val="%1."/>
      <w:lvlJc w:val="left"/>
      <w:pPr>
        <w:rPr/>
        <w:ind w:left="720" w:right="0" w:hanging="360"/>
      </w:pPr>
      <w:rPr/>
    </w:lvl>
    <w:lvl w:ilvl="1">
      <w:start w:val="1"/>
      <w:numFmt w:val="lowerLetter"/>
      <w:lvlText w:val="%2."/>
      <w:lvlJc w:val="left"/>
      <w:pPr>
        <w:rPr/>
        <w:ind w:left="1440" w:right="0" w:hanging="360"/>
      </w:pPr>
      <w:rPr/>
    </w:lvl>
    <w:lvl w:ilvl="2">
      <w:start w:val="1"/>
      <w:numFmt w:val="lowerRoman"/>
      <w:lvlText w:val="%3."/>
      <w:lvlJc w:val="left"/>
      <w:pPr>
        <w:rPr/>
        <w:ind w:left="2160" w:right="0" w:hanging="360"/>
      </w:pPr>
      <w:rPr/>
    </w:lvl>
  </w:abstractNum>
  <w:num w:numId="1">
    <w:abstractNumId w:val="1"/>
  </w:num>
  <w:num w:numId="1001">
    <w:abstractNumId w:val="101"/>
  </w:num>
  <w:num w:numId="1002">
    <w:abstractNumId w:val="101"/>
  </w:num>
  <w:num w:numId="1003">
    <w:abstractNumId w:val="101"/>
  </w:num>
  <w:num w:numId="1004">
    <w:abstractNumId w:val="102"/>
  </w:num>
  <w:num w:numId="1005">
    <w:abstractNumId w:val="10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!--
    Folio "thesis-cn" theme — 中文学术论文标准风格.
    宋体正文 + 黑体标题 + 首行缩进 2 字符 + 1.5 倍行距.
    设计目标：开箱即满足国内本科 / 硕士 / 博士论文常见格式要求的最大公约数,
    个别学校的细节（封面、章节分隔、目录页码）请在 Word 中再行调整.
  -->
  <w:docDefaults>
    <w:rPrDefault>
      <w:rPr>
        <w:rFonts w:ascii="Times New Roman" w:hAnsi="Times New Roman" w:cs="Times New Roman" w:eastAsia="宋体"/>
        <w:sz w:val="24"/>
        <w:szCs w:val="24"/>
        <w:lang w:val="en-US" w:eastAsia="zh-CN"/>
      </w:rPr>
    </w:rPrDefault>
    <w:pPrDefault>
      <w:pPr>
        <w:spacing w:line="360" w:lineRule="auto" w:after="0"/>
        <w:ind w:firstLineChars="200" w:firstLine="480"/>
      </w:pPr>
    </w:pPrDefault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480" w:after="240" w:line="360" w:lineRule="auto"/>
      <w:ind w:firstLineChars="0" w:firstLine="0"/>
      <w:jc w:val="center"/>
      <w:outlineLvl w:val="0"/>
    </w:pPr>
    <w:rPr>
      <w:rFonts w:ascii="Arial" w:hAnsi="Arial" w:eastAsia="黑体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60" w:after="180" w:line="360" w:lineRule="auto"/>
      <w:ind w:firstLineChars="0" w:firstLine="0"/>
      <w:outlineLvl w:val="1"/>
    </w:pPr>
    <w:rPr>
      <w:rFonts w:ascii="Arial" w:hAnsi="Arial" w:eastAsia="黑体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40" w:after="120" w:line="360" w:lineRule="auto"/>
      <w:ind w:firstLineChars="0" w:firstLine="0"/>
      <w:outlineLvl w:val="2"/>
    </w:pPr>
    <w:rPr>
      <w:rFonts w:ascii="Arial" w:hAnsi="Arial" w:eastAsia="黑体"/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00" w:after="100" w:line="360" w:lineRule="auto"/>
      <w:ind w:firstLineChars="0" w:firstLine="0"/>
      <w:outlineLvl w:val="3"/>
    </w:pPr>
    <w:rPr>
      <w:rFonts w:ascii="Arial" w:hAnsi="Arial" w:eastAsia="黑体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160" w:after="80" w:line="360" w:lineRule="auto"/>
      <w:ind w:firstLineChars="0" w:firstLine="0"/>
      <w:outlineLvl w:val="4"/>
    </w:pPr>
    <w:rPr>
      <w:rFonts w:ascii="Arial" w:hAnsi="Arial" w:eastAsia="黑体"/>
      <w:b/>
      <w:bCs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160" w:after="80" w:line="360" w:lineRule="auto"/>
      <w:ind w:firstLineChars="0" w:firstLine="0"/>
      <w:outlineLvl w:val="5"/>
    </w:pPr>
    <w:rPr>
      <w:rFonts w:ascii="Arial" w:hAnsi="Arial" w:eastAsia="黑体"/>
      <w:b/>
      <w:bCs/>
      <w:i/>
      <w:iCs/>
      <w:sz w:val="24"/>
      <w:szCs w:val="24"/>
    </w:rPr>
  </w:style>
  <w:style w:type="paragraph" w:styleId="Quote">
    <w:name w:val="Quote"/>
    <w:basedOn w:val="Normal"/>
    <w:next w:val="Normal"/>
    <w:pPr>
      <w:ind w:left="640" w:right="640" w:firstLineChars="0" w:firstLine="0"/>
      <w:spacing w:before="120" w:after="120"/>
    </w:pPr>
    <w:rPr>
      <w:rFonts w:eastAsia="楷体"/>
      <w:i/>
      <w:iCs/>
    </w:rPr>
  </w:style>
  <w:style w:type="paragraph" w:styleId="SourceCode">
    <w:name w:val="Source Code"/>
    <w:basedOn w:val="Normal"/>
    <w:next w:val="SourceCode"/>
    <w:pPr>
      <w:spacing w:line="276" w:lineRule="auto" w:before="60" w:after="60"/>
      <w:ind w:left="240" w:firstLineChars="0" w:firstLine="0"/>
      <w:shd w:val="clear" w:color="auto" w:fill="F4F4F4"/>
    </w:pPr>
    <w:rPr>
      <w:rFonts w:ascii="Consolas" w:hAnsi="Consolas" w:cs="Consolas" w:eastAsia="PingFang SC"/>
      <w:sz w:val="20"/>
      <w:szCs w:val="20"/>
    </w:rPr>
  </w:style>
  <w:style w:type="character" w:styleId="InlineCode">
    <w:name w:val="Inline Code"/>
    <w:rPr>
      <w:rFonts w:ascii="Consolas" w:hAnsi="Consolas" w:cs="Consolas" w:eastAsia="PingFang SC"/>
      <w:sz w:val="20"/>
      <w:szCs w:val="20"/>
      <w:shd w:val="clear" w:color="auto" w:fill="F0F0F0"/>
    </w:rPr>
  </w:style>
  <w:style w:type="paragraph" w:styleId="TableHeader">
    <w:name w:val="Table Header"/>
    <w:basedOn w:val="Normal"/>
    <w:next w:val="Normal"/>
    <w:pPr>
      <w:ind w:firstLineChars="0" w:firstLine="0"/>
      <w:jc w:val="center"/>
    </w:pPr>
    <w:rPr>
      <w:rFonts w:eastAsia="黑体"/>
      <w:b/>
      <w:bCs/>
    </w:rPr>
  </w:style>
  <w:style w:type="paragraph" w:styleId="HorizontalRule">
    <w:name w:val="Horizontal Rule"/>
    <w:basedOn w:val="Normal"/>
    <w:next w:val="Normal"/>
    <w:pPr>
      <w:ind w:firstLineChars="0" w:firstLine="0"/>
      <w:pBdr>
        <w:top w:val="single" w:sz="6" w:space="1" w:color="999999"/>
      </w:pBdr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Image4" Type="http://schemas.openxmlformats.org/officeDocument/2006/relationships/image" Target="media/rIdImage4.png" /><Relationship Id="rIdImage5" Type="http://schemas.openxmlformats.org/officeDocument/2006/relationships/image" Target="media/rIdImage5.png" /><Relationship Id="rIdImage6" Type="http://schemas.openxmlformats.org/officeDocument/2006/relationships/image" Target="media/rIdImage6.png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