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two paragraphs show the visual difference between H2 and H3.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2"/>
      </w:pPr>
      <w:r>
        <w:rPr/>
        <w:t xml:space="preserve">Equations</w:t>
      </w:r>
    </w:p>
    <w:p w14:paraId="00000008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9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0b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0d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0f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1">
      <w:pPr>
        <w:rPr/>
        <w:pStyle w:val="Heading2"/>
      </w:pPr>
      <w:r>
        <w:rPr/>
        <w:t xml:space="preserve">Code blocks</w:t>
      </w:r>
    </w:p>
    <w:p w14:paraId="00000012">
      <w:pPr>
        <w:rPr/>
      </w:pPr>
      <w:r>
        <w:rPr/>
        <w:t xml:space="preserve">Rust with syntax highlighting:</w:t>
      </w:r>
    </w:p>
    <w:p w14:paraId="00000013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4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5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6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7">
      <w:pPr>
        <w:rPr/>
      </w:pPr>
      <w:r>
        <w:rPr/>
        <w:t xml:space="preserve">Python example:</w:t>
      </w:r>
    </w:p>
    <w:p w14:paraId="00000018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9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1b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1d">
      <w:pPr>
        <w:rPr/>
        <w:pStyle w:val="Heading2"/>
      </w:pPr>
      <w:r>
        <w:rPr/>
        <w:t xml:space="preserve">Tables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e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1f">
            <w:pPr>
              <w:rPr/>
              <w:pStyle w:val="TableHeader"/>
              <w:jc w:val="left"/>
            </w:pPr>
            <w:r>
              <w:rPr/>
              <w:t xml:space="preserve">Font</w:t>
            </w:r>
          </w:p>
        </w:tc>
        <w:tc>
          <w:tcPr/>
          <w:p w14:paraId="00000020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2">
            <w:pPr>
              <w:rPr/>
              <w:jc w:val="left"/>
            </w:pPr>
            <w:r>
              <w:rPr/>
              <w:t xml:space="preserve">Times New Roman 12pt</w:t>
            </w:r>
          </w:p>
        </w:tc>
        <w:tc>
          <w:tcPr/>
          <w:p w14:paraId="00000023">
            <w:pPr>
              <w:rPr/>
              <w:jc w:val="lef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2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25">
            <w:pPr>
              <w:rPr/>
              <w:jc w:val="left"/>
            </w:pPr>
            <w:r>
              <w:rPr/>
              <w:t xml:space="preserve">SimSun + SimHei headings</w:t>
            </w:r>
          </w:p>
        </w:tc>
        <w:tc>
          <w:tcPr/>
          <w:p w14:paraId="00000026">
            <w:pPr>
              <w:rPr/>
              <w:jc w:val="lef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27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28">
            <w:pPr>
              <w:rPr/>
              <w:jc w:val="left"/>
            </w:pPr>
            <w:r>
              <w:rPr/>
              <w:t xml:space="preserve">Calibri with blue accents</w:t>
            </w:r>
          </w:p>
        </w:tc>
        <w:tc>
          <w:tcPr/>
          <w:p w14:paraId="00000029">
            <w:pPr>
              <w:rPr/>
              <w:jc w:val="left"/>
            </w:pPr>
            <w:r>
              <w:rPr/>
              <w:t xml:space="preserve">Business memos, status updates</w:t>
            </w:r>
          </w:p>
        </w:tc>
      </w:tr>
    </w:tbl>
    <w:p w14:paraId="0000002a">
      <w:pPr>
        <w:rPr/>
        <w:pStyle w:val="Heading2"/>
      </w:pPr>
      <w:r>
        <w:rPr/>
        <w:t xml:space="preserve">Lists and tasks</w:t>
      </w:r>
    </w:p>
    <w:p w14:paraId="0000002b">
      <w:pPr>
        <w:rPr/>
      </w:pPr>
      <w:r>
        <w:rPr/>
        <w:t xml:space="preserve">Unordered list:</w:t>
      </w:r>
    </w:p>
    <w:p w14:paraId="0000002c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2d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2e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2f">
      <w:pPr>
        <w:rPr/>
      </w:pPr>
      <w:r>
        <w:rPr/>
        <w:t xml:space="preserve">Ordered list:</w:t>
      </w:r>
    </w:p>
    <w:p w14:paraId="00000030">
      <w:pPr>
        <w:rPr/>
        <w:numPr>
          <w:numId w:val="1002"/>
          <w:ilvl w:val="0"/>
        </w:numPr>
      </w:pPr>
      <w:r>
        <w:rPr/>
        <w:t xml:space="preserve">Write Markdown</w:t>
      </w:r>
    </w:p>
    <w:p w14:paraId="00000031">
      <w:pPr>
        <w:rPr/>
        <w:numPr>
          <w:numId w:val="1002"/>
          <w:ilvl w:val="0"/>
        </w:numPr>
      </w:pPr>
      <w:r>
        <w:rPr/>
        <w:t xml:space="preserve">Pick a theme or supply a reference doc</w:t>
      </w:r>
    </w:p>
    <w:p w14:paraId="00000032">
      <w:pPr>
        <w:rPr/>
        <w:numPr>
          <w:numId w:val="1002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33">
      <w:pPr>
        <w:rPr/>
      </w:pPr>
      <w:r>
        <w:rPr/>
        <w:t xml:space="preserve">Task list:</w:t>
      </w:r>
    </w:p>
    <w:p w14:paraId="00000034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35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36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37">
      <w:pPr>
        <w:rPr/>
        <w:numPr>
          <w:numId w:val="1003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38">
      <w:pPr>
        <w:rPr/>
        <w:pStyle w:val="Heading2"/>
      </w:pPr>
      <w:r>
        <w:rPr/>
        <w:t xml:space="preserve">Quotes and footnotes</w:t>
      </w:r>
    </w:p>
    <w:p w14:paraId="00000039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3a">
      <w:pPr>
        <w:rPr/>
        <w:pStyle w:val="Quote"/>
      </w:pPr>
      <w:r>
        <w:rPr/>
        <w:t xml:space="preserve">— Folio project page</w:t>
      </w:r>
    </w:p>
    <w:p w14:paraId="0000003b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2"/>
      </w:r>
      <w:r>
        <w:rPr/>
        <w:t xml:space="preserve">, expanded at the document end.</w:t>
      </w:r>
    </w:p>
    <w:p w14:paraId="0000003d">
      <w:pPr>
        <w:rPr/>
        <w:pStyle w:val="Heading2"/>
      </w:pPr>
      <w:r>
        <w:rPr/>
        <w:t xml:space="preserve">Inline formatting</w:t>
      </w:r>
    </w:p>
    <w:p w14:paraId="0000003e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3f">
      <w:pPr>
        <w:rPr/>
      </w:pPr>
      <w:r>
        <w:rPr/>
        <w:t xml:space="preserve">Mixed scripts work cleanly: research suggests </w:t>
      </w:r>
      <w:r>
        <w:rPr>
          <w:b/>
          <w:bCs/>
        </w:rPr>
        <w:t xml:space="preserve">Markdown to Word</w:t>
      </w:r>
      <w:r>
        <w:rPr/>
        <w:t xml:space="preserve"> receives over 10,000 monthly searches on GitHub,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40">
      <w:pPr>
        <w:rPr/>
        <w:pStyle w:val="Heading2"/>
      </w:pPr>
      <w:r>
        <w:rPr/>
        <w:t xml:space="preserve">Horizontal rule</w:t>
      </w:r>
    </w:p>
    <w:p w14:paraId="00000041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42">
      <w:pPr>
        <w:rPr/>
        <w:pStyle w:val="HorizontalRule"/>
      </w:pPr>
    </w:p>
    <w:p w14:paraId="00000043">
      <w:pPr>
        <w:rPr/>
      </w:pPr>
      <w:r>
        <w:rPr/>
        <w:t xml:space="preserve">End of demo. Try it:</w:t>
      </w:r>
    </w:p>
    <w:p w14:paraId="00000044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 w:rsidR="00586A35" w:rsidRPr="00586A35" w:rsidSect="00586A35">
      <w:endnotePr>
        <w:numFmt w:val="decimal"/>
      </w:endnotePr>
      <w:type w:val="continuous"/>
      <w:pgSz w:w="12240" w:h="15840" w:code="9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2">
    <w:p w14:paraId="0000003c">
      <w:pPr>
        <w:rPr/>
      </w:pPr>
      <w:r>
        <w:rPr/>
        <w:t xml:space="preserve">Footnotes become native Word footnotes, not in-page links.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2"/>
  </w:num>
  <w:num w:numId="1003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586A35"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2">
    <w:name w:val="Head2"/>
    <w:autoRedefine/>
    <w:qFormat/>
    <w:rsid w:val="00586A35"/>
    <w:pPr>
      <w:spacing w:before="180" w:after="80"/>
      <w:ind w:left="400" w:hanging="40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586A35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86A35"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DefaultParagraphFont"/>
    <w:link w:val="AbsHead"/>
    <w:rsid w:val="00586A35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586A35"/>
    <w:pPr>
      <w:spacing w:line="264" w:lineRule="auto"/>
      <w:ind w:firstLine="24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586A35"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  <w:pPr>
      <w:ind w:firstLine="0"/>
    </w:pPr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 w:firstLine="0"/>
      <w:jc w:val="both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 w:firstLine="0"/>
      <w:jc w:val="both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