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Comprehensive Regression Fixture</w:t>
      </w:r>
    </w:p>
    <w:p w14:paraId="00000002">
      <w:pPr>
        <w:rPr/>
      </w:pPr>
      <w:r>
        <w:rPr/>
        <w:t xml:space="preserve">This fixture exercises the current Folio feature set in one document. It mixes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</w:t>
      </w:r>
      <w:r>
        <w:rPr/>
        <w:t xml:space="preserve">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/>
          <w:rStyle w:val="InlineCode"/>
        </w:rPr>
        <w:t xml:space="preserve">inline code</w:t>
      </w:r>
      <w:r>
        <w:rPr/>
        <w:t xml:space="preserve">, and a </w:t>
      </w:r>
      <w:r>
        <w:rPr>
          <w:color w:val="0563C1"/>
          <w:u w:val="single"/>
        </w:rPr>
        <w:t xml:space="preserve">hyperlink</w:t>
      </w:r>
      <w:r>
        <w:rPr/>
        <w:t xml:space="preserve">.</w:t>
      </w:r>
      <w:r>
        <w:rPr/>
        <w:t xml:space="preserve"> </w:t>
      </w:r>
      <w:r>
        <w:rPr/>
        <w:t xml:space="preserve">This sentence ends with a forced line break.</w:t>
      </w:r>
      <w:r>
        <w:rPr/>
        <w:br w:type="textWrapping"/>
      </w:r>
      <w:r>
        <w:rPr/>
        <w:t xml:space="preserve">The next sentence should appear on a new line inside the same paragraph.</w:t>
      </w:r>
    </w:p>
    <w:p w14:paraId="00000003">
      <w:pPr>
        <w:rPr/>
        <w:pStyle w:val="Heading2"/>
      </w:pPr>
      <w:r>
        <w:rPr/>
        <w:t xml:space="preserve">Headings And Paragraph Flow</w:t>
      </w:r>
    </w:p>
    <w:p w14:paraId="00000004">
      <w:pPr>
        <w:rPr/>
        <w:pStyle w:val="Heading3"/>
      </w:pPr>
      <w:r>
        <w:rPr/>
        <w:t xml:space="preserve">Level 3 Heading</w:t>
      </w:r>
    </w:p>
    <w:p w14:paraId="00000005">
      <w:pPr>
        <w:rPr/>
      </w:pPr>
      <w:r>
        <w:rPr/>
        <w:t xml:space="preserve">Regular paragraphs should remain readable across longer lines of text. This block also includes</w:t>
      </w:r>
      <w:r>
        <w:rPr/>
        <w:t xml:space="preserve"> </w:t>
      </w:r>
      <w:r>
        <w:rPr/>
        <w:t xml:space="preserve">inline math such as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, </w:t>
      </w:r>
      <m:oMath xmlns:m="http://schemas.openxmlformats.org/officeDocument/2006/math">
        <m:r>
          <m:rPr>
            <m:sty m:val="i"/>
          </m:rPr>
          <m:t>p</m:t>
        </m:r>
        <m:r>
          <m:rPr>
            <m:sty m:val="p"/>
          </m:rPr>
          <m:t>=</m:t>
        </m:r>
        <m:r>
          <m:rPr>
            <m:sty m:val="i"/>
          </m:rPr>
          <m:t>m</m:t>
        </m:r>
        <m:r>
          <m:rPr>
            <m:sty m:val="i"/>
          </m:rPr>
          <m:t>v</m:t>
        </m:r>
      </m:oMath>
      <w:r>
        <w:rPr/>
        <w:t xml:space="preserve">, and </w:t>
      </w:r>
      <m:oMath xmlns:m="http://schemas.openxmlformats.org/officeDocument/2006/math"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i"/>
          </m:rPr>
          <m:t>m</m:t>
        </m:r>
        <m:sSup>
          <m:e>
            <m:r>
              <m:rPr>
                <m:sty m:val="i"/>
              </m:rPr>
              <m:t>v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06">
      <w:pPr>
        <w:rPr/>
        <w:pStyle w:val="Heading4"/>
      </w:pPr>
      <w:r>
        <w:rPr/>
        <w:t xml:space="preserve">Level 4 Heading</w:t>
      </w:r>
    </w:p>
    <w:p w14:paraId="00000007">
      <w:pPr>
        <w:rPr/>
      </w:pPr>
      <w:r>
        <w:rPr/>
        <w:t xml:space="preserve">Folio should preserve paragraph spacing, inline styling, and Unicode text such as 中文测试, 日本語, and</w:t>
      </w:r>
      <w:r>
        <w:rPr/>
        <w:t xml:space="preserve"> </w:t>
      </w:r>
      <w:r>
        <w:rPr/>
        <w:t xml:space="preserve">symbols like </w:t>
      </w:r>
      <w:r>
        <w:rPr/>
        <w:t xml:space="preserve">&lt;</w:t>
      </w:r>
      <w:r>
        <w:rPr/>
        <w:t xml:space="preserve">=, &gt;=, and +/- when written directly in Markdown.</w:t>
      </w:r>
    </w:p>
    <w:p w14:paraId="00000008">
      <w:pPr>
        <w:rPr/>
        <w:pStyle w:val="Heading2"/>
      </w:pPr>
      <w:r>
        <w:rPr/>
        <w:t xml:space="preserve">Lists</w:t>
      </w:r>
    </w:p>
    <w:p w14:paraId="00000009">
      <w:pPr>
        <w:rPr/>
      </w:pPr>
      <w:r>
        <w:rPr/>
        <w:t xml:space="preserve">Unordered list:</w:t>
      </w:r>
    </w:p>
    <w:p w14:paraId="0000000a">
      <w:pPr>
        <w:rPr/>
        <w:numPr>
          <w:numId w:val="1001"/>
          <w:ilvl w:val="0"/>
        </w:numPr>
      </w:pPr>
      <w:r>
        <w:rPr/>
        <w:t xml:space="preserve">apples</w:t>
      </w:r>
    </w:p>
    <w:p w14:paraId="0000000b">
      <w:pPr>
        <w:rPr/>
        <w:numPr>
          <w:numId w:val="1001"/>
          <w:ilvl w:val="0"/>
        </w:numPr>
      </w:pPr>
      <w:r>
        <w:rPr/>
        <w:t xml:space="preserve">bananas</w:t>
      </w:r>
    </w:p>
    <w:p w14:paraId="0000000c">
      <w:pPr>
        <w:rPr/>
        <w:numPr>
          <w:numId w:val="1001"/>
          <w:ilvl w:val="0"/>
        </w:numPr>
      </w:pPr>
      <w:r>
        <w:rPr/>
        <w:t xml:space="preserve">cherries</w:t>
      </w:r>
    </w:p>
    <w:p w14:paraId="0000000d">
      <w:pPr>
        <w:rPr/>
        <w:numPr>
          <w:numId w:val="101"/>
          <w:ilvl w:val="1"/>
        </w:numPr>
      </w:pPr>
      <w:r>
        <w:rPr/>
        <w:t xml:space="preserve">nested bullet alpha</w:t>
      </w:r>
    </w:p>
    <w:p w14:paraId="0000000e">
      <w:pPr>
        <w:rPr/>
        <w:numPr>
          <w:numId w:val="101"/>
          <w:ilvl w:val="1"/>
        </w:numPr>
      </w:pPr>
      <w:r>
        <w:rPr/>
        <w:t xml:space="preserve">nested bullet beta with </w:t>
      </w:r>
      <w:r>
        <w:rPr>
          <w:rFonts w:ascii="Menlo" w:hAnsi="Consolas"/>
          <w:rStyle w:val="InlineCode"/>
        </w:rPr>
        <w:t xml:space="preserve">code</w:t>
      </w:r>
    </w:p>
    <w:p w14:paraId="0000000f">
      <w:pPr>
        <w:rPr/>
      </w:pPr>
      <w:r>
        <w:rPr/>
        <w:t xml:space="preserve">Ordered list starting at 3:</w:t>
      </w:r>
    </w:p>
    <w:p w14:paraId="00000010">
      <w:pPr>
        <w:rPr/>
        <w:numPr>
          <w:numId w:val="1002"/>
          <w:ilvl w:val="0"/>
        </w:numPr>
      </w:pPr>
      <w:r>
        <w:rPr/>
        <w:t xml:space="preserve">third item</w:t>
      </w:r>
    </w:p>
    <w:p w14:paraId="00000011">
      <w:pPr>
        <w:rPr/>
        <w:numPr>
          <w:numId w:val="1002"/>
          <w:ilvl w:val="0"/>
        </w:numPr>
      </w:pPr>
      <w:r>
        <w:rPr/>
        <w:t xml:space="preserve">fourth item</w:t>
      </w:r>
    </w:p>
    <w:p w14:paraId="00000012">
      <w:pPr>
        <w:rPr/>
        <w:numPr>
          <w:numId w:val="1002"/>
          <w:ilvl w:val="0"/>
        </w:numPr>
      </w:pPr>
      <w:r>
        <w:rPr/>
        <w:t xml:space="preserve">fifth item</w:t>
      </w:r>
    </w:p>
    <w:p w14:paraId="00000013">
      <w:pPr>
        <w:rPr/>
      </w:pPr>
      <w:r>
        <w:rPr/>
        <w:t xml:space="preserve">Task list:</w:t>
      </w:r>
    </w:p>
    <w:p w14:paraId="00000014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parse Markdown</w:t>
      </w:r>
    </w:p>
    <w:p w14:paraId="00000015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embed local images</w:t>
      </w:r>
    </w:p>
    <w:p w14:paraId="00000016">
      <w:pPr>
        <w:rPr/>
        <w:numPr>
          <w:numId w:val="1003"/>
          <w:ilvl w:val="0"/>
        </w:numPr>
      </w:pPr>
      <w:r>
        <w:rPr/>
        <w:t xml:space="preserve">☐ </w:t>
      </w:r>
      <w:r>
        <w:rPr/>
        <w:t xml:space="preserve">polish advanced cross-reference support</w:t>
      </w:r>
    </w:p>
    <w:p w14:paraId="00000017">
      <w:pPr>
        <w:rPr/>
        <w:pStyle w:val="Heading2"/>
      </w:pPr>
      <w:r>
        <w:rPr/>
        <w:t xml:space="preserve">Blockquote</w:t>
      </w:r>
    </w:p>
    <w:p w14:paraId="00000018">
      <w:pPr>
        <w:rPr/>
        <w:pStyle w:val="Quote"/>
      </w:pPr>
      <w:r>
        <w:rPr/>
        <w:t xml:space="preserve">Folio should produce documents that open cleanly in Word or LibreOffice.</w:t>
      </w:r>
    </w:p>
    <w:p w14:paraId="00000019">
      <w:pPr>
        <w:rPr/>
        <w:pStyle w:val="Quote"/>
      </w:pPr>
      <w:r>
        <w:rPr/>
        <w:t xml:space="preserve">Blockquotes should retain their own visual treatment and paragraph separation.</w:t>
      </w:r>
    </w:p>
    <w:p w14:paraId="0000001a">
      <w:pPr>
        <w:rPr/>
        <w:pStyle w:val="Heading2"/>
      </w:pPr>
      <w:r>
        <w:rPr/>
        <w:t xml:space="preserve">Code Blocks</w:t>
      </w:r>
    </w:p>
    <w:p w14:paraId="0000001b">
      <w:pPr>
        <w:rPr/>
        <w:pStyle w:val="SourceCode"/>
      </w:pPr>
      <w:r>
        <w:rPr>
          <w:color w:val="A71D5D"/>
          <w:b/>
          <w:bCs/>
          <w:rFonts w:ascii="Menlo" w:hAnsi="Consolas"/>
        </w:rPr>
        <w:t xml:space="preserve">fn</w:t>
      </w:r>
      <w:r>
        <w:rPr>
          <w:rFonts w:ascii="Menlo" w:hAnsi="Consolas"/>
        </w:rPr>
        <w:t xml:space="preserve"> </w:t>
      </w:r>
      <w:r>
        <w:rPr>
          <w:color w:val="795DA3"/>
          <w:b/>
          <w:bCs/>
          <w:rFonts w:ascii="Menlo" w:hAnsi="Consolas"/>
        </w:rPr>
        <w:t xml:space="preserve">summarize</w:t>
      </w:r>
      <w:r>
        <w:rPr>
          <w:rFonts w:ascii="Menlo" w:hAnsi="Consolas"/>
        </w:rPr>
        <w:t xml:space="preserve">(</w:t>
      </w:r>
      <w:r>
        <w:rPr>
          <w:rFonts w:ascii="Menlo" w:hAnsi="Consolas"/>
        </w:rPr>
        <w:t xml:space="preserve">name</w:t>
      </w:r>
      <w:r>
        <w:rPr>
          <w:rFonts w:ascii="Menlo" w:hAnsi="Consolas"/>
        </w:rPr>
        <w:t xml:space="preserve">:</w:t>
      </w:r>
      <w:r>
        <w:rPr>
          <w:rFonts w:ascii="Menlo" w:hAnsi="Consolas"/>
        </w:rPr>
        <w:t xml:space="preserve"> </w:t>
      </w:r>
      <w:r>
        <w:rPr>
          <w:color w:val="A71D5D"/>
          <w:b/>
          <w:bCs/>
          <w:rFonts w:ascii="Menlo" w:hAnsi="Consolas"/>
        </w:rPr>
        <w:t xml:space="preserve">&amp;</w:t>
      </w:r>
      <w:r>
        <w:rPr>
          <w:color w:val="A71D5D"/>
          <w:b/>
          <w:bCs/>
          <w:rFonts w:ascii="Menlo" w:hAnsi="Consolas"/>
        </w:rPr>
        <w:t xml:space="preserve">str</w:t>
      </w:r>
      <w:r>
        <w:rPr>
          <w:rFonts w:ascii="Menlo" w:hAnsi="Consolas"/>
        </w:rPr>
        <w:t xml:space="preserve">)</w:t>
      </w:r>
      <w:r>
        <w:rPr>
          <w:rFonts w:ascii="Menlo" w:hAnsi="Consolas"/>
        </w:rPr>
        <w:t xml:space="preserve"> </w:t>
      </w:r>
      <w:r>
        <w:rPr>
          <w:rFonts w:ascii="Menlo" w:hAnsi="Consolas"/>
        </w:rPr>
        <w:t xml:space="preserve">-&gt;</w:t>
      </w:r>
      <w:r>
        <w:rPr>
          <w:rFonts w:ascii="Menlo" w:hAnsi="Consolas"/>
        </w:rPr>
        <w:t xml:space="preserve"> String</w:t>
      </w:r>
      <w:r>
        <w:rPr>
          <w:rFonts w:ascii="Menlo" w:hAnsi="Consolas"/>
        </w:rPr>
        <w:t xml:space="preserve"> </w:t>
      </w:r>
      <w:r>
        <w:rPr>
          <w:rFonts w:ascii="Menlo" w:hAnsi="Consolas"/>
        </w:rPr>
        <w:t xml:space="preserve">{</w:t>
      </w:r>
    </w:p>
    <w:p w14:paraId="0000001c">
      <w:pPr>
        <w:rPr/>
        <w:pStyle w:val="SourceCode"/>
      </w:pPr>
      <w:r>
        <w:rPr>
          <w:rFonts w:ascii="Menlo" w:hAnsi="Consolas"/>
        </w:rPr>
        <w:t xml:space="preserve">    </w:t>
      </w:r>
      <w:r>
        <w:rPr>
          <w:rFonts w:ascii="Menlo" w:hAnsi="Consolas"/>
        </w:rPr>
        <w:t xml:space="preserve">format!</w:t>
      </w:r>
      <w:r>
        <w:rPr>
          <w:rFonts w:ascii="Menlo" w:hAnsi="Consolas"/>
        </w:rPr>
        <w:t xml:space="preserve">(</w:t>
      </w:r>
      <w:r>
        <w:rPr>
          <w:color w:val="183691"/>
          <w:rFonts w:ascii="Menlo" w:hAnsi="Consolas"/>
        </w:rPr>
        <w:t xml:space="preserve">"</w:t>
      </w:r>
      <w:r>
        <w:rPr>
          <w:color w:val="183691"/>
          <w:rFonts w:ascii="Menlo" w:hAnsi="Consolas"/>
        </w:rPr>
        <w:t xml:space="preserve">Hello, </w:t>
      </w:r>
      <w:r>
        <w:rPr>
          <w:color w:val="0086B3"/>
          <w:rFonts w:ascii="Menlo" w:hAnsi="Consolas"/>
        </w:rPr>
        <w:t xml:space="preserve">{name}</w:t>
      </w:r>
      <w:r>
        <w:rPr>
          <w:color w:val="183691"/>
          <w:rFonts w:ascii="Menlo" w:hAnsi="Consolas"/>
        </w:rPr>
        <w:t xml:space="preserve">! This fixture validates Folio.</w:t>
      </w:r>
      <w:r>
        <w:rPr>
          <w:color w:val="183691"/>
          <w:rFonts w:ascii="Menlo" w:hAnsi="Consolas"/>
        </w:rPr>
        <w:t xml:space="preserve">"</w:t>
      </w:r>
      <w:r>
        <w:rPr>
          <w:rFonts w:ascii="Menlo" w:hAnsi="Consolas"/>
        </w:rPr>
        <w:t xml:space="preserve">)</w:t>
      </w:r>
    </w:p>
    <w:p w14:paraId="0000001d">
      <w:pPr>
        <w:rPr/>
        <w:pStyle w:val="SourceCode"/>
      </w:pPr>
      <w:r>
        <w:rPr>
          <w:rFonts w:ascii="Menlo" w:hAnsi="Consolas"/>
        </w:rPr>
        <w:t xml:space="preserve">}</w:t>
      </w:r>
    </w:p>
    <w:p w14:paraId="0000001e">
      <w:pPr>
        <w:rPr/>
        <w:pStyle w:val="SourceCode"/>
      </w:pPr>
      <w:r>
        <w:rPr>
          <w:rFonts w:ascii="Menlo" w:hAnsi="Consolas"/>
        </w:rPr>
        <w:t xml:space="preserve">{</w:t>
      </w:r>
    </w:p>
    <w:p w14:paraId="0000001f">
      <w:pPr>
        <w:rPr/>
        <w:pStyle w:val="SourceCode"/>
      </w:pPr>
      <w:r>
        <w:rPr>
          <w:rFonts w:ascii="Menlo" w:hAnsi="Consolas"/>
        </w:rPr>
        <w:t xml:space="preserve">  </w:t>
      </w:r>
      <w:r>
        <w:rPr>
          <w:color w:val="183691"/>
          <w:b/>
          <w:bCs/>
          <w:rFonts w:ascii="Menlo" w:hAnsi="Consolas"/>
        </w:rPr>
        <w:t xml:space="preserve">"</w:t>
      </w:r>
      <w:r>
        <w:rPr>
          <w:color w:val="183691"/>
          <w:b/>
          <w:bCs/>
          <w:rFonts w:ascii="Menlo" w:hAnsi="Consolas"/>
        </w:rPr>
        <w:t xml:space="preserve">app</w:t>
      </w:r>
      <w:r>
        <w:rPr>
          <w:color w:val="183691"/>
          <w:b/>
          <w:bCs/>
          <w:rFonts w:ascii="Menlo" w:hAnsi="Consolas"/>
        </w:rPr>
        <w:t xml:space="preserve">"</w:t>
      </w:r>
      <w:r>
        <w:rPr>
          <w:rFonts w:ascii="Menlo" w:hAnsi="Consolas"/>
        </w:rPr>
        <w:t xml:space="preserve">:</w:t>
      </w:r>
      <w:r>
        <w:rPr>
          <w:rFonts w:ascii="Menlo" w:hAnsi="Consolas"/>
        </w:rPr>
        <w:t xml:space="preserve"> </w:t>
      </w:r>
      <w:r>
        <w:rPr>
          <w:rFonts w:ascii="Menlo" w:hAnsi="Consolas"/>
        </w:rPr>
        <w:t xml:space="preserve">"</w:t>
      </w:r>
      <w:r>
        <w:rPr>
          <w:rFonts w:ascii="Menlo" w:hAnsi="Consolas"/>
        </w:rPr>
        <w:t xml:space="preserve">Folio</w:t>
      </w:r>
      <w:r>
        <w:rPr>
          <w:rFonts w:ascii="Menlo" w:hAnsi="Consolas"/>
        </w:rPr>
        <w:t xml:space="preserve">"</w:t>
      </w:r>
      <w:r>
        <w:rPr>
          <w:rFonts w:ascii="Menlo" w:hAnsi="Consolas"/>
        </w:rPr>
        <w:t xml:space="preserve">,</w:t>
      </w:r>
    </w:p>
    <w:p w14:paraId="00000020">
      <w:pPr>
        <w:rPr/>
        <w:pStyle w:val="SourceCode"/>
      </w:pPr>
      <w:r>
        <w:rPr>
          <w:rFonts w:ascii="Menlo" w:hAnsi="Consolas"/>
        </w:rPr>
        <w:t xml:space="preserve">  </w:t>
      </w:r>
      <w:r>
        <w:rPr>
          <w:color w:val="183691"/>
          <w:b/>
          <w:bCs/>
          <w:rFonts w:ascii="Menlo" w:hAnsi="Consolas"/>
        </w:rPr>
        <w:t xml:space="preserve">"</w:t>
      </w:r>
      <w:r>
        <w:rPr>
          <w:color w:val="183691"/>
          <w:b/>
          <w:bCs/>
          <w:rFonts w:ascii="Menlo" w:hAnsi="Consolas"/>
        </w:rPr>
        <w:t xml:space="preserve">mode</w:t>
      </w:r>
      <w:r>
        <w:rPr>
          <w:color w:val="183691"/>
          <w:b/>
          <w:bCs/>
          <w:rFonts w:ascii="Menlo" w:hAnsi="Consolas"/>
        </w:rPr>
        <w:t xml:space="preserve">"</w:t>
      </w:r>
      <w:r>
        <w:rPr>
          <w:rFonts w:ascii="Menlo" w:hAnsi="Consolas"/>
        </w:rPr>
        <w:t xml:space="preserve">:</w:t>
      </w:r>
      <w:r>
        <w:rPr>
          <w:rFonts w:ascii="Menlo" w:hAnsi="Consolas"/>
        </w:rPr>
        <w:t xml:space="preserve"> </w:t>
      </w:r>
      <w:r>
        <w:rPr>
          <w:rFonts w:ascii="Menlo" w:hAnsi="Consolas"/>
        </w:rPr>
        <w:t xml:space="preserve">"</w:t>
      </w:r>
      <w:r>
        <w:rPr>
          <w:rFonts w:ascii="Menlo" w:hAnsi="Consolas"/>
        </w:rPr>
        <w:t xml:space="preserve">comprehensive-fixture</w:t>
      </w:r>
      <w:r>
        <w:rPr>
          <w:rFonts w:ascii="Menlo" w:hAnsi="Consolas"/>
        </w:rPr>
        <w:t xml:space="preserve">"</w:t>
      </w:r>
      <w:r>
        <w:rPr>
          <w:rFonts w:ascii="Menlo" w:hAnsi="Consolas"/>
        </w:rPr>
        <w:t xml:space="preserve">,</w:t>
      </w:r>
    </w:p>
    <w:p w14:paraId="00000021">
      <w:pPr>
        <w:rPr/>
        <w:pStyle w:val="SourceCode"/>
      </w:pPr>
      <w:r>
        <w:rPr>
          <w:rFonts w:ascii="Menlo" w:hAnsi="Consolas"/>
        </w:rPr>
        <w:t xml:space="preserve">  </w:t>
      </w:r>
      <w:r>
        <w:rPr>
          <w:color w:val="183691"/>
          <w:b/>
          <w:bCs/>
          <w:rFonts w:ascii="Menlo" w:hAnsi="Consolas"/>
        </w:rPr>
        <w:t xml:space="preserve">"</w:t>
      </w:r>
      <w:r>
        <w:rPr>
          <w:color w:val="183691"/>
          <w:b/>
          <w:bCs/>
          <w:rFonts w:ascii="Menlo" w:hAnsi="Consolas"/>
        </w:rPr>
        <w:t xml:space="preserve">features</w:t>
      </w:r>
      <w:r>
        <w:rPr>
          <w:color w:val="183691"/>
          <w:b/>
          <w:bCs/>
          <w:rFonts w:ascii="Menlo" w:hAnsi="Consolas"/>
        </w:rPr>
        <w:t xml:space="preserve">"</w:t>
      </w:r>
      <w:r>
        <w:rPr>
          <w:rFonts w:ascii="Menlo" w:hAnsi="Consolas"/>
        </w:rPr>
        <w:t xml:space="preserve">:</w:t>
      </w:r>
      <w:r>
        <w:rPr>
          <w:rFonts w:ascii="Menlo" w:hAnsi="Consolas"/>
        </w:rPr>
        <w:t xml:space="preserve"> </w:t>
      </w:r>
      <w:r>
        <w:rPr>
          <w:rFonts w:ascii="Menlo" w:hAnsi="Consolas"/>
        </w:rPr>
        <w:t xml:space="preserve">[</w:t>
      </w:r>
      <w:r>
        <w:rPr>
          <w:rFonts w:ascii="Menlo" w:hAnsi="Consolas"/>
        </w:rPr>
        <w:t xml:space="preserve">"</w:t>
      </w:r>
      <w:r>
        <w:rPr>
          <w:rFonts w:ascii="Menlo" w:hAnsi="Consolas"/>
        </w:rPr>
        <w:t xml:space="preserve">math</w:t>
      </w:r>
      <w:r>
        <w:rPr>
          <w:rFonts w:ascii="Menlo" w:hAnsi="Consolas"/>
        </w:rPr>
        <w:t xml:space="preserve">"</w:t>
      </w:r>
      <w:r>
        <w:rPr>
          <w:rFonts w:ascii="Menlo" w:hAnsi="Consolas"/>
        </w:rPr>
        <w:t xml:space="preserve">,</w:t>
      </w:r>
      <w:r>
        <w:rPr>
          <w:rFonts w:ascii="Menlo" w:hAnsi="Consolas"/>
        </w:rPr>
        <w:t xml:space="preserve"> </w:t>
      </w:r>
      <w:r>
        <w:rPr>
          <w:rFonts w:ascii="Menlo" w:hAnsi="Consolas"/>
        </w:rPr>
        <w:t xml:space="preserve">"</w:t>
      </w:r>
      <w:r>
        <w:rPr>
          <w:rFonts w:ascii="Menlo" w:hAnsi="Consolas"/>
        </w:rPr>
        <w:t xml:space="preserve">tables</w:t>
      </w:r>
      <w:r>
        <w:rPr>
          <w:rFonts w:ascii="Menlo" w:hAnsi="Consolas"/>
        </w:rPr>
        <w:t xml:space="preserve">"</w:t>
      </w:r>
      <w:r>
        <w:rPr>
          <w:rFonts w:ascii="Menlo" w:hAnsi="Consolas"/>
        </w:rPr>
        <w:t xml:space="preserve">,</w:t>
      </w:r>
      <w:r>
        <w:rPr>
          <w:rFonts w:ascii="Menlo" w:hAnsi="Consolas"/>
        </w:rPr>
        <w:t xml:space="preserve"> </w:t>
      </w:r>
      <w:r>
        <w:rPr>
          <w:rFonts w:ascii="Menlo" w:hAnsi="Consolas"/>
        </w:rPr>
        <w:t xml:space="preserve">"</w:t>
      </w:r>
      <w:r>
        <w:rPr>
          <w:rFonts w:ascii="Menlo" w:hAnsi="Consolas"/>
        </w:rPr>
        <w:t xml:space="preserve">images</w:t>
      </w:r>
      <w:r>
        <w:rPr>
          <w:rFonts w:ascii="Menlo" w:hAnsi="Consolas"/>
        </w:rPr>
        <w:t xml:space="preserve">"</w:t>
      </w:r>
      <w:r>
        <w:rPr>
          <w:rFonts w:ascii="Menlo" w:hAnsi="Consolas"/>
        </w:rPr>
        <w:t xml:space="preserve">,</w:t>
      </w:r>
      <w:r>
        <w:rPr>
          <w:rFonts w:ascii="Menlo" w:hAnsi="Consolas"/>
        </w:rPr>
        <w:t xml:space="preserve"> </w:t>
      </w:r>
      <w:r>
        <w:rPr>
          <w:rFonts w:ascii="Menlo" w:hAnsi="Consolas"/>
        </w:rPr>
        <w:t xml:space="preserve">"</w:t>
      </w:r>
      <w:r>
        <w:rPr>
          <w:rFonts w:ascii="Menlo" w:hAnsi="Consolas"/>
        </w:rPr>
        <w:t xml:space="preserve">footnotes</w:t>
      </w:r>
      <w:r>
        <w:rPr>
          <w:rFonts w:ascii="Menlo" w:hAnsi="Consolas"/>
        </w:rPr>
        <w:t xml:space="preserve">"</w:t>
      </w:r>
      <w:r>
        <w:rPr>
          <w:rFonts w:ascii="Menlo" w:hAnsi="Consolas"/>
        </w:rPr>
        <w:t xml:space="preserve">]</w:t>
      </w:r>
    </w:p>
    <w:p w14:paraId="00000022">
      <w:pPr>
        <w:rPr/>
        <w:pStyle w:val="SourceCode"/>
      </w:pPr>
      <w:r>
        <w:rPr>
          <w:rFonts w:ascii="Menlo" w:hAnsi="Consolas"/>
        </w:rPr>
        <w:t xml:space="preserve">}</w:t>
      </w:r>
    </w:p>
    <w:p w14:paraId="00000023">
      <w:pPr>
        <w:rPr/>
        <w:pStyle w:val="Heading2"/>
      </w:pPr>
      <w:r>
        <w:rPr/>
        <w:t xml:space="preserve">Table Coverage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24">
            <w:pPr>
              <w:rPr/>
              <w:pStyle w:val="TableHeader"/>
              <w:jc w:val="left"/>
            </w:pPr>
            <w:r>
              <w:rPr/>
              <w:t xml:space="preserve">Feature</w:t>
            </w:r>
          </w:p>
        </w:tc>
        <w:tc>
          <w:tcPr/>
          <w:p w14:paraId="00000025">
            <w:pPr>
              <w:rPr/>
              <w:pStyle w:val="TableHeader"/>
              <w:jc w:val="center"/>
            </w:pPr>
            <w:r>
              <w:rPr/>
              <w:t xml:space="preserve">Alignment</w:t>
            </w:r>
          </w:p>
        </w:tc>
        <w:tc>
          <w:tcPr/>
          <w:p w14:paraId="00000026">
            <w:pPr>
              <w:rPr/>
              <w:pStyle w:val="TableHeader"/>
              <w:jc w:val="right"/>
            </w:pPr>
            <w:r>
              <w:rPr/>
              <w:t xml:space="preserve">Notes</w:t>
            </w:r>
          </w:p>
        </w:tc>
      </w:tr>
      <w:tr>
        <w:trPr/>
        <w:tc>
          <w:tcPr/>
          <w:p w14:paraId="00000027">
            <w:pPr>
              <w:rPr/>
              <w:jc w:val="left"/>
            </w:pPr>
            <w:r>
              <w:rPr/>
              <w:t xml:space="preserve">Headings</w:t>
            </w:r>
          </w:p>
        </w:tc>
        <w:tc>
          <w:tcPr/>
          <w:p w14:paraId="00000028">
            <w:pPr>
              <w:rPr/>
              <w:jc w:val="center"/>
            </w:pPr>
            <w:r>
              <w:rPr/>
              <w:t xml:space="preserve">centered</w:t>
            </w:r>
          </w:p>
        </w:tc>
        <w:tc>
          <w:tcPr/>
          <w:p w14:paraId="00000029">
            <w:pPr>
              <w:rPr/>
              <w:jc w:val="right"/>
            </w:pPr>
            <w:r>
              <w:rPr/>
              <w:t xml:space="preserve">H1-H6 styles</w:t>
            </w:r>
          </w:p>
        </w:tc>
      </w:tr>
      <w:tr>
        <w:trPr/>
        <w:tc>
          <w:tcPr/>
          <w:p w14:paraId="0000002a">
            <w:pPr>
              <w:rPr/>
              <w:jc w:val="left"/>
            </w:pPr>
            <w:r>
              <w:rPr/>
              <w:t xml:space="preserve">Inline styles</w:t>
            </w:r>
          </w:p>
        </w:tc>
        <w:tc>
          <w:tcPr/>
          <w:p w14:paraId="0000002b">
            <w:pPr>
              <w:rPr/>
              <w:jc w:val="center"/>
            </w:pPr>
            <w:r>
              <w:rPr/>
              <w:t xml:space="preserve">mixed</w:t>
            </w:r>
          </w:p>
        </w:tc>
        <w:tc>
          <w:tcPr/>
          <w:p w14:paraId="0000002c">
            <w:pPr>
              <w:rPr/>
              <w:jc w:val="right"/>
            </w:pPr>
            <w:r>
              <w:rPr>
                <w:b/>
                <w:bCs/>
              </w:rPr>
              <w:t xml:space="preserve">bold</w:t>
            </w:r>
            <w:r>
              <w:rPr/>
              <w:t xml:space="preserve">, </w:t>
            </w:r>
            <w:r>
              <w:rPr>
                <w:i/>
                <w:iCs/>
              </w:rPr>
              <w:t xml:space="preserve">italic</w:t>
            </w:r>
            <w:r>
              <w:rPr/>
              <w:t xml:space="preserve">, </w:t>
            </w:r>
            <w:r>
              <w:rPr>
                <w:rFonts w:ascii="Menlo" w:hAnsi="Consolas"/>
                <w:rStyle w:val="InlineCode"/>
              </w:rPr>
              <w:t xml:space="preserve">code</w:t>
            </w:r>
          </w:p>
        </w:tc>
      </w:tr>
      <w:tr>
        <w:trPr/>
        <w:tc>
          <w:tcPr/>
          <w:p w14:paraId="0000002d">
            <w:pPr>
              <w:rPr/>
              <w:jc w:val="left"/>
            </w:pPr>
            <w:r>
              <w:rPr/>
              <w:t xml:space="preserve">Equations</w:t>
            </w:r>
          </w:p>
        </w:tc>
        <w:tc>
          <w:tcPr/>
          <w:p w14:paraId="0000002e">
            <w:pPr>
              <w:rPr/>
              <w:jc w:val="center"/>
            </w:pPr>
            <w:r>
              <w:rPr/>
              <w:t xml:space="preserve">editable</w:t>
            </w:r>
          </w:p>
        </w:tc>
        <w:tc>
          <w:tcPr/>
          <w:p w14:paraId="0000002f">
            <w:pPr>
              <w:rPr/>
              <w:jc w:val="right"/>
            </w:pPr>
            <m:oMath xmlns:m="http://schemas.openxmlformats.org/officeDocument/2006/math">
              <m:sSup>
                <m:e>
                  <m:r>
                    <m:rPr>
                      <m:sty m:val="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</w:p>
        </w:tc>
      </w:tr>
      <w:tr>
        <w:trPr/>
        <w:tc>
          <w:tcPr/>
          <w:p w14:paraId="00000030">
            <w:pPr>
              <w:rPr/>
              <w:jc w:val="left"/>
            </w:pPr>
            <w:r>
              <w:rPr/>
              <w:t xml:space="preserve">Images</w:t>
            </w:r>
          </w:p>
        </w:tc>
        <w:tc>
          <w:tcPr/>
          <w:p w14:paraId="00000031">
            <w:pPr>
              <w:rPr/>
              <w:jc w:val="center"/>
            </w:pPr>
            <w:r>
              <w:rPr/>
              <w:t xml:space="preserve">local</w:t>
            </w:r>
          </w:p>
        </w:tc>
        <w:tc>
          <w:tcPr/>
          <w:p w14:paraId="00000032">
            <w:pPr>
              <w:rPr/>
              <w:jc w:val="right"/>
            </w:pPr>
            <w:r>
              <w:rPr/>
              <w:t xml:space="preserve">PNG + SVG</w:t>
            </w:r>
          </w:p>
        </w:tc>
      </w:tr>
    </w:tbl>
    <w:p w14:paraId="00000033">
      <w:pPr>
        <w:rPr/>
        <w:pStyle w:val="Heading2"/>
      </w:pPr>
      <w:r>
        <w:rPr/>
        <w:t xml:space="preserve">Math Coverage</w:t>
      </w:r>
    </w:p>
    <w:p w14:paraId="00000034">
      <w:pPr>
        <w:rPr/>
      </w:pPr>
      <w:r>
        <w:rPr/>
        <w:t xml:space="preserve">Inline formulas should remain editable: </w:t>
      </w:r>
      <m:oMath xmlns:m="http://schemas.openxmlformats.org/officeDocument/2006/math">
        <m:sSub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-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+</m:t>
        </m:r>
        <m:r>
          <m:rPr>
            <m:sty m:val="i"/>
          </m:rPr>
          <m:t>Δ</m:t>
        </m:r>
        <m:r>
          <m:rPr>
            <m:sty m:val="i"/>
          </m:rPr>
          <m:t>x</m:t>
        </m:r>
      </m:oMath>
      <w:r>
        <w:rPr/>
        <w:t xml:space="preserve"> and </w:t>
      </w:r>
      <m:oMath xmlns:m="http://schemas.openxmlformats.org/officeDocument/2006/math"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</m:oMath>
      <w:r>
        <w:rPr/>
        <w:t xml:space="preserve">.</w:t>
      </w:r>
    </w:p>
    <w:p w14:paraId="00000035">
      <w:pPr>
        <w:rPr/>
      </w:pPr>
      <w:r>
        <w:rPr/>
        <w:t xml:space="preserve">Display equation:</w:t>
      </w:r>
    </w:p>
    <m:oMathPara xmlns:m="http://schemas.openxmlformats.org/officeDocument/2006/math">
      <m:oMath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37">
      <w:pPr>
        <w:rPr/>
      </w:pPr>
    </w:p>
    <w:p w14:paraId="00000038">
      <w:pPr>
        <w:rPr/>
      </w:pPr>
      <w:r>
        <w:rPr/>
        <w:t xml:space="preserve">Quadratic formula: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3a">
      <w:pPr>
        <w:rPr/>
      </w:pPr>
    </w:p>
    <w:p w14:paraId="0000003b">
      <w:pPr>
        <w:rPr/>
      </w:pPr>
      <w:r>
        <w:rPr/>
        <w:t xml:space="preserve">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3d">
      <w:pPr>
        <w:rPr/>
      </w:pPr>
    </w:p>
    <w:p w14:paraId="0000003e">
      <w:pPr>
        <w:rPr/>
        <w:pStyle w:val="Heading2"/>
      </w:pPr>
      <w:r>
        <w:rPr/>
        <w:t xml:space="preserve">Image Coverage</w:t>
      </w:r>
    </w:p>
    <w:p w14:paraId="0000003f">
      <w:pPr>
        <w:rPr/>
      </w:pPr>
      <w:r>
        <w:rPr/>
        <w:t xml:space="preserve">Raster image test:</w:t>
      </w:r>
    </w:p>
    <w:p w14:paraId="00000040">
      <w:pPr>
        <w:rPr/>
      </w:pPr>
      <w:r>
        <w:rPr/>
        <w:drawing>
          <wp:inline distT="0" distB="0" distL="0" distR="0">
            <wp:extent cx="5600000" cy="560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>
      <w:pPr>
        <w:rPr/>
      </w:pPr>
      <w:r>
        <w:rPr/>
        <w:t xml:space="preserve">Wide SVG banner test:</w:t>
      </w:r>
    </w:p>
    <w:p w14:paraId="00000042">
      <w:pPr>
        <w:rPr/>
      </w:pPr>
      <w:r>
        <w:rPr/>
        <w:drawing>
          <wp:inline distT="0" distB="0" distL="0" distR="0">
            <wp:extent cx="5600000" cy="12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2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>
      <w:pPr>
        <w:rPr/>
      </w:pPr>
      <w:r>
        <w:rPr/>
        <w:t xml:space="preserve">Diagram SVG test:</w:t>
      </w:r>
    </w:p>
    <w:p w14:paraId="00000044">
      <w:pPr>
        <w:rPr/>
      </w:pPr>
      <w:r>
        <w:rPr/>
        <w:drawing>
          <wp:inline distT="0" distB="0" distL="0" distR="0">
            <wp:extent cx="5600000" cy="336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60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rPr/>
        <w:pStyle w:val="Heading2"/>
      </w:pPr>
      <w:r>
        <w:rPr/>
        <w:t xml:space="preserve">Footnotes</w:t>
      </w:r>
    </w:p>
    <w:p w14:paraId="00000046">
      <w:pPr>
        <w:rPr/>
      </w:pPr>
      <w:r>
        <w:rPr/>
        <w:t xml:space="preserve">Folio should render native footnotes for editorial notes</w:t>
      </w:r>
      <w:r>
        <w:rPr>
          <w:rStyle w:val="FootnoteReference"/>
        </w:rPr>
        <w:footnoteReference w:id="1"/>
      </w:r>
      <w:r>
        <w:rPr/>
        <w:t xml:space="preserve"> and implementation notes</w:t>
      </w:r>
      <w:r>
        <w:rPr>
          <w:rStyle w:val="FootnoteReference"/>
        </w:rPr>
        <w:footnoteReference w:id="2"/>
      </w:r>
      <w:r>
        <w:rPr/>
        <w:t xml:space="preserve">.</w:t>
      </w:r>
    </w:p>
    <w:p w14:paraId="00000049">
      <w:pPr>
        <w:rPr/>
        <w:pStyle w:val="HorizontalRule"/>
      </w:pPr>
    </w:p>
    <w:p w14:paraId="0000004a">
      <w:pPr>
        <w:rPr/>
        <w:pStyle w:val="Heading2"/>
      </w:pPr>
      <w:r>
        <w:rPr/>
        <w:t xml:space="preserve">Closing Notes</w:t>
      </w:r>
    </w:p>
    <w:p w14:paraId="0000004b">
      <w:pPr>
        <w:rPr/>
      </w:pPr>
      <w:r>
        <w:rPr/>
        <w:t xml:space="preserve">Use this fixture when checking output regressions in:</w:t>
      </w:r>
    </w:p>
    <w:p w14:paraId="0000004c">
      <w:pPr>
        <w:rPr/>
        <w:numPr>
          <w:numId w:val="1004"/>
          <w:ilvl w:val="0"/>
        </w:numPr>
      </w:pPr>
      <w:r>
        <w:rPr/>
        <w:t xml:space="preserve">paragraph styling</w:t>
      </w:r>
    </w:p>
    <w:p w14:paraId="0000004d">
      <w:pPr>
        <w:rPr/>
        <w:numPr>
          <w:numId w:val="1004"/>
          <w:ilvl w:val="0"/>
        </w:numPr>
      </w:pPr>
      <w:r>
        <w:rPr/>
        <w:t xml:space="preserve">list numbering</w:t>
      </w:r>
    </w:p>
    <w:p w14:paraId="0000004e">
      <w:pPr>
        <w:rPr/>
        <w:numPr>
          <w:numId w:val="1004"/>
          <w:ilvl w:val="0"/>
        </w:numPr>
      </w:pPr>
      <w:r>
        <w:rPr/>
        <w:t xml:space="preserve">table borders and alignment</w:t>
      </w:r>
    </w:p>
    <w:p w14:paraId="0000004f">
      <w:pPr>
        <w:rPr/>
        <w:numPr>
          <w:numId w:val="1004"/>
          <w:ilvl w:val="0"/>
        </w:numPr>
      </w:pPr>
      <w:r>
        <w:rPr/>
        <w:t xml:space="preserve">math fidelity</w:t>
      </w:r>
    </w:p>
    <w:p w14:paraId="00000050">
      <w:pPr>
        <w:rPr/>
        <w:numPr>
          <w:numId w:val="1004"/>
          <w:ilvl w:val="0"/>
        </w:numPr>
      </w:pPr>
      <w:r>
        <w:rPr/>
        <w:t xml:space="preserve">raster and SVG image embedding</w:t>
      </w:r>
    </w:p>
    <w:p w14:paraId="00000051">
      <w:pPr>
        <w:rPr/>
        <w:numPr>
          <w:numId w:val="1004"/>
          <w:ilvl w:val="0"/>
        </w:numPr>
      </w:pPr>
      <w:r>
        <w:rPr/>
        <w:t xml:space="preserve">footnote handling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47">
      <w:pPr>
        <w:rPr/>
      </w:pPr>
      <w:r>
        <w:rPr/>
        <w:t xml:space="preserve">This footnote checks native footnote emission and numbering.</w:t>
      </w:r>
    </w:p>
  </w:footnote>
  <w:footnote w:id="2">
    <w:p w14:paraId="00000048">
      <w:pPr>
        <w:rPr/>
      </w:pPr>
      <w:r>
        <w:rPr/>
        <w:t xml:space="preserve">This footnote confirms that longer footnote text still remains readable.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/>
      </w:pPr>
      <w:rPr/>
    </w:lvl>
    <w:lvl w:ilvl="1">
      <w:start w:val="1"/>
      <w:numFmt w:val="lowerLetter"/>
      <w:lvlText w:val="%2."/>
      <w:lvlJc w:val="left"/>
      <w:pPr>
        <w:rPr/>
        <w:ind w:left="1440" w:right="0"/>
      </w:pPr>
      <w:rPr/>
    </w:lvl>
    <w:lvl w:ilvl="2">
      <w:start w:val="1"/>
      <w:numFmt w:val="lowerRoman"/>
      <w:lvlText w:val="%3."/>
      <w:lvlJc w:val="left"/>
      <w:pPr>
        <w:rPr/>
        <w:ind w:left="2160" w:right="0"/>
      </w:pPr>
      <w:rPr/>
    </w:lvl>
  </w:abstractNum>
  <w:num w:numId="1">
    <w:abstractNumId w:val="1"/>
  </w:num>
  <w:num w:numId="1001">
    <w:abstractNumId w:val="101"/>
  </w:num>
  <w:num w:numId="1002">
    <w:abstractNumId w:val="102"/>
    <w:lvlOverride w:ilvl="0">
      <w:startOverride w:val="3"/>
    </w:lvlOverride>
  </w:num>
  <w:num w:numId="1003">
    <w:abstractNumId w:val="101"/>
  </w:num>
  <w:num w:numId="1004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Heading1">
    <w:name w:val="Heading 1"/>
    <w:rPr>
      <w:sz w:val="32"/>
      <w:szCs w:val="32"/>
      <w:color w:val="111827"/>
      <w:b/>
      <w:bCs/>
    </w:rPr>
    <w:pPr>
      <w:rPr/>
      <w:outlineLvl w:val="0"/>
    </w:pPr>
    <w:next w:val="Normal"/>
    <w:qFormat/>
    <w:uiPriority w:val="1"/>
    <w:unhideWhenUsed/>
    <w:basedOn w:val="Normal"/>
  </w:style>
  <w:style w:type="paragraph" w:styleId="Heading2">
    <w:name w:val="Heading 2"/>
    <w:rPr>
      <w:sz w:val="28"/>
      <w:szCs w:val="28"/>
      <w:color w:val="111827"/>
      <w:b/>
      <w:bCs/>
    </w:rPr>
    <w:pPr>
      <w:rPr/>
      <w:outlineLvl w:val="1"/>
    </w:pPr>
    <w:next w:val="Normal"/>
    <w:qFormat/>
    <w:uiPriority w:val="2"/>
    <w:unhideWhenUsed/>
    <w:basedOn w:val="Normal"/>
  </w:style>
  <w:style w:type="paragraph" w:styleId="Heading3">
    <w:name w:val="Heading 3"/>
    <w:rPr>
      <w:sz w:val="24"/>
      <w:szCs w:val="24"/>
      <w:color w:val="1F2937"/>
      <w:b/>
      <w:bCs/>
    </w:rPr>
    <w:pPr>
      <w:rPr/>
      <w:outlineLvl w:val="2"/>
    </w:pPr>
    <w:next w:val="Normal"/>
    <w:qFormat/>
    <w:uiPriority w:val="3"/>
    <w:unhideWhenUsed/>
    <w:basedOn w:val="Normal"/>
  </w:style>
  <w:style w:type="paragraph" w:styleId="Heading4">
    <w:name w:val="Heading 4"/>
    <w:rPr>
      <w:sz w:val="22"/>
      <w:szCs w:val="22"/>
      <w:color w:val="374151"/>
      <w:b/>
      <w:bCs/>
    </w:rPr>
    <w:pPr>
      <w:rPr/>
      <w:outlineLvl w:val="3"/>
    </w:pPr>
    <w:next w:val="Normal"/>
    <w:qFormat/>
    <w:uiPriority w:val="4"/>
    <w:unhideWhenUsed/>
    <w:basedOn w:val="Normal"/>
  </w:style>
  <w:style w:type="paragraph" w:styleId="Heading5">
    <w:name w:val="Heading 5"/>
    <w:rPr>
      <w:sz w:val="20"/>
      <w:szCs w:val="20"/>
      <w:color w:val="4B5563"/>
      <w:b/>
      <w:bCs/>
    </w:rPr>
    <w:pPr>
      <w:rPr/>
      <w:outlineLvl w:val="4"/>
    </w:pPr>
    <w:next w:val="Normal"/>
    <w:qFormat/>
    <w:uiPriority w:val="5"/>
    <w:unhideWhenUsed/>
    <w:basedOn w:val="Normal"/>
  </w:style>
  <w:style w:type="paragraph" w:styleId="Heading6">
    <w:name w:val="Heading 6"/>
    <w:rPr>
      <w:sz w:val="18"/>
      <w:szCs w:val="18"/>
      <w:color w:val="4B5563"/>
      <w:b/>
      <w:bCs/>
    </w:rPr>
    <w:pPr>
      <w:rPr/>
      <w:outlineLvl w:val="5"/>
    </w:pPr>
    <w:next w:val="Normal"/>
    <w:qFormat/>
    <w:uiPriority w:val="6"/>
    <w:unhideWhenUsed/>
    <w:basedOn w:val="Normal"/>
  </w:style>
  <w:style w:type="paragraph" w:styleId="Quote">
    <w:name w:val="Quote"/>
    <w:rPr>
      <w:color w:val="4B5563"/>
      <w:i/>
      <w:iCs/>
    </w:rPr>
    <w:pPr>
      <w:rPr/>
      <w:ind w:left="420" w:right="0"/>
      <w:pBdr>
        <w:left w:val="single" w:space="0" w:sz="8" w:color="CBD5E1"/>
      </w:pBdr>
    </w:pPr>
    <w:next w:val="Normal"/>
    <w:qFormat/>
    <w:unhideWhenUsed/>
    <w:basedOn w:val="Normal"/>
  </w:style>
  <w:style w:type="paragraph" w:styleId="SourceCode">
    <w:name w:val="Source Code"/>
    <w:rPr>
      <w:sz w:val="21"/>
      <w:szCs w:val="21"/>
      <w:color w:val="111827"/>
      <w:rFonts w:ascii="Menlo" w:hAnsi="Consolas"/>
    </w:rPr>
    <w:pPr>
      <w:rPr/>
      <w:ind w:left="240" w:right="0"/>
      <w:shd w:val="clear" w:color="auto" w:fill="F6F8FA"/>
    </w:pPr>
    <w:next w:val="SourceCode"/>
    <w:qFormat/>
    <w:unhideWhenUsed/>
    <w:basedOn w:val="Normal"/>
  </w:style>
  <w:style w:type="character" w:styleId="InlineCode">
    <w:name w:val="Inline Code"/>
    <w:rPr>
      <w:sz w:val="21"/>
      <w:szCs w:val="21"/>
      <w:color w:val="111827"/>
      <w:rFonts w:ascii="Menlo" w:hAnsi="Consolas"/>
      <w:shd w:val="clear" w:color="auto" w:fill="F3F4F6"/>
    </w:rPr>
    <w:pPr>
      <w:rPr/>
    </w:pPr>
    <w:qFormat/>
    <w:unhideWhenUsed/>
  </w:style>
  <w:style w:type="paragraph" w:styleId="TableHeader">
    <w:name w:val="Table Header"/>
    <w:rPr>
      <w:color w:val="111827"/>
      <w:b/>
      <w:bCs/>
    </w:rPr>
    <w:pPr>
      <w:rPr/>
    </w:pPr>
    <w:next w:val="Normal"/>
    <w:qFormat/>
    <w:unhideWhenUsed/>
    <w:basedOn w:val="Normal"/>
  </w:style>
  <w:style w:type="paragraph" w:styleId="HorizontalRule">
    <w:name w:val="Horizontal Rule"/>
    <w:rPr/>
    <w:pPr>
      <w:rPr/>
      <w:pBdr>
        <w:top w:val="single" w:space="0" w:sz="8" w:color="D1D5DB"/>
      </w:pBdr>
    </w:pPr>
    <w:next w:val="Normal"/>
    <w:qFormat/>
    <w:unhideWhenUsed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Image1" Type="http://schemas.openxmlformats.org/officeDocument/2006/relationships/image" Target="media/rIdImage1.png" /><Relationship Id="rIdImage2" Type="http://schemas.openxmlformats.org/officeDocument/2006/relationships/image" Target="media/rIdImage2.png" /><Relationship Id="rIdImage3" Type="http://schemas.openxmlformats.org/officeDocument/2006/relationships/image" Target="media/rIdImage3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