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145AD4">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1FCC012">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lang w:val="en-US" w:eastAsia="zh-CN"/>
        </w:rPr>
        <w:t>6</w:t>
      </w:r>
      <w:r>
        <w:rPr>
          <w:rFonts w:hint="eastAsia" w:ascii="华文中宋" w:hAnsi="华文中宋" w:eastAsia="华文中宋" w:cs="Arial"/>
          <w:b/>
          <w:bCs/>
          <w:color w:val="333333"/>
          <w:kern w:val="0"/>
          <w:sz w:val="56"/>
          <w:szCs w:val="56"/>
        </w:rPr>
        <w:t>年（第1</w:t>
      </w:r>
      <w:r>
        <w:rPr>
          <w:rFonts w:hint="eastAsia" w:ascii="华文中宋" w:hAnsi="华文中宋" w:eastAsia="华文中宋" w:cs="Arial"/>
          <w:b/>
          <w:bCs/>
          <w:color w:val="333333"/>
          <w:kern w:val="0"/>
          <w:sz w:val="56"/>
          <w:szCs w:val="56"/>
          <w:lang w:val="en-US" w:eastAsia="zh-CN"/>
        </w:rPr>
        <w:t>9</w:t>
      </w:r>
      <w:r>
        <w:rPr>
          <w:rFonts w:hint="eastAsia" w:ascii="华文中宋" w:hAnsi="华文中宋" w:eastAsia="华文中宋" w:cs="Arial"/>
          <w:b/>
          <w:bCs/>
          <w:color w:val="333333"/>
          <w:kern w:val="0"/>
          <w:sz w:val="56"/>
          <w:szCs w:val="56"/>
        </w:rPr>
        <w:t>届）</w:t>
      </w:r>
    </w:p>
    <w:p w14:paraId="10D55C01">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6E3BA25B">
      <w:pPr>
        <w:widowControl/>
        <w:shd w:val="clear" w:color="auto" w:fill="FFFFFF"/>
        <w:spacing w:line="360" w:lineRule="atLeast"/>
        <w:jc w:val="center"/>
        <w:rPr>
          <w:rFonts w:ascii="Arial" w:hAnsi="Arial" w:eastAsia="宋体" w:cs="Arial"/>
          <w:color w:val="333333"/>
          <w:kern w:val="0"/>
          <w:szCs w:val="21"/>
        </w:rPr>
      </w:pPr>
    </w:p>
    <w:p w14:paraId="39848380">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lang w:val="en-US" w:eastAsia="zh-CN"/>
        </w:rPr>
        <w:t>大数据主题赛</w:t>
      </w:r>
      <w:r>
        <w:rPr>
          <w:rFonts w:hint="eastAsia" w:ascii="华文楷体" w:hAnsi="华文楷体" w:eastAsia="华文楷体" w:cs="Arial"/>
          <w:color w:val="333333"/>
          <w:kern w:val="0"/>
          <w:sz w:val="40"/>
          <w:szCs w:val="40"/>
        </w:rPr>
        <w:t>作品报告</w:t>
      </w:r>
    </w:p>
    <w:p w14:paraId="2BB59201">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作品编号：</w:t>
      </w:r>
    </w:p>
    <w:p w14:paraId="6FAEF54B">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作品名称：全球卫生资源分配与健康公平性分析</w:t>
      </w:r>
    </w:p>
    <w:p w14:paraId="2008CFF4">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u w:val="single"/>
        </w:rPr>
        <w:t>　　　　　　　　　　　　　　　　　　　</w:t>
      </w:r>
    </w:p>
    <w:p w14:paraId="30D24118">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填写日期：2026年4月18日</w:t>
      </w:r>
    </w:p>
    <w:p>
      <w:r>
        <w:br w:type="page"/>
      </w:r>
    </w:p>
    <w:bookmarkStart w:id="20" w:name="作品概述"/>
    <w:p>
      <w:pPr>
        <w:pStyle w:val="2"/>
      </w:pPr>
      <w:r>
        <w:t xml:space="preserve">作品概述</w:t>
      </w:r>
    </w:p>
    <w:p>
      <w:pPr>
        <w:pStyle w:val="3"/>
      </w:pPr>
      <w:r>
        <w:t xml:space="preserve">本作品围绕</w:t>
      </w:r>
      <w:r>
        <w:t xml:space="preserve">“</w:t>
      </w:r>
      <w:r>
        <w:t xml:space="preserve">全球卫生资源分配与健康公平性</w:t>
      </w:r>
      <w:r>
        <w:t xml:space="preserve">”</w:t>
      </w:r>
      <w:r>
        <w:t xml:space="preserve">主题，基于世界银行、IHME GBD 和国家统计局等多源公开数据，对赛题问题三提出的四项任务构建了</w:t>
      </w:r>
      <w:r>
        <w:t xml:space="preserve">“</w:t>
      </w:r>
      <w:r>
        <w:t xml:space="preserve">缺口识别-类型划分-优化模拟-政策建议</w:t>
      </w:r>
      <w:r>
        <w:t xml:space="preserve">”</w:t>
      </w:r>
      <w:r>
        <w:t xml:space="preserve">的闭环分析框架。研究首先以医生密度、床位密度、卫生支出、预期寿命和婴儿死亡率等指标合成投入指数、产出指数和理论需求指数，量化各国卫生资源配置缺口；随后以投入与产出双中位数建立四象限评估矩阵，并引入 Gini 系数、Theil 指数和 sigma 收敛度量全球健康公平性演变；在此基础上，以人均卫生支出为决策变量，分别构建总产出最大化与 Rawlsian 最小值最大化两类约束优化模型，给出全球国家间及中国省级内部的最优再分配方案。整体结果表明，撒哈拉以南非洲与中国部分中西部地区仍是卫生资源补短板重点区域，而</w:t>
      </w:r>
      <w:r>
        <w:t xml:space="preserve">“</w:t>
      </w:r>
      <w:r>
        <w:t xml:space="preserve">高投入-低产出</w:t>
      </w:r>
      <w:r>
        <w:t xml:space="preserve">”</w:t>
      </w:r>
      <w:r>
        <w:t xml:space="preserve">和</w:t>
      </w:r>
      <w:r>
        <w:t xml:space="preserve">“</w:t>
      </w:r>
      <w:r>
        <w:t xml:space="preserve">低投入-高产出</w:t>
      </w:r>
      <w:r>
        <w:t xml:space="preserve">”</w:t>
      </w:r>
      <w:r>
        <w:t xml:space="preserve">地区则分别对应提效治理与经验推广两类政策路径。</w:t>
      </w:r>
    </w:p>
    <w:bookmarkEnd w:id="20"/>
    <w:bookmarkStart w:id="25" w:name="问题分析与研究思路"/>
    <w:p>
      <w:pPr>
        <w:pStyle w:val="2"/>
      </w:pPr>
      <w:r>
        <w:t xml:space="preserve">问题分析与研究思路</w:t>
      </w:r>
    </w:p>
    <w:bookmarkStart w:id="21" w:name="问题分析"/>
    <w:p>
      <w:pPr>
        <w:pStyle w:val="4"/>
      </w:pPr>
      <w:r>
        <w:t xml:space="preserve">问题分析</w:t>
      </w:r>
    </w:p>
    <w:p>
      <w:pPr>
        <w:pStyle w:val="3"/>
      </w:pPr>
      <w:r>
        <w:t xml:space="preserve">赛题问题三从四个层面提出要求：一是测算各国实际卫生资源配置水平与疾病负担导向理论需求之间的缺口，并进行空间分级标注；二是构建投入-产出评估矩阵，将国家划分为四种类型并分析健康结果公平性；三是以数学规划模型模拟卫生资源在全球与一国内部的最优再分配；四是据此提出差异化政策建议。该问题的难点主要体现在三个方面：其一，卫生系统同时涉及资金、人力、床位、寿命与死亡率等多维指标，需要建立可比较的综合指数体系；其二，资源优化既要考虑总产出效率，也要兼顾最弱地区的公平性；其三，全球国家与中国省份之间存在显著异质性，模型需要保留分组与分层刻画能力。</w:t>
      </w:r>
    </w:p>
    <w:bookmarkEnd w:id="21"/>
    <w:bookmarkStart w:id="22" w:name="研究思路"/>
    <w:p>
      <w:pPr>
        <w:pStyle w:val="4"/>
      </w:pPr>
      <w:r>
        <w:t xml:space="preserve">研究思路</w:t>
      </w:r>
    </w:p>
    <w:p>
      <w:pPr>
        <w:pStyle w:val="3"/>
      </w:pPr>
      <w:r>
        <w:t xml:space="preserve">本文采用</w:t>
      </w:r>
      <w:r>
        <w:t xml:space="preserve">“</w:t>
      </w:r>
      <w:r>
        <w:t xml:space="preserve">指标构建-缺口识别-类型划分-公平评估-优化模拟-政策建议</w:t>
      </w:r>
      <w:r>
        <w:t xml:space="preserve">”</w:t>
      </w:r>
      <w:r>
        <w:t xml:space="preserve">的六步研究思路。首先，从多源数据中提取医生密度、床位密度、卫生支出占 GDP 比重、人均卫生支出、传染性疾病死亡占比、预期寿命、婴儿死亡率和 5 岁以下死亡率等一级指标，并合成为投入指数、产出指数和需求指数。其次，利用资源缺口指标识别实际供给与理论需求的偏离程度，并在 2023 年截面上完成全球分级展示。再次，以投入指数和产出指数的双中位数阈值建立四象限分类，从效率视角标记不同国家与省份。随后，以寿命 Gini、Theil 和 sigma 收敛等指标刻画健康公平性长期变化。最后，针对效率优先与公平优先两种目标分别建立约束优化模型，并结合类型标签提出面向 Q3、Q2 和 Q4 地区的差异化政策建议。</w:t>
      </w:r>
    </w:p>
    <w:bookmarkEnd w:id="22"/>
    <w:bookmarkStart w:id="24" w:name="技术路线"/>
    <w:p>
      <w:pPr>
        <w:pStyle w:val="4"/>
      </w:pPr>
      <w:r>
        <w:t xml:space="preserve">技术路线</w:t>
      </w:r>
    </w:p>
    <w:p xmlns:a="http://schemas.openxmlformats.org/drawingml/2006/main" xmlns:pic="http://schemas.openxmlformats.org/drawingml/2006/picture">
      <w:pPr>
        <w:pStyle w:val="40"/>
        <w:jc w:val="center"/>
      </w:pPr>
      <w:r>
        <w:drawing>
          <wp:inline>
            <wp:extent cx="5270500" cy="2744834"/>
            <wp:effectExtent b="0" l="0" r="0" t="0"/>
            <wp:docPr descr="图3-0 问题三技术路线图" title="" id="1" name="Picture"/>
            <a:graphic>
              <a:graphicData uri="http://schemas.openxmlformats.org/drawingml/2006/picture">
                <pic:pic>
                  <pic:nvPicPr>
                    <pic:cNvPr descr="reports/paper/assets/p3_00_tech_route.png" id="0" name="Picture"/>
                    <pic:cNvPicPr>
                      <a:picLocks noChangeArrowheads="1" noChangeAspect="1"/>
                    </pic:cNvPicPr>
                  </pic:nvPicPr>
                  <pic:blipFill>
                    <a:blip r:embed="rId11"/>
                    <a:stretch>
                      <a:fillRect/>
                    </a:stretch>
                  </pic:blipFill>
                  <pic:spPr bwMode="auto">
                    <a:xfrm>
                      <a:off x="0" y="0"/>
                      <a:ext cx="5270500" cy="2744834"/>
                    </a:xfrm>
                    <a:prstGeom prst="rect">
                      <a:avLst/>
                    </a:prstGeom>
                    <a:noFill/>
                    <a:ln w="9525">
                      <a:noFill/>
                      <a:headEnd/>
                      <a:tailEnd/>
                    </a:ln>
                  </pic:spPr>
                </pic:pic>
              </a:graphicData>
            </a:graphic>
          </wp:inline>
        </w:drawing>
      </w:r>
    </w:p>
    <w:p>
      <w:pPr>
        <w:pStyle w:val="12"/>
        <w:jc w:val="center"/>
      </w:pPr>
      <w:r>
        <w:t xml:space="preserve">图3-0 问题三技术路线图</w:t>
      </w:r>
    </w:p>
    <w:p>
      <w:pPr>
        <w:pStyle w:val="3"/>
      </w:pPr>
      <w:r>
        <w:t xml:space="preserve">图3-0展示了问题三的整体技术流程：先对全球与中国省级原始数据完成清洗、插补和指标统一，再通过标准化与加权合成构造投入、产出和需求三类综合指数；随后分别完成资源缺口识别、四象限分类、公平性评估与分组生产函数拟合；最终在预算约束下输出全球与中国省级再分配方案，并据此形成差异化政策建议。</w:t>
      </w:r>
    </w:p>
    <w:bookmarkEnd w:id="24"/>
    <w:bookmarkEnd w:id="25"/>
    <w:bookmarkStart w:id="28" w:name="数据集与预处理"/>
    <w:p>
      <w:pPr>
        <w:pStyle w:val="2"/>
      </w:pPr>
      <w:r>
        <w:t xml:space="preserve">数据集与预处理</w:t>
      </w:r>
    </w:p>
    <w:bookmarkStart w:id="26" w:name="数据来源与类型"/>
    <w:p>
      <w:pPr>
        <w:pStyle w:val="4"/>
      </w:pPr>
      <w:r>
        <w:t xml:space="preserve">数据来源与类型</w:t>
      </w:r>
    </w:p>
    <w:p>
      <w:pPr>
        <w:pStyle w:val="12"/>
        <w:jc w:val="center"/>
      </w:pPr>
      <w:r>
        <w:t xml:space="preserve">表3-1 问题三数据来源与类型</w:t>
      </w:r>
    </w:p>
    <w:tbl>
      <w:tblPr>
        <w:tblStyle w:val="21"/>
        <w:tblW w:type="auto" w:w="0"/>
        <w:jc w:val="center"/>
        <w:tblLayout w:type="fixed"/>
        <w:tblLook w:firstColumn="1" w:firstRow="1" w:lastColumn="0" w:lastRow="0" w:noHBand="0" w:noVBand="1" w:val="04A0"/>
      </w:tblPr>
      <w:tblGrid>
        <w:gridCol w:w="1384"/>
        <w:gridCol w:w="1384"/>
        <w:gridCol w:w="1384"/>
        <w:gridCol w:w="1384"/>
        <w:gridCol w:w="1384"/>
        <w:gridCol w:w="1384"/>
      </w:tblGrid>
      <w:tr>
        <w:tc>
          <w:tcPr>
            <w:tcW w:type="dxa" w:w="567"/>
          </w:tcPr>
          <w:p>
            <w:pPr>
              <w:jc w:val="center"/>
            </w:pPr>
            <w:r>
              <w:rPr>
                <w:b/>
                <w:sz w:val="18"/>
              </w:rPr>
              <w:t>编号</w:t>
            </w:r>
          </w:p>
        </w:tc>
        <w:tc>
          <w:tcPr>
            <w:tcW w:type="dxa" w:w="1474"/>
          </w:tcPr>
          <w:p>
            <w:pPr>
              <w:jc w:val="center"/>
            </w:pPr>
            <w:r>
              <w:rPr>
                <w:b/>
                <w:sz w:val="18"/>
              </w:rPr>
              <w:t>数据集</w:t>
            </w:r>
          </w:p>
        </w:tc>
        <w:tc>
          <w:tcPr>
            <w:tcW w:type="dxa" w:w="1077"/>
          </w:tcPr>
          <w:p>
            <w:pPr>
              <w:jc w:val="center"/>
            </w:pPr>
            <w:r>
              <w:rPr>
                <w:b/>
                <w:sz w:val="18"/>
              </w:rPr>
              <w:t>来源</w:t>
            </w:r>
          </w:p>
        </w:tc>
        <w:tc>
          <w:tcPr>
            <w:tcW w:type="dxa" w:w="1020"/>
          </w:tcPr>
          <w:p>
            <w:pPr>
              <w:jc w:val="center"/>
            </w:pPr>
            <w:r>
              <w:rPr>
                <w:b/>
                <w:sz w:val="18"/>
              </w:rPr>
              <w:t>类型</w:t>
            </w:r>
          </w:p>
        </w:tc>
        <w:tc>
          <w:tcPr>
            <w:tcW w:type="dxa" w:w="2211"/>
          </w:tcPr>
          <w:p>
            <w:pPr>
              <w:jc w:val="center"/>
            </w:pPr>
            <w:r>
              <w:rPr>
                <w:b/>
                <w:sz w:val="18"/>
              </w:rPr>
              <w:t>核心字段</w:t>
            </w:r>
          </w:p>
        </w:tc>
        <w:tc>
          <w:tcPr>
            <w:tcW w:type="dxa" w:w="1474"/>
          </w:tcPr>
          <w:p>
            <w:pPr>
              <w:jc w:val="center"/>
            </w:pPr>
            <w:r>
              <w:rPr>
                <w:b/>
                <w:sz w:val="18"/>
              </w:rPr>
              <w:t>规模</w:t>
            </w:r>
          </w:p>
        </w:tc>
      </w:tr>
      <w:tr>
        <w:tc>
          <w:tcPr>
            <w:tcW w:type="dxa" w:w="567"/>
          </w:tcPr>
          <w:p>
            <w:pPr>
              <w:jc w:val="left"/>
            </w:pPr>
            <w:r>
              <w:rPr>
                <w:sz w:val="18"/>
              </w:rPr>
              <w:t>01</w:t>
            </w:r>
          </w:p>
        </w:tc>
        <w:tc>
          <w:tcPr>
            <w:tcW w:type="dxa" w:w="1474"/>
          </w:tcPr>
          <w:p>
            <w:pPr>
              <w:jc w:val="left"/>
            </w:pPr>
            <w:r>
              <w:rPr>
                <w:sz w:val="18"/>
              </w:rPr>
              <w:t>全球核心疾病与死亡估算</w:t>
            </w:r>
          </w:p>
        </w:tc>
        <w:tc>
          <w:tcPr>
            <w:tcW w:type="dxa" w:w="1077"/>
          </w:tcPr>
          <w:p>
            <w:pPr>
              <w:jc w:val="left"/>
            </w:pPr>
            <w:r>
              <w:rPr>
                <w:sz w:val="18"/>
              </w:rPr>
              <w:t>IHME GBD</w:t>
            </w:r>
          </w:p>
        </w:tc>
        <w:tc>
          <w:tcPr>
            <w:tcW w:type="dxa" w:w="1020"/>
          </w:tcPr>
          <w:p>
            <w:pPr>
              <w:jc w:val="left"/>
            </w:pPr>
            <w:r>
              <w:rPr>
                <w:sz w:val="18"/>
              </w:rPr>
              <w:t>结构化 CSV</w:t>
            </w:r>
          </w:p>
        </w:tc>
        <w:tc>
          <w:tcPr>
            <w:tcW w:type="dxa" w:w="2211"/>
          </w:tcPr>
          <w:p>
            <w:pPr>
              <w:jc w:val="left"/>
            </w:pPr>
            <w:r>
              <w:rPr>
                <w:sz w:val="18"/>
              </w:rPr>
              <w:t>地理位置、年份、死因、死亡人数及上下界</w:t>
            </w:r>
          </w:p>
        </w:tc>
        <w:tc>
          <w:tcPr>
            <w:tcW w:type="dxa" w:w="1474"/>
          </w:tcPr>
          <w:p>
            <w:pPr>
              <w:jc w:val="left"/>
            </w:pPr>
            <w:r>
              <w:rPr>
                <w:sz w:val="18"/>
              </w:rPr>
              <w:t>22 类死因，2000-2023 年</w:t>
            </w:r>
          </w:p>
        </w:tc>
      </w:tr>
      <w:tr>
        <w:tc>
          <w:tcPr>
            <w:tcW w:type="dxa" w:w="567"/>
          </w:tcPr>
          <w:p>
            <w:pPr>
              <w:jc w:val="left"/>
            </w:pPr>
            <w:r>
              <w:rPr>
                <w:sz w:val="18"/>
              </w:rPr>
              <w:t>02</w:t>
            </w:r>
          </w:p>
        </w:tc>
        <w:tc>
          <w:tcPr>
            <w:tcW w:type="dxa" w:w="1474"/>
          </w:tcPr>
          <w:p>
            <w:pPr>
              <w:jc w:val="left"/>
            </w:pPr>
            <w:r>
              <w:rPr>
                <w:sz w:val="18"/>
              </w:rPr>
              <w:t>全球健康风险因素</w:t>
            </w:r>
          </w:p>
        </w:tc>
        <w:tc>
          <w:tcPr>
            <w:tcW w:type="dxa" w:w="1077"/>
          </w:tcPr>
          <w:p>
            <w:pPr>
              <w:jc w:val="left"/>
            </w:pPr>
            <w:r>
              <w:rPr>
                <w:sz w:val="18"/>
              </w:rPr>
              <w:t>IHME GBD</w:t>
            </w:r>
          </w:p>
        </w:tc>
        <w:tc>
          <w:tcPr>
            <w:tcW w:type="dxa" w:w="1020"/>
          </w:tcPr>
          <w:p>
            <w:pPr>
              <w:jc w:val="left"/>
            </w:pPr>
            <w:r>
              <w:rPr>
                <w:sz w:val="18"/>
              </w:rPr>
              <w:t>结构化 CSV</w:t>
            </w:r>
          </w:p>
        </w:tc>
        <w:tc>
          <w:tcPr>
            <w:tcW w:type="dxa" w:w="2211"/>
          </w:tcPr>
          <w:p>
            <w:pPr>
              <w:jc w:val="left"/>
            </w:pPr>
            <w:r>
              <w:rPr>
                <w:sz w:val="18"/>
              </w:rPr>
              <w:t>地理位置、年份、风险因素、死亡人数</w:t>
            </w:r>
          </w:p>
        </w:tc>
        <w:tc>
          <w:tcPr>
            <w:tcW w:type="dxa" w:w="1474"/>
          </w:tcPr>
          <w:p>
            <w:pPr>
              <w:jc w:val="left"/>
            </w:pPr>
            <w:r>
              <w:rPr>
                <w:sz w:val="18"/>
              </w:rPr>
              <w:t>20 类风险，2000-2023 年</w:t>
            </w:r>
          </w:p>
        </w:tc>
      </w:tr>
      <w:tr>
        <w:tc>
          <w:tcPr>
            <w:tcW w:type="dxa" w:w="567"/>
          </w:tcPr>
          <w:p>
            <w:pPr>
              <w:jc w:val="left"/>
            </w:pPr>
            <w:r>
              <w:rPr>
                <w:sz w:val="18"/>
              </w:rPr>
              <w:t>03</w:t>
            </w:r>
          </w:p>
        </w:tc>
        <w:tc>
          <w:tcPr>
            <w:tcW w:type="dxa" w:w="1474"/>
          </w:tcPr>
          <w:p>
            <w:pPr>
              <w:jc w:val="left"/>
            </w:pPr>
            <w:r>
              <w:rPr>
                <w:sz w:val="18"/>
              </w:rPr>
              <w:t>全球健康营养与人口统计</w:t>
            </w:r>
          </w:p>
        </w:tc>
        <w:tc>
          <w:tcPr>
            <w:tcW w:type="dxa" w:w="1077"/>
          </w:tcPr>
          <w:p>
            <w:pPr>
              <w:jc w:val="left"/>
            </w:pPr>
            <w:r>
              <w:rPr>
                <w:sz w:val="18"/>
              </w:rPr>
              <w:t>World Bank HNP</w:t>
            </w:r>
          </w:p>
        </w:tc>
        <w:tc>
          <w:tcPr>
            <w:tcW w:type="dxa" w:w="1020"/>
          </w:tcPr>
          <w:p>
            <w:pPr>
              <w:jc w:val="left"/>
            </w:pPr>
            <w:r>
              <w:rPr>
                <w:sz w:val="18"/>
              </w:rPr>
              <w:t>结构化 CSV</w:t>
            </w:r>
          </w:p>
        </w:tc>
        <w:tc>
          <w:tcPr>
            <w:tcW w:type="dxa" w:w="2211"/>
          </w:tcPr>
          <w:p>
            <w:pPr>
              <w:jc w:val="left"/>
            </w:pPr>
            <w:r>
              <w:rPr>
                <w:sz w:val="18"/>
              </w:rPr>
              <w:t>SP/SH/SN/SE/SL 指标，含 LE、IMR、U5MR</w:t>
            </w:r>
          </w:p>
        </w:tc>
        <w:tc>
          <w:tcPr>
            <w:tcW w:type="dxa" w:w="1474"/>
          </w:tcPr>
          <w:p>
            <w:pPr>
              <w:jc w:val="left"/>
            </w:pPr>
            <w:r>
              <w:rPr>
                <w:sz w:val="18"/>
              </w:rPr>
              <w:t>2.5 GB，多国多年</w:t>
            </w:r>
          </w:p>
        </w:tc>
      </w:tr>
      <w:tr>
        <w:tc>
          <w:tcPr>
            <w:tcW w:type="dxa" w:w="567"/>
          </w:tcPr>
          <w:p>
            <w:pPr>
              <w:jc w:val="left"/>
            </w:pPr>
            <w:r>
              <w:rPr>
                <w:sz w:val="18"/>
              </w:rPr>
              <w:t>04</w:t>
            </w:r>
          </w:p>
        </w:tc>
        <w:tc>
          <w:tcPr>
            <w:tcW w:type="dxa" w:w="1474"/>
          </w:tcPr>
          <w:p>
            <w:pPr>
              <w:jc w:val="left"/>
            </w:pPr>
            <w:r>
              <w:rPr>
                <w:sz w:val="18"/>
              </w:rPr>
              <w:t>社会经济指标</w:t>
            </w:r>
          </w:p>
        </w:tc>
        <w:tc>
          <w:tcPr>
            <w:tcW w:type="dxa" w:w="1077"/>
          </w:tcPr>
          <w:p>
            <w:pPr>
              <w:jc w:val="left"/>
            </w:pPr>
            <w:r>
              <w:rPr>
                <w:sz w:val="18"/>
              </w:rPr>
              <w:t>World Bank WDI</w:t>
            </w:r>
          </w:p>
        </w:tc>
        <w:tc>
          <w:tcPr>
            <w:tcW w:type="dxa" w:w="1020"/>
          </w:tcPr>
          <w:p>
            <w:pPr>
              <w:jc w:val="left"/>
            </w:pPr>
            <w:r>
              <w:rPr>
                <w:sz w:val="18"/>
              </w:rPr>
              <w:t>结构化 CSV</w:t>
            </w:r>
          </w:p>
        </w:tc>
        <w:tc>
          <w:tcPr>
            <w:tcW w:type="dxa" w:w="2211"/>
          </w:tcPr>
          <w:p>
            <w:pPr>
              <w:jc w:val="left"/>
            </w:pPr>
            <w:r>
              <w:rPr>
                <w:sz w:val="18"/>
              </w:rPr>
              <w:t>WDICSV、WDICountry、WDISeries 等</w:t>
            </w:r>
          </w:p>
        </w:tc>
        <w:tc>
          <w:tcPr>
            <w:tcW w:type="dxa" w:w="1474"/>
          </w:tcPr>
          <w:p>
            <w:pPr>
              <w:jc w:val="left"/>
            </w:pPr>
            <w:r>
              <w:rPr>
                <w:sz w:val="18"/>
              </w:rPr>
              <w:t>1960-2024 年</w:t>
            </w:r>
          </w:p>
        </w:tc>
      </w:tr>
      <w:tr>
        <w:tc>
          <w:tcPr>
            <w:tcW w:type="dxa" w:w="567"/>
          </w:tcPr>
          <w:p>
            <w:pPr>
              <w:jc w:val="left"/>
            </w:pPr>
            <w:r>
              <w:rPr>
                <w:sz w:val="18"/>
              </w:rPr>
              <w:t>05</w:t>
            </w:r>
          </w:p>
        </w:tc>
        <w:tc>
          <w:tcPr>
            <w:tcW w:type="dxa" w:w="1474"/>
          </w:tcPr>
          <w:p>
            <w:pPr>
              <w:jc w:val="left"/>
            </w:pPr>
            <w:r>
              <w:rPr>
                <w:sz w:val="18"/>
              </w:rPr>
              <w:t>中国省级卫生数据</w:t>
            </w:r>
          </w:p>
        </w:tc>
        <w:tc>
          <w:tcPr>
            <w:tcW w:type="dxa" w:w="1077"/>
          </w:tcPr>
          <w:p>
            <w:pPr>
              <w:jc w:val="left"/>
            </w:pPr>
            <w:r>
              <w:rPr>
                <w:sz w:val="18"/>
              </w:rPr>
              <w:t>国家统计局</w:t>
            </w:r>
          </w:p>
        </w:tc>
        <w:tc>
          <w:tcPr>
            <w:tcW w:type="dxa" w:w="1020"/>
          </w:tcPr>
          <w:p>
            <w:pPr>
              <w:jc w:val="left"/>
            </w:pPr>
            <w:r>
              <w:rPr>
                <w:sz w:val="18"/>
              </w:rPr>
              <w:t>结构化 CSV</w:t>
            </w:r>
          </w:p>
        </w:tc>
        <w:tc>
          <w:tcPr>
            <w:tcW w:type="dxa" w:w="2211"/>
          </w:tcPr>
          <w:p>
            <w:pPr>
              <w:jc w:val="left"/>
            </w:pPr>
            <w:r>
              <w:rPr>
                <w:sz w:val="18"/>
              </w:rPr>
              <w:t>卫生人员、医疗机构、寿命、出生率</w:t>
            </w:r>
          </w:p>
        </w:tc>
        <w:tc>
          <w:tcPr>
            <w:tcW w:type="dxa" w:w="1474"/>
          </w:tcPr>
          <w:p>
            <w:pPr>
              <w:jc w:val="left"/>
            </w:pPr>
            <w:r>
              <w:rPr>
                <w:sz w:val="18"/>
              </w:rPr>
              <w:t>31 省 x 20 年</w:t>
            </w:r>
          </w:p>
        </w:tc>
      </w:tr>
    </w:tbl>
    <w:p>
      <w:pPr>
        <w:pStyle w:val="3"/>
      </w:pPr>
      <w:r>
        <w:t xml:space="preserve">问题三共使用五类结构化数据。IHME GBD 数据为疾病负担和风险因素分析提供死亡与归因基础；世界银行 HNP 与 WDI 数据用于提取各国卫生投入、寿命和死亡率指标，并借助 WDICountry.csv 中的 Income Group 字段补充收入层级信息；国家统计局数据则支撑中国省级子样本的时序演化和再分配分析。多源数据在国家名称、年份范围和指标覆盖上存在差异，因此在建模前统一进行了字段标准化、国家映射和缺失回补处理。</w:t>
      </w:r>
    </w:p>
    <w:bookmarkEnd w:id="26"/>
    <w:bookmarkStart w:id="27" w:name="数据预处理流程"/>
    <w:p>
      <w:pPr>
        <w:pStyle w:val="4"/>
      </w:pPr>
      <w:r>
        <w:t xml:space="preserve">数据预处理流程</w:t>
      </w:r>
    </w:p>
    <w:p>
      <w:pPr>
        <w:pStyle w:val="12"/>
        <w:jc w:val="center"/>
      </w:pPr>
      <w:r>
        <w:t xml:space="preserve">表3-2 一级指标提取与定义</w:t>
      </w:r>
    </w:p>
    <w:tbl>
      <w:tblPr>
        <w:tblStyle w:val="21"/>
        <w:tblW w:type="auto" w:w="0"/>
        <w:jc w:val="center"/>
        <w:tblLayout w:type="fixed"/>
        <w:tblLook w:firstColumn="1" w:firstRow="1" w:lastColumn="0" w:lastRow="0" w:noHBand="0" w:noVBand="1" w:val="04A0"/>
      </w:tblPr>
      <w:tblGrid>
        <w:gridCol w:w="2076"/>
        <w:gridCol w:w="2076"/>
        <w:gridCol w:w="2076"/>
        <w:gridCol w:w="2076"/>
      </w:tblGrid>
      <w:tr>
        <w:tc>
          <w:tcPr>
            <w:tcW w:type="dxa" w:w="1417"/>
          </w:tcPr>
          <w:p>
            <w:pPr>
              <w:jc w:val="center"/>
            </w:pPr>
            <w:r>
              <w:rPr>
                <w:b/>
                <w:sz w:val="20"/>
              </w:rPr>
              <w:t>指标名称</w:t>
            </w:r>
          </w:p>
        </w:tc>
        <w:tc>
          <w:tcPr>
            <w:tcW w:type="dxa" w:w="737"/>
          </w:tcPr>
          <w:p>
            <w:pPr>
              <w:jc w:val="center"/>
            </w:pPr>
            <w:r>
              <w:rPr>
                <w:b/>
                <w:sz w:val="20"/>
              </w:rPr>
              <w:t>代号</w:t>
            </w:r>
          </w:p>
        </w:tc>
        <w:tc>
          <w:tcPr>
            <w:tcW w:type="dxa" w:w="1757"/>
          </w:tcPr>
          <w:p>
            <w:pPr>
              <w:jc w:val="center"/>
            </w:pPr>
            <w:r>
              <w:rPr>
                <w:b/>
                <w:sz w:val="20"/>
              </w:rPr>
              <w:t>来源指标码</w:t>
            </w:r>
          </w:p>
        </w:tc>
        <w:tc>
          <w:tcPr>
            <w:tcW w:type="dxa" w:w="3969"/>
          </w:tcPr>
          <w:p>
            <w:pPr>
              <w:jc w:val="center"/>
            </w:pPr>
            <w:r>
              <w:rPr>
                <w:b/>
                <w:sz w:val="20"/>
              </w:rPr>
              <w:t>说明</w:t>
            </w:r>
          </w:p>
        </w:tc>
      </w:tr>
      <w:tr>
        <w:tc>
          <w:tcPr>
            <w:tcW w:type="dxa" w:w="1417"/>
          </w:tcPr>
          <w:p>
            <w:pPr>
              <w:jc w:val="left"/>
            </w:pPr>
            <w:r>
              <w:rPr>
                <w:sz w:val="20"/>
              </w:rPr>
              <w:t>医生密度</w:t>
            </w:r>
          </w:p>
        </w:tc>
        <w:tc>
          <w:tcPr>
            <w:tcW w:type="dxa" w:w="737"/>
          </w:tcPr>
          <w:p>
            <w:pPr>
              <w:jc w:val="left"/>
            </w:pPr>
            <w:r>
              <w:rPr>
                <w:sz w:val="20"/>
              </w:rPr>
              <w:t>Phys</w:t>
            </w:r>
          </w:p>
        </w:tc>
        <w:tc>
          <w:tcPr>
            <w:tcW w:type="dxa" w:w="1757"/>
          </w:tcPr>
          <w:p>
            <w:pPr>
              <w:jc w:val="left"/>
            </w:pPr>
            <w:r>
              <w:rPr>
                <w:sz w:val="20"/>
              </w:rPr>
              <w:t>SH.MED.PHYS.ZS</w:t>
            </w:r>
          </w:p>
        </w:tc>
        <w:tc>
          <w:tcPr>
            <w:tcW w:type="dxa" w:w="3969"/>
          </w:tcPr>
          <w:p>
            <w:pPr>
              <w:jc w:val="left"/>
            </w:pPr>
            <w:r>
              <w:rPr>
                <w:sz w:val="20"/>
              </w:rPr>
              <w:t>每千人医生数，03 优先，缺失回退 04</w:t>
            </w:r>
          </w:p>
        </w:tc>
      </w:tr>
      <w:tr>
        <w:tc>
          <w:tcPr>
            <w:tcW w:type="dxa" w:w="1417"/>
          </w:tcPr>
          <w:p>
            <w:pPr>
              <w:jc w:val="left"/>
            </w:pPr>
            <w:r>
              <w:rPr>
                <w:sz w:val="20"/>
              </w:rPr>
              <w:t>床位密度</w:t>
            </w:r>
          </w:p>
        </w:tc>
        <w:tc>
          <w:tcPr>
            <w:tcW w:type="dxa" w:w="737"/>
          </w:tcPr>
          <w:p>
            <w:pPr>
              <w:jc w:val="left"/>
            </w:pPr>
            <w:r>
              <w:rPr>
                <w:sz w:val="20"/>
              </w:rPr>
              <w:t>Beds</w:t>
            </w:r>
          </w:p>
        </w:tc>
        <w:tc>
          <w:tcPr>
            <w:tcW w:type="dxa" w:w="1757"/>
          </w:tcPr>
          <w:p>
            <w:pPr>
              <w:jc w:val="left"/>
            </w:pPr>
            <w:r>
              <w:rPr>
                <w:sz w:val="20"/>
              </w:rPr>
              <w:t>SH.MED.BEDS.ZS</w:t>
            </w:r>
          </w:p>
        </w:tc>
        <w:tc>
          <w:tcPr>
            <w:tcW w:type="dxa" w:w="3969"/>
          </w:tcPr>
          <w:p>
            <w:pPr>
              <w:jc w:val="left"/>
            </w:pPr>
            <w:r>
              <w:rPr>
                <w:sz w:val="20"/>
              </w:rPr>
              <w:t>每千人床位数，03 优先，缺失回退 04</w:t>
            </w:r>
          </w:p>
        </w:tc>
      </w:tr>
      <w:tr>
        <w:tc>
          <w:tcPr>
            <w:tcW w:type="dxa" w:w="1417"/>
          </w:tcPr>
          <w:p>
            <w:pPr>
              <w:jc w:val="left"/>
            </w:pPr>
            <w:r>
              <w:rPr>
                <w:sz w:val="20"/>
              </w:rPr>
              <w:t>卫生支出占 GDP</w:t>
            </w:r>
          </w:p>
        </w:tc>
        <w:tc>
          <w:tcPr>
            <w:tcW w:type="dxa" w:w="737"/>
          </w:tcPr>
          <w:p>
            <w:pPr>
              <w:jc w:val="left"/>
            </w:pPr>
            <w:r>
              <w:rPr>
                <w:sz w:val="20"/>
              </w:rPr>
              <w:t>HExp</w:t>
            </w:r>
          </w:p>
        </w:tc>
        <w:tc>
          <w:tcPr>
            <w:tcW w:type="dxa" w:w="1757"/>
          </w:tcPr>
          <w:p>
            <w:pPr>
              <w:jc w:val="left"/>
            </w:pPr>
            <w:r>
              <w:rPr>
                <w:sz w:val="20"/>
              </w:rPr>
              <w:t>SH.XPD.CHEX.GD.ZS</w:t>
            </w:r>
          </w:p>
        </w:tc>
        <w:tc>
          <w:tcPr>
            <w:tcW w:type="dxa" w:w="3969"/>
          </w:tcPr>
          <w:p>
            <w:pPr>
              <w:jc w:val="left"/>
            </w:pPr>
            <w:r>
              <w:rPr>
                <w:sz w:val="20"/>
              </w:rPr>
              <w:t>世界银行指标，单位为百分比</w:t>
            </w:r>
          </w:p>
        </w:tc>
      </w:tr>
      <w:tr>
        <w:tc>
          <w:tcPr>
            <w:tcW w:type="dxa" w:w="1417"/>
          </w:tcPr>
          <w:p>
            <w:pPr>
              <w:jc w:val="left"/>
            </w:pPr>
            <w:r>
              <w:rPr>
                <w:sz w:val="20"/>
              </w:rPr>
              <w:t>人均卫生支出</w:t>
            </w:r>
          </w:p>
        </w:tc>
        <w:tc>
          <w:tcPr>
            <w:tcW w:type="dxa" w:w="737"/>
          </w:tcPr>
          <w:p>
            <w:pPr>
              <w:jc w:val="left"/>
            </w:pPr>
            <w:r>
              <w:rPr>
                <w:sz w:val="20"/>
              </w:rPr>
              <w:t>HExpPC</w:t>
            </w:r>
          </w:p>
        </w:tc>
        <w:tc>
          <w:tcPr>
            <w:tcW w:type="dxa" w:w="1757"/>
          </w:tcPr>
          <w:p>
            <w:pPr>
              <w:jc w:val="left"/>
            </w:pPr>
            <w:r>
              <w:rPr>
                <w:sz w:val="20"/>
              </w:rPr>
              <w:t>SH.XPD.CHEX.PC.CD</w:t>
            </w:r>
          </w:p>
        </w:tc>
        <w:tc>
          <w:tcPr>
            <w:tcW w:type="dxa" w:w="3969"/>
          </w:tcPr>
          <w:p>
            <w:pPr>
              <w:jc w:val="left"/>
            </w:pPr>
            <w:r>
              <w:rPr>
                <w:sz w:val="20"/>
              </w:rPr>
              <w:t>当前美元口径</w:t>
            </w:r>
          </w:p>
        </w:tc>
      </w:tr>
      <w:tr>
        <w:tc>
          <w:tcPr>
            <w:tcW w:type="dxa" w:w="1417"/>
          </w:tcPr>
          <w:p>
            <w:pPr>
              <w:jc w:val="left"/>
            </w:pPr>
            <w:r>
              <w:rPr>
                <w:sz w:val="20"/>
              </w:rPr>
              <w:t>传染性疾病占比</w:t>
            </w:r>
          </w:p>
        </w:tc>
        <w:tc>
          <w:tcPr>
            <w:tcW w:type="dxa" w:w="737"/>
          </w:tcPr>
          <w:p>
            <w:pPr>
              <w:jc w:val="left"/>
            </w:pPr>
            <w:r>
              <w:rPr>
                <w:sz w:val="20"/>
              </w:rPr>
              <w:t>CommSh</w:t>
            </w:r>
          </w:p>
        </w:tc>
        <w:tc>
          <w:tcPr>
            <w:tcW w:type="dxa" w:w="1757"/>
          </w:tcPr>
          <w:p>
            <w:pPr>
              <w:jc w:val="left"/>
            </w:pPr>
            <w:r>
              <w:rPr>
                <w:sz w:val="20"/>
              </w:rPr>
              <w:t>数据集 01 聚合</w:t>
            </w:r>
          </w:p>
        </w:tc>
        <w:tc>
          <w:tcPr>
            <w:tcW w:type="dxa" w:w="3969"/>
          </w:tcPr>
          <w:p>
            <w:pPr>
              <w:jc w:val="left"/>
            </w:pPr>
            <w:r>
              <w:rPr>
                <w:sz w:val="20"/>
              </w:rPr>
              <w:t>传染病死亡占全因死亡比例</w:t>
            </w:r>
          </w:p>
        </w:tc>
      </w:tr>
      <w:tr>
        <w:tc>
          <w:tcPr>
            <w:tcW w:type="dxa" w:w="1417"/>
          </w:tcPr>
          <w:p>
            <w:pPr>
              <w:jc w:val="left"/>
            </w:pPr>
            <w:r>
              <w:rPr>
                <w:sz w:val="20"/>
              </w:rPr>
              <w:t>婴儿死亡率</w:t>
            </w:r>
          </w:p>
        </w:tc>
        <w:tc>
          <w:tcPr>
            <w:tcW w:type="dxa" w:w="737"/>
          </w:tcPr>
          <w:p>
            <w:pPr>
              <w:jc w:val="left"/>
            </w:pPr>
            <w:r>
              <w:rPr>
                <w:sz w:val="20"/>
              </w:rPr>
              <w:t>IMR</w:t>
            </w:r>
          </w:p>
        </w:tc>
        <w:tc>
          <w:tcPr>
            <w:tcW w:type="dxa" w:w="1757"/>
          </w:tcPr>
          <w:p>
            <w:pPr>
              <w:jc w:val="left"/>
            </w:pPr>
            <w:r>
              <w:rPr>
                <w:sz w:val="20"/>
              </w:rPr>
              <w:t>SP.DYN.IMRT.IN</w:t>
            </w:r>
          </w:p>
        </w:tc>
        <w:tc>
          <w:tcPr>
            <w:tcW w:type="dxa" w:w="3969"/>
          </w:tcPr>
          <w:p>
            <w:pPr>
              <w:jc w:val="left"/>
            </w:pPr>
            <w:r>
              <w:rPr>
                <w:sz w:val="20"/>
              </w:rPr>
              <w:t>每千活产儿死亡数</w:t>
            </w:r>
          </w:p>
        </w:tc>
      </w:tr>
      <w:tr>
        <w:tc>
          <w:tcPr>
            <w:tcW w:type="dxa" w:w="1417"/>
          </w:tcPr>
          <w:p>
            <w:pPr>
              <w:jc w:val="left"/>
            </w:pPr>
            <w:r>
              <w:rPr>
                <w:sz w:val="20"/>
              </w:rPr>
              <w:t>5 岁以下死亡率</w:t>
            </w:r>
          </w:p>
        </w:tc>
        <w:tc>
          <w:tcPr>
            <w:tcW w:type="dxa" w:w="737"/>
          </w:tcPr>
          <w:p>
            <w:pPr>
              <w:jc w:val="left"/>
            </w:pPr>
            <w:r>
              <w:rPr>
                <w:sz w:val="20"/>
              </w:rPr>
              <w:t>U5MR</w:t>
            </w:r>
          </w:p>
        </w:tc>
        <w:tc>
          <w:tcPr>
            <w:tcW w:type="dxa" w:w="1757"/>
          </w:tcPr>
          <w:p>
            <w:pPr>
              <w:jc w:val="left"/>
            </w:pPr>
            <w:r>
              <w:rPr>
                <w:sz w:val="20"/>
              </w:rPr>
              <w:t>SH.DYN.MORT</w:t>
            </w:r>
          </w:p>
        </w:tc>
        <w:tc>
          <w:tcPr>
            <w:tcW w:type="dxa" w:w="3969"/>
          </w:tcPr>
          <w:p>
            <w:pPr>
              <w:jc w:val="left"/>
            </w:pPr>
            <w:r>
              <w:rPr>
                <w:sz w:val="20"/>
              </w:rPr>
              <w:t>每千活产儿死亡数</w:t>
            </w:r>
          </w:p>
        </w:tc>
      </w:tr>
      <w:tr>
        <w:tc>
          <w:tcPr>
            <w:tcW w:type="dxa" w:w="1417"/>
          </w:tcPr>
          <w:p>
            <w:pPr>
              <w:jc w:val="left"/>
            </w:pPr>
            <w:r>
              <w:rPr>
                <w:sz w:val="20"/>
              </w:rPr>
              <w:t>预期寿命</w:t>
            </w:r>
          </w:p>
        </w:tc>
        <w:tc>
          <w:tcPr>
            <w:tcW w:type="dxa" w:w="737"/>
          </w:tcPr>
          <w:p>
            <w:pPr>
              <w:jc w:val="left"/>
            </w:pPr>
            <w:r>
              <w:rPr>
                <w:sz w:val="20"/>
              </w:rPr>
              <w:t>LE</w:t>
            </w:r>
          </w:p>
        </w:tc>
        <w:tc>
          <w:tcPr>
            <w:tcW w:type="dxa" w:w="1757"/>
          </w:tcPr>
          <w:p>
            <w:pPr>
              <w:jc w:val="left"/>
            </w:pPr>
            <w:r>
              <w:rPr>
                <w:sz w:val="20"/>
              </w:rPr>
              <w:t>SP.DYN.LE00.IN</w:t>
            </w:r>
          </w:p>
        </w:tc>
        <w:tc>
          <w:tcPr>
            <w:tcW w:type="dxa" w:w="3969"/>
          </w:tcPr>
          <w:p>
            <w:pPr>
              <w:jc w:val="left"/>
            </w:pPr>
            <w:r>
              <w:rPr>
                <w:sz w:val="20"/>
              </w:rPr>
              <w:t>出生时预期寿命，单位为岁</w:t>
            </w:r>
          </w:p>
        </w:tc>
      </w:tr>
    </w:tbl>
    <w:p>
      <w:pPr>
        <w:pStyle w:val="3"/>
      </w:pPr>
      <w:r>
        <w:t xml:space="preserve">预处理环节首先对国家名称和年份字段进行统一编码，并在 03 与 04 两类世界银行数据中执行</w:t>
      </w:r>
      <w:r>
        <w:t xml:space="preserve">“</w:t>
      </w:r>
      <w:r>
        <w:t xml:space="preserve">03 优先、04 回退</w:t>
      </w:r>
      <w:r>
        <w:t xml:space="preserve">”</w:t>
      </w:r>
      <w:r>
        <w:t xml:space="preserve">的缺失填补规则。随后，针对 01 数据集聚合计算各国传染病死亡占比 CommSh，再将所有一级指标在统一国家-年份面板上拼接。对于中国省级部分，则结合卫生人员、机构数、预期寿命和婴儿死亡率形成省级卫生投入与产出子样本。</w:t>
      </w:r>
    </w:p>
    <w:p>
      <w:pPr>
        <w:pStyle w:val="3"/>
      </w:pPr>
      <w:r>
        <w:t xml:space="preserve">综合指数的合成采用 z-score 标准化后等权加权：</w:t>
      </w:r>
    </w:p>
    <w:p>
      <w:pPr>
        <w:pStyle w:val="3"/>
        <w:jc w:val="center"/>
      </w:pPr>
      <m:oMathPara>
        <m:oMathParaPr>
          <m:jc m:val="center"/>
        </m:oMathParaPr>
        <m:oMath>
          <m:sSup>
            <m:e>
              <m:r>
                <m:t>I</m:t>
              </m:r>
            </m:e>
            <m:sup>
              <m:r>
                <m:rPr>
                  <m:nor/>
                  <m:sty m:val="p"/>
                </m:rPr>
                <m:t>input</m:t>
              </m:r>
            </m:sup>
          </m:sSup>
          <m:r>
            <m:rPr>
              <m:sty m:val="p"/>
            </m:rPr>
            <m:t>=</m:t>
          </m:r>
          <m:f>
            <m:fPr>
              <m:type m:val="bar"/>
            </m:fPr>
            <m:num>
              <m:r>
                <m:t>1</m:t>
              </m:r>
            </m:num>
            <m:den>
              <m:r>
                <m:t>4</m:t>
              </m:r>
            </m:den>
          </m:f>
          <m:d>
            <m:dPr>
              <m:begChr m:val="["/>
              <m:endChr m:val="]"/>
              <m:grow/>
            </m:dPr>
            <m:e>
              <m:r>
                <m:t>z</m:t>
              </m:r>
              <m:r>
                <m:rPr>
                  <m:sty m:val="p"/>
                </m:rPr>
                <m:t>(</m:t>
              </m:r>
              <m:r>
                <m:rPr>
                  <m:nor/>
                  <m:sty m:val="p"/>
                </m:rPr>
                <m:t>Phys</m:t>
              </m:r>
              <m:r>
                <m:rPr>
                  <m:sty m:val="p"/>
                </m:rPr>
                <m:t>)</m:t>
              </m:r>
              <m:r>
                <m:rPr>
                  <m:sty m:val="p"/>
                </m:rPr>
                <m:t>+</m:t>
              </m:r>
              <m:r>
                <m:t>z</m:t>
              </m:r>
              <m:r>
                <m:rPr>
                  <m:sty m:val="p"/>
                </m:rPr>
                <m:t>(</m:t>
              </m:r>
              <m:r>
                <m:rPr>
                  <m:nor/>
                  <m:sty m:val="p"/>
                </m:rPr>
                <m:t>Beds</m:t>
              </m:r>
              <m:r>
                <m:rPr>
                  <m:sty m:val="p"/>
                </m:rPr>
                <m:t>)</m:t>
              </m:r>
              <m:r>
                <m:rPr>
                  <m:sty m:val="p"/>
                </m:rPr>
                <m:t>+</m:t>
              </m:r>
              <m:r>
                <m:t>z</m:t>
              </m:r>
              <m:r>
                <m:rPr>
                  <m:sty m:val="p"/>
                </m:rPr>
                <m:t>(</m:t>
              </m:r>
              <m:r>
                <m:rPr>
                  <m:nor/>
                  <m:sty m:val="p"/>
                </m:rPr>
                <m:t>HExp</m:t>
              </m:r>
              <m:r>
                <m:rPr>
                  <m:sty m:val="p"/>
                </m:rPr>
                <m:t>)</m:t>
              </m:r>
              <m:r>
                <m:rPr>
                  <m:sty m:val="p"/>
                </m:rPr>
                <m:t>+</m:t>
              </m:r>
              <m:r>
                <m:t>z</m:t>
              </m:r>
              <m:r>
                <m:rPr>
                  <m:sty m:val="p"/>
                </m:rPr>
                <m:t>(</m:t>
              </m:r>
              <m:r>
                <m:rPr>
                  <m:nor/>
                  <m:sty m:val="p"/>
                </m:rPr>
                <m:t>HExpPC</m:t>
              </m:r>
              <m:r>
                <m:rPr>
                  <m:sty m:val="p"/>
                </m:rPr>
                <m:t>)</m:t>
              </m:r>
            </m:e>
          </m:d>
        </m:oMath>
      </m:oMathPara>
    </w:p>
    <w:p>
      <w:pPr>
        <w:pStyle w:val="3"/>
        <w:jc w:val="center"/>
      </w:pPr>
      <m:oMathPara>
        <m:oMathParaPr>
          <m:jc m:val="center"/>
        </m:oMathParaPr>
        <m:oMath>
          <m:sSup>
            <m:e>
              <m:r>
                <m:t>I</m:t>
              </m:r>
            </m:e>
            <m:sup>
              <m:r>
                <m:rPr>
                  <m:nor/>
                  <m:sty m:val="p"/>
                </m:rPr>
                <m:t>output</m:t>
              </m:r>
            </m:sup>
          </m:sSup>
          <m:r>
            <m:rPr>
              <m:sty m:val="p"/>
            </m:rPr>
            <m:t>=</m:t>
          </m:r>
          <m:f>
            <m:fPr>
              <m:type m:val="bar"/>
            </m:fPr>
            <m:num>
              <m:r>
                <m:t>1</m:t>
              </m:r>
            </m:num>
            <m:den>
              <m:r>
                <m:t>3</m:t>
              </m:r>
            </m:den>
          </m:f>
          <m:d>
            <m:dPr>
              <m:begChr m:val="["/>
              <m:endChr m:val="]"/>
              <m:grow/>
            </m:dPr>
            <m:e>
              <m:r>
                <m:t>z</m:t>
              </m:r>
              <m:r>
                <m:rPr>
                  <m:sty m:val="p"/>
                </m:rPr>
                <m:t>(</m:t>
              </m:r>
              <m:r>
                <m:rPr>
                  <m:nor/>
                  <m:sty m:val="p"/>
                </m:rPr>
                <m:t>LE</m:t>
              </m:r>
              <m:r>
                <m:rPr>
                  <m:sty m:val="p"/>
                </m:rPr>
                <m:t>)</m:t>
              </m:r>
              <m:r>
                <m:rPr>
                  <m:sty m:val="p"/>
                </m:rPr>
                <m:t>+</m:t>
              </m:r>
              <m:sSup>
                <m:e>
                  <m:r>
                    <m:t>z</m:t>
                  </m:r>
                </m:e>
                <m:sup>
                  <m:r>
                    <m:rPr>
                      <m:sty m:val="p"/>
                    </m:rPr>
                    <m:t>−</m:t>
                  </m:r>
                </m:sup>
              </m:sSup>
              <m:r>
                <m:rPr>
                  <m:sty m:val="p"/>
                </m:rPr>
                <m:t>(</m:t>
              </m:r>
              <m:r>
                <m:rPr>
                  <m:nor/>
                  <m:sty m:val="p"/>
                </m:rPr>
                <m:t>IMR</m:t>
              </m:r>
              <m:r>
                <m:rPr>
                  <m:sty m:val="p"/>
                </m:rPr>
                <m:t>)</m:t>
              </m:r>
              <m:r>
                <m:rPr>
                  <m:sty m:val="p"/>
                </m:rPr>
                <m:t>+</m:t>
              </m:r>
              <m:sSup>
                <m:e>
                  <m:r>
                    <m:t>z</m:t>
                  </m:r>
                </m:e>
                <m:sup>
                  <m:r>
                    <m:rPr>
                      <m:sty m:val="p"/>
                    </m:rPr>
                    <m:t>−</m:t>
                  </m:r>
                </m:sup>
              </m:sSup>
              <m:r>
                <m:rPr>
                  <m:sty m:val="p"/>
                </m:rPr>
                <m:t>(</m:t>
              </m:r>
              <m:r>
                <m:rPr>
                  <m:nor/>
                  <m:sty m:val="p"/>
                </m:rPr>
                <m:t>U5MR</m:t>
              </m:r>
              <m:r>
                <m:rPr>
                  <m:sty m:val="p"/>
                </m:rPr>
                <m:t>)</m:t>
              </m:r>
            </m:e>
          </m:d>
        </m:oMath>
      </m:oMathPara>
    </w:p>
    <w:p>
      <w:pPr>
        <w:pStyle w:val="3"/>
        <w:jc w:val="center"/>
      </w:pPr>
      <m:oMathPara>
        <m:oMathParaPr>
          <m:jc m:val="center"/>
        </m:oMathParaPr>
        <m:oMath>
          <m:sSup>
            <m:e>
              <m:r>
                <m:t>I</m:t>
              </m:r>
            </m:e>
            <m:sup>
              <m:r>
                <m:rPr>
                  <m:nor/>
                  <m:sty m:val="p"/>
                </m:rPr>
                <m:t>need</m:t>
              </m:r>
            </m:sup>
          </m:sSup>
          <m:r>
            <m:rPr>
              <m:sty m:val="p"/>
            </m:rPr>
            <m:t>=</m:t>
          </m:r>
          <m:f>
            <m:fPr>
              <m:type m:val="bar"/>
            </m:fPr>
            <m:num>
              <m:r>
                <m:t>1</m:t>
              </m:r>
            </m:num>
            <m:den>
              <m:r>
                <m:t>4</m:t>
              </m:r>
            </m:den>
          </m:f>
          <m:d>
            <m:dPr>
              <m:begChr m:val="["/>
              <m:endChr m:val="]"/>
              <m:grow/>
            </m:dPr>
            <m:e>
              <m:r>
                <m:t>z</m:t>
              </m:r>
              <m:r>
                <m:rPr>
                  <m:sty m:val="p"/>
                </m:rPr>
                <m:t>(</m:t>
              </m:r>
              <m:r>
                <m:rPr>
                  <m:nor/>
                  <m:sty m:val="p"/>
                </m:rPr>
                <m:t>CommSh</m:t>
              </m:r>
              <m:r>
                <m:rPr>
                  <m:sty m:val="p"/>
                </m:rPr>
                <m:t>)</m:t>
              </m:r>
              <m:r>
                <m:rPr>
                  <m:sty m:val="p"/>
                </m:rPr>
                <m:t>+</m:t>
              </m:r>
              <m:r>
                <m:t>z</m:t>
              </m:r>
              <m:r>
                <m:rPr>
                  <m:sty m:val="p"/>
                </m:rPr>
                <m:t>(</m:t>
              </m:r>
              <m:r>
                <m:rPr>
                  <m:nor/>
                  <m:sty m:val="p"/>
                </m:rPr>
                <m:t>IMR</m:t>
              </m:r>
              <m:r>
                <m:rPr>
                  <m:sty m:val="p"/>
                </m:rPr>
                <m:t>)</m:t>
              </m:r>
              <m:r>
                <m:rPr>
                  <m:sty m:val="p"/>
                </m:rPr>
                <m:t>+</m:t>
              </m:r>
              <m:r>
                <m:t>z</m:t>
              </m:r>
              <m:r>
                <m:rPr>
                  <m:sty m:val="p"/>
                </m:rPr>
                <m:t>(</m:t>
              </m:r>
              <m:r>
                <m:rPr>
                  <m:nor/>
                  <m:sty m:val="p"/>
                </m:rPr>
                <m:t>U5MR</m:t>
              </m:r>
              <m:r>
                <m:rPr>
                  <m:sty m:val="p"/>
                </m:rPr>
                <m:t>)</m:t>
              </m:r>
              <m:r>
                <m:rPr>
                  <m:sty m:val="p"/>
                </m:rPr>
                <m:t>+</m:t>
              </m:r>
              <m:sSup>
                <m:e>
                  <m:r>
                    <m:t>z</m:t>
                  </m:r>
                </m:e>
                <m:sup>
                  <m:r>
                    <m:rPr>
                      <m:sty m:val="p"/>
                    </m:rPr>
                    <m:t>−</m:t>
                  </m:r>
                </m:sup>
              </m:sSup>
              <m:r>
                <m:rPr>
                  <m:sty m:val="p"/>
                </m:rPr>
                <m:t>(</m:t>
              </m:r>
              <m:r>
                <m:rPr>
                  <m:nor/>
                  <m:sty m:val="p"/>
                </m:rPr>
                <m:t>LE</m:t>
              </m:r>
              <m:r>
                <m:rPr>
                  <m:sty m:val="p"/>
                </m:rPr>
                <m:t>)</m:t>
              </m:r>
            </m:e>
          </m:d>
        </m:oMath>
      </m:oMathPara>
    </w:p>
    <w:p>
      <w:pPr>
        <w:pStyle w:val="3"/>
      </w:pPr>
      <w:r>
        <w:t xml:space="preserve">其中，</w:t>
      </w:r>
      <m:oMath>
        <m:sSup>
          <m:e>
            <m:r>
              <m:t>z</m:t>
            </m:r>
          </m:e>
          <m:sup>
            <m:r>
              <m:rPr>
                <m:sty m:val="p"/>
              </m:rPr>
              <m:t>−</m:t>
            </m:r>
          </m:sup>
        </m:sSup>
        <m:r>
          <m:rPr>
            <m:sty m:val="p"/>
          </m:rPr>
          <m:t>(</m:t>
        </m:r>
        <m:r>
          <m:rPr>
            <m:sty m:val="p"/>
          </m:rPr>
          <m:t>⋅</m:t>
        </m:r>
        <m:r>
          <m:rPr>
            <m:sty m:val="p"/>
          </m:rPr>
          <m:t>)</m:t>
        </m:r>
      </m:oMath>
      <w:r>
        <w:t xml:space="preserve"> </w:t>
      </w:r>
      <w:r>
        <w:t xml:space="preserve">表示逆向标准化，用于处理</w:t>
      </w:r>
      <w:r>
        <w:t xml:space="preserve">“</w:t>
      </w:r>
      <w:r>
        <w:t xml:space="preserve">数值越大越差</w:t>
      </w:r>
      <w:r>
        <w:t xml:space="preserve">”</w:t>
      </w:r>
      <w:r>
        <w:t xml:space="preserve">的死亡率指标。上述设计使得投入、产出和需求三类指数能够在统一量纲下进行比较，为后续缺口识别与优化建模奠定基础。</w:t>
      </w:r>
    </w:p>
    <w:bookmarkEnd w:id="27"/>
    <w:bookmarkEnd w:id="28"/>
    <w:bookmarkStart w:id="50" w:name="分析框架与方法应用"/>
    <w:p>
      <w:pPr>
        <w:pStyle w:val="2"/>
      </w:pPr>
      <w:r>
        <w:t xml:space="preserve">分析框架与方法应用</w:t>
      </w:r>
    </w:p>
    <w:bookmarkStart w:id="31" w:name="资源缺口识别3-1"/>
    <w:p>
      <w:pPr>
        <w:pStyle w:val="4"/>
      </w:pPr>
      <w:r>
        <w:t xml:space="preserve">资源缺口识别（3-1）</w:t>
      </w:r>
    </w:p>
    <w:p>
      <w:pPr>
        <w:pStyle w:val="3"/>
      </w:pPr>
      <w:r>
        <w:t xml:space="preserve">本文以投入指数与需求指数之间的差值定义资源缺口：</w:t>
      </w:r>
    </w:p>
    <w:p>
      <w:pPr>
        <w:pStyle w:val="3"/>
        <w:jc w:val="center"/>
      </w:pPr>
      <m:oMathPara>
        <m:oMathParaPr>
          <m:jc m:val="center"/>
        </m:oMathParaPr>
        <m:oMath>
          <m:sSub>
            <m:e>
              <m:r>
                <m:rPr>
                  <m:nor/>
                  <m:sty m:val="p"/>
                </m:rPr>
                <m:t>Gap</m:t>
              </m:r>
            </m:e>
            <m:sub>
              <m:r>
                <m:t>i</m:t>
              </m:r>
            </m:sub>
          </m:sSub>
          <m:r>
            <m:rPr>
              <m:sty m:val="p"/>
            </m:rPr>
            <m:t>=</m:t>
          </m:r>
          <m:sSubSup>
            <m:e>
              <m:r>
                <m:t>I</m:t>
              </m:r>
            </m:e>
            <m:sub>
              <m:r>
                <m:t>i</m:t>
              </m:r>
            </m:sub>
            <m:sup>
              <m:r>
                <m:rPr>
                  <m:nor/>
                  <m:sty m:val="p"/>
                </m:rPr>
                <m:t>input</m:t>
              </m:r>
            </m:sup>
          </m:sSubSup>
          <m:r>
            <m:rPr>
              <m:sty m:val="p"/>
            </m:rPr>
            <m:t>−</m:t>
          </m:r>
          <m:sSubSup>
            <m:e>
              <m:r>
                <m:t>I</m:t>
              </m:r>
            </m:e>
            <m:sub>
              <m:r>
                <m:t>i</m:t>
              </m:r>
            </m:sub>
            <m:sup>
              <m:r>
                <m:rPr>
                  <m:nor/>
                  <m:sty m:val="p"/>
                </m:rPr>
                <m:t>need</m:t>
              </m:r>
            </m:sup>
          </m:sSubSup>
        </m:oMath>
      </m:oMathPara>
    </w:p>
    <w:p>
      <w:pPr>
        <w:pStyle w:val="3"/>
      </w:pPr>
      <w:r>
        <w:t xml:space="preserve">其中，</w:t>
      </w:r>
      <m:oMath>
        <m:sSub>
          <m:e>
            <m:r>
              <m:rPr>
                <m:nor/>
                <m:sty m:val="p"/>
              </m:rPr>
              <m:t>Gap</m:t>
            </m:r>
          </m:e>
          <m:sub>
            <m:r>
              <m:t>i</m:t>
            </m:r>
          </m:sub>
        </m:sSub>
        <m:r>
          <m:rPr>
            <m:sty m:val="p"/>
          </m:rPr>
          <m:t>&lt;</m:t>
        </m:r>
        <m:r>
          <m:t>0</m:t>
        </m:r>
      </m:oMath>
      <w:r>
        <w:t xml:space="preserve"> </w:t>
      </w:r>
      <w:r>
        <w:t xml:space="preserve">表示国家</w:t>
      </w:r>
      <w:r>
        <w:t xml:space="preserve"> </w:t>
      </w:r>
      <m:oMath>
        <m:r>
          <m:t>i</m:t>
        </m:r>
      </m:oMath>
      <w:r>
        <w:t xml:space="preserve"> </w:t>
      </w:r>
      <w:r>
        <w:t xml:space="preserve">的实际卫生资源投入低于理论需求。为增强结果解释性，本文以 2023 年为基准截面，按资源缺口的五分位数将各国划分为 A 到 E 五个等级，对应</w:t>
      </w:r>
      <w:r>
        <w:t xml:space="preserve">“</w:t>
      </w:r>
      <w:r>
        <w:t xml:space="preserve">资源富余</w:t>
      </w:r>
      <w:r>
        <w:t xml:space="preserve">”</w:t>
      </w:r>
      <w:r>
        <w:t xml:space="preserve">到</w:t>
      </w:r>
      <w:r>
        <w:t xml:space="preserve">“</w:t>
      </w:r>
      <w:r>
        <w:t xml:space="preserve">严重不足</w:t>
      </w:r>
      <w:r>
        <w:t xml:space="preserve">”</w:t>
      </w:r>
      <w:r>
        <w:t xml:space="preserve">。</w:t>
      </w:r>
    </w:p>
    <w:p xmlns:a="http://schemas.openxmlformats.org/drawingml/2006/main" xmlns:pic="http://schemas.openxmlformats.org/drawingml/2006/picture">
      <w:pPr>
        <w:pStyle w:val="40"/>
        <w:jc w:val="center"/>
      </w:pPr>
      <w:r>
        <w:drawing>
          <wp:inline>
            <wp:extent cx="5270500" cy="3062587"/>
            <wp:effectExtent b="0" l="0" r="0" t="0"/>
            <wp:docPr descr="图3-1 2023年全球卫生资源缺口五级分布" title="" id="1" name="Picture"/>
            <a:graphic>
              <a:graphicData uri="http://schemas.openxmlformats.org/drawingml/2006/picture">
                <pic:pic>
                  <pic:nvPicPr>
                    <pic:cNvPr descr="reports/paper/assets/p3_01_global_gap_map.png" id="0" name="Picture"/>
                    <pic:cNvPicPr>
                      <a:picLocks noChangeArrowheads="1" noChangeAspect="1"/>
                    </pic:cNvPicPr>
                  </pic:nvPicPr>
                  <pic:blipFill>
                    <a:blip r:embed="rId12"/>
                    <a:stretch>
                      <a:fillRect/>
                    </a:stretch>
                  </pic:blipFill>
                  <pic:spPr bwMode="auto">
                    <a:xfrm>
                      <a:off x="0" y="0"/>
                      <a:ext cx="5270500" cy="3062587"/>
                    </a:xfrm>
                    <a:prstGeom prst="rect">
                      <a:avLst/>
                    </a:prstGeom>
                    <a:noFill/>
                    <a:ln w="9525">
                      <a:noFill/>
                      <a:headEnd/>
                      <a:tailEnd/>
                    </a:ln>
                  </pic:spPr>
                </pic:pic>
              </a:graphicData>
            </a:graphic>
          </wp:inline>
        </w:drawing>
      </w:r>
    </w:p>
    <w:p>
      <w:pPr>
        <w:pStyle w:val="12"/>
        <w:jc w:val="center"/>
      </w:pPr>
      <w:r>
        <w:t xml:space="preserve">图3-1 2023年全球卫生资源缺口五级分布</w:t>
      </w:r>
    </w:p>
    <w:p xmlns:a="http://schemas.openxmlformats.org/drawingml/2006/main" xmlns:pic="http://schemas.openxmlformats.org/drawingml/2006/picture">
      <w:pPr>
        <w:pStyle w:val="40"/>
        <w:jc w:val="center"/>
      </w:pPr>
      <w:r>
        <w:drawing>
          <wp:inline>
            <wp:extent cx="5029200" cy="3730473"/>
            <wp:effectExtent b="0" l="0" r="0" t="0"/>
            <wp:docPr descr="图3-2 2023年资源缺口最严重的前15个国家" title="" id="1" name="Picture"/>
            <a:graphic>
              <a:graphicData uri="http://schemas.openxmlformats.org/drawingml/2006/picture">
                <pic:pic>
                  <pic:nvPicPr>
                    <pic:cNvPr descr="reports/paper/assets/p3_02_global_gap_top15.png" id="0" name="Picture"/>
                    <pic:cNvPicPr>
                      <a:picLocks noChangeArrowheads="1" noChangeAspect="1"/>
                    </pic:cNvPicPr>
                  </pic:nvPicPr>
                  <pic:blipFill>
                    <a:blip r:embed="rId13"/>
                    <a:stretch>
                      <a:fillRect/>
                    </a:stretch>
                  </pic:blipFill>
                  <pic:spPr bwMode="auto">
                    <a:xfrm>
                      <a:off x="0" y="0"/>
                      <a:ext cx="5029200" cy="3730473"/>
                    </a:xfrm>
                    <a:prstGeom prst="rect">
                      <a:avLst/>
                    </a:prstGeom>
                    <a:noFill/>
                    <a:ln w="9525">
                      <a:noFill/>
                      <a:headEnd/>
                      <a:tailEnd/>
                    </a:ln>
                  </pic:spPr>
                </pic:pic>
              </a:graphicData>
            </a:graphic>
          </wp:inline>
        </w:drawing>
      </w:r>
    </w:p>
    <w:p>
      <w:pPr>
        <w:pStyle w:val="12"/>
        <w:jc w:val="center"/>
      </w:pPr>
      <w:r>
        <w:t xml:space="preserve">图3-2 2023年资源缺口最严重的前15个国家</w:t>
      </w:r>
    </w:p>
    <w:p>
      <w:pPr>
        <w:pStyle w:val="3"/>
      </w:pPr>
      <w:r>
        <w:t xml:space="preserve">图3-1表明，资源富余区域主要集中在北美、西欧、大洋洲和东亚高收入经济体，而严重不足区域明显聚集在撒哈拉以南非洲。图3-2进一步给出缺口最严重国家排序：2023 年资源缺口最严重的前 15 个国家全部位于 AFRO 地区，其中前五位依次为乍得、尼日利亚、索马里、中非共和国和南苏丹。这说明理论需求缺口并非均匀分布，而是高度集中在基础卫生体系薄弱、传染病负担较重且卫生财政能力不足的国家群体。</w:t>
      </w:r>
    </w:p>
    <w:bookmarkEnd w:id="31"/>
    <w:bookmarkStart w:id="37" w:name="评估矩阵与公平性分析3-2"/>
    <w:p>
      <w:pPr>
        <w:pStyle w:val="4"/>
      </w:pPr>
      <w:r>
        <w:t xml:space="preserve">评估矩阵与公平性分析（3-2）</w:t>
      </w:r>
    </w:p>
    <w:bookmarkStart w:id="33" w:name="四象限分类"/>
    <w:p>
      <w:pPr>
        <w:pStyle w:val="5"/>
      </w:pPr>
      <w:r>
        <w:t xml:space="preserve">四象限分类</w:t>
      </w:r>
    </w:p>
    <w:p>
      <w:pPr>
        <w:pStyle w:val="3"/>
      </w:pPr>
      <w:r>
        <w:t xml:space="preserve">以投入指数中位数</w:t>
      </w:r>
      <w:r>
        <w:t xml:space="preserve"> </w:t>
      </w:r>
      <m:oMath>
        <m:sSup>
          <m:e>
            <m:r>
              <m:t>M</m:t>
            </m:r>
          </m:e>
          <m:sup>
            <m:r>
              <m:rPr>
                <m:nor/>
                <m:sty m:val="p"/>
              </m:rPr>
              <m:t>input</m:t>
            </m:r>
          </m:sup>
        </m:sSup>
      </m:oMath>
      <w:r>
        <w:t xml:space="preserve"> </w:t>
      </w:r>
      <w:r>
        <w:t xml:space="preserve">和产出指数中位数</w:t>
      </w:r>
      <w:r>
        <w:t xml:space="preserve"> </w:t>
      </w:r>
      <m:oMath>
        <m:sSup>
          <m:e>
            <m:r>
              <m:t>M</m:t>
            </m:r>
          </m:e>
          <m:sup>
            <m:r>
              <m:rPr>
                <m:nor/>
                <m:sty m:val="p"/>
              </m:rPr>
              <m:t>output</m:t>
            </m:r>
          </m:sup>
        </m:sSup>
      </m:oMath>
      <w:r>
        <w:t xml:space="preserve"> </w:t>
      </w:r>
      <w:r>
        <w:t xml:space="preserve">为阈值，可将各国划分为四类：</w:t>
      </w:r>
    </w:p>
    <w:p>
      <w:pPr>
        <w:pStyle w:val="3"/>
        <w:jc w:val="center"/>
      </w:pPr>
      <m:oMathPara>
        <m:oMathParaPr>
          <m:jc m:val="center"/>
        </m:oMathParaPr>
        <m:oMath>
          <m:sSub>
            <m:e>
              <m:r>
                <m:t>Q</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Q</m:t>
                    </m:r>
                    <m:r>
                      <m:t>1</m:t>
                    </m:r>
                    <m:r>
                      <m:rPr>
                        <m:sty m:val="p"/>
                      </m:rPr>
                      <m:t>,</m:t>
                    </m:r>
                  </m:e>
                  <m:e>
                    <m:sSubSup>
                      <m:e>
                        <m:r>
                          <m:t>I</m:t>
                        </m:r>
                      </m:e>
                      <m:sub>
                        <m:r>
                          <m:t>i</m:t>
                        </m:r>
                      </m:sub>
                      <m:sup>
                        <m:r>
                          <m:rPr>
                            <m:nor/>
                            <m:sty m:val="p"/>
                          </m:rPr>
                          <m:t>input</m:t>
                        </m:r>
                      </m:sup>
                    </m:sSubSup>
                    <m:r>
                      <m:rPr>
                        <m:sty m:val="p"/>
                      </m:rPr>
                      <m:t>≥</m:t>
                    </m:r>
                    <m:sSup>
                      <m:e>
                        <m:r>
                          <m:t>M</m:t>
                        </m:r>
                      </m:e>
                      <m:sup>
                        <m:r>
                          <m:rPr>
                            <m:nor/>
                            <m:sty m:val="p"/>
                          </m:rPr>
                          <m:t>input</m:t>
                        </m:r>
                      </m:sup>
                    </m:sSup>
                    <m:r>
                      <m:rPr>
                        <m:sty m:val="p"/>
                      </m:rPr>
                      <m:t>∧</m:t>
                    </m:r>
                    <m:sSubSup>
                      <m:e>
                        <m:r>
                          <m:t>I</m:t>
                        </m:r>
                      </m:e>
                      <m:sub>
                        <m:r>
                          <m:t>i</m:t>
                        </m:r>
                      </m:sub>
                      <m:sup>
                        <m:r>
                          <m:rPr>
                            <m:nor/>
                            <m:sty m:val="p"/>
                          </m:rPr>
                          <m:t>output</m:t>
                        </m:r>
                      </m:sup>
                    </m:sSubSup>
                    <m:r>
                      <m:rPr>
                        <m:sty m:val="p"/>
                      </m:rPr>
                      <m:t>≥</m:t>
                    </m:r>
                    <m:sSup>
                      <m:e>
                        <m:r>
                          <m:t>M</m:t>
                        </m:r>
                      </m:e>
                      <m:sup>
                        <m:r>
                          <m:rPr>
                            <m:nor/>
                            <m:sty m:val="p"/>
                          </m:rPr>
                          <m:t>output</m:t>
                        </m:r>
                      </m:sup>
                    </m:sSup>
                    <m:r>
                      <m:rPr>
                        <m:sty m:val="p"/>
                      </m:rPr>
                      <m:t>,</m:t>
                    </m:r>
                  </m:e>
                </m:mr>
                <m:mr>
                  <m:e>
                    <m:r>
                      <m:t>Q</m:t>
                    </m:r>
                    <m:r>
                      <m:t>2</m:t>
                    </m:r>
                    <m:r>
                      <m:rPr>
                        <m:sty m:val="p"/>
                      </m:rPr>
                      <m:t>,</m:t>
                    </m:r>
                  </m:e>
                  <m:e>
                    <m:sSubSup>
                      <m:e>
                        <m:r>
                          <m:t>I</m:t>
                        </m:r>
                      </m:e>
                      <m:sub>
                        <m:r>
                          <m:t>i</m:t>
                        </m:r>
                      </m:sub>
                      <m:sup>
                        <m:r>
                          <m:rPr>
                            <m:nor/>
                            <m:sty m:val="p"/>
                          </m:rPr>
                          <m:t>input</m:t>
                        </m:r>
                      </m:sup>
                    </m:sSubSup>
                    <m:r>
                      <m:rPr>
                        <m:sty m:val="p"/>
                      </m:rPr>
                      <m:t>&lt;</m:t>
                    </m:r>
                    <m:sSup>
                      <m:e>
                        <m:r>
                          <m:t>M</m:t>
                        </m:r>
                      </m:e>
                      <m:sup>
                        <m:r>
                          <m:rPr>
                            <m:nor/>
                            <m:sty m:val="p"/>
                          </m:rPr>
                          <m:t>input</m:t>
                        </m:r>
                      </m:sup>
                    </m:sSup>
                    <m:r>
                      <m:rPr>
                        <m:sty m:val="p"/>
                      </m:rPr>
                      <m:t>∧</m:t>
                    </m:r>
                    <m:sSubSup>
                      <m:e>
                        <m:r>
                          <m:t>I</m:t>
                        </m:r>
                      </m:e>
                      <m:sub>
                        <m:r>
                          <m:t>i</m:t>
                        </m:r>
                      </m:sub>
                      <m:sup>
                        <m:r>
                          <m:rPr>
                            <m:nor/>
                            <m:sty m:val="p"/>
                          </m:rPr>
                          <m:t>output</m:t>
                        </m:r>
                      </m:sup>
                    </m:sSubSup>
                    <m:r>
                      <m:rPr>
                        <m:sty m:val="p"/>
                      </m:rPr>
                      <m:t>≥</m:t>
                    </m:r>
                    <m:sSup>
                      <m:e>
                        <m:r>
                          <m:t>M</m:t>
                        </m:r>
                      </m:e>
                      <m:sup>
                        <m:r>
                          <m:rPr>
                            <m:nor/>
                            <m:sty m:val="p"/>
                          </m:rPr>
                          <m:t>output</m:t>
                        </m:r>
                      </m:sup>
                    </m:sSup>
                    <m:r>
                      <m:rPr>
                        <m:sty m:val="p"/>
                      </m:rPr>
                      <m:t>,</m:t>
                    </m:r>
                  </m:e>
                </m:mr>
                <m:mr>
                  <m:e>
                    <m:r>
                      <m:t>Q</m:t>
                    </m:r>
                    <m:r>
                      <m:t>3</m:t>
                    </m:r>
                    <m:r>
                      <m:rPr>
                        <m:sty m:val="p"/>
                      </m:rPr>
                      <m:t>,</m:t>
                    </m:r>
                  </m:e>
                  <m:e>
                    <m:sSubSup>
                      <m:e>
                        <m:r>
                          <m:t>I</m:t>
                        </m:r>
                      </m:e>
                      <m:sub>
                        <m:r>
                          <m:t>i</m:t>
                        </m:r>
                      </m:sub>
                      <m:sup>
                        <m:r>
                          <m:rPr>
                            <m:nor/>
                            <m:sty m:val="p"/>
                          </m:rPr>
                          <m:t>input</m:t>
                        </m:r>
                      </m:sup>
                    </m:sSubSup>
                    <m:r>
                      <m:rPr>
                        <m:sty m:val="p"/>
                      </m:rPr>
                      <m:t>≥</m:t>
                    </m:r>
                    <m:sSup>
                      <m:e>
                        <m:r>
                          <m:t>M</m:t>
                        </m:r>
                      </m:e>
                      <m:sup>
                        <m:r>
                          <m:rPr>
                            <m:nor/>
                            <m:sty m:val="p"/>
                          </m:rPr>
                          <m:t>input</m:t>
                        </m:r>
                      </m:sup>
                    </m:sSup>
                    <m:r>
                      <m:rPr>
                        <m:sty m:val="p"/>
                      </m:rPr>
                      <m:t>∧</m:t>
                    </m:r>
                    <m:sSubSup>
                      <m:e>
                        <m:r>
                          <m:t>I</m:t>
                        </m:r>
                      </m:e>
                      <m:sub>
                        <m:r>
                          <m:t>i</m:t>
                        </m:r>
                      </m:sub>
                      <m:sup>
                        <m:r>
                          <m:rPr>
                            <m:nor/>
                            <m:sty m:val="p"/>
                          </m:rPr>
                          <m:t>output</m:t>
                        </m:r>
                      </m:sup>
                    </m:sSubSup>
                    <m:r>
                      <m:rPr>
                        <m:sty m:val="p"/>
                      </m:rPr>
                      <m:t>&lt;</m:t>
                    </m:r>
                    <m:sSup>
                      <m:e>
                        <m:r>
                          <m:t>M</m:t>
                        </m:r>
                      </m:e>
                      <m:sup>
                        <m:r>
                          <m:rPr>
                            <m:nor/>
                            <m:sty m:val="p"/>
                          </m:rPr>
                          <m:t>output</m:t>
                        </m:r>
                      </m:sup>
                    </m:sSup>
                    <m:r>
                      <m:rPr>
                        <m:sty m:val="p"/>
                      </m:rPr>
                      <m:t>,</m:t>
                    </m:r>
                  </m:e>
                </m:mr>
                <m:mr>
                  <m:e>
                    <m:r>
                      <m:t>Q</m:t>
                    </m:r>
                    <m:r>
                      <m:t>4</m:t>
                    </m:r>
                    <m:r>
                      <m:rPr>
                        <m:sty m:val="p"/>
                      </m:rPr>
                      <m:t>,</m:t>
                    </m:r>
                  </m:e>
                  <m:e>
                    <m:sSubSup>
                      <m:e>
                        <m:r>
                          <m:t>I</m:t>
                        </m:r>
                      </m:e>
                      <m:sub>
                        <m:r>
                          <m:t>i</m:t>
                        </m:r>
                      </m:sub>
                      <m:sup>
                        <m:r>
                          <m:rPr>
                            <m:nor/>
                            <m:sty m:val="p"/>
                          </m:rPr>
                          <m:t>input</m:t>
                        </m:r>
                      </m:sup>
                    </m:sSubSup>
                    <m:r>
                      <m:rPr>
                        <m:sty m:val="p"/>
                      </m:rPr>
                      <m:t>&lt;</m:t>
                    </m:r>
                    <m:sSup>
                      <m:e>
                        <m:r>
                          <m:t>M</m:t>
                        </m:r>
                      </m:e>
                      <m:sup>
                        <m:r>
                          <m:rPr>
                            <m:nor/>
                            <m:sty m:val="p"/>
                          </m:rPr>
                          <m:t>input</m:t>
                        </m:r>
                      </m:sup>
                    </m:sSup>
                    <m:r>
                      <m:rPr>
                        <m:sty m:val="p"/>
                      </m:rPr>
                      <m:t>∧</m:t>
                    </m:r>
                    <m:sSubSup>
                      <m:e>
                        <m:r>
                          <m:t>I</m:t>
                        </m:r>
                      </m:e>
                      <m:sub>
                        <m:r>
                          <m:t>i</m:t>
                        </m:r>
                      </m:sub>
                      <m:sup>
                        <m:r>
                          <m:rPr>
                            <m:nor/>
                            <m:sty m:val="p"/>
                          </m:rPr>
                          <m:t>output</m:t>
                        </m:r>
                      </m:sup>
                    </m:sSubSup>
                    <m:r>
                      <m:rPr>
                        <m:sty m:val="p"/>
                      </m:rPr>
                      <m:t>&lt;</m:t>
                    </m:r>
                    <m:sSup>
                      <m:e>
                        <m:r>
                          <m:t>M</m:t>
                        </m:r>
                      </m:e>
                      <m:sup>
                        <m:r>
                          <m:rPr>
                            <m:nor/>
                            <m:sty m:val="p"/>
                          </m:rPr>
                          <m:t>output</m:t>
                        </m:r>
                      </m:sup>
                    </m:sSup>
                    <m:r>
                      <m:rPr>
                        <m:sty m:val="p"/>
                      </m:rPr>
                      <m:t>.</m:t>
                    </m:r>
                  </m:e>
                </m:mr>
              </m:m>
            </m:e>
          </m:d>
        </m:oMath>
      </m:oMathPara>
    </w:p>
    <w:p>
      <w:pPr>
        <w:pStyle w:val="3"/>
      </w:pPr>
      <w:r>
        <w:t xml:space="preserve">其中，Q1 对应高投入-高产出，Q2 对应低投入-高产出，Q3 对应高投入-低产出，Q4 对应低投入-低产出。2023 年可完成分类的国家中，Q1、Q2、Q3、Q4 的国家数量分别为 71、24、26 和 72，另有 10 个国家因关键指标缺失未纳入统计。</w:t>
      </w:r>
    </w:p>
    <w:p xmlns:a="http://schemas.openxmlformats.org/drawingml/2006/main" xmlns:pic="http://schemas.openxmlformats.org/drawingml/2006/picture">
      <w:pPr>
        <w:pStyle w:val="40"/>
        <w:jc w:val="center"/>
      </w:pPr>
      <w:r>
        <w:drawing>
          <wp:inline>
            <wp:extent cx="4937760" cy="4127559"/>
            <wp:effectExtent b="0" l="0" r="0" t="0"/>
            <wp:docPr descr="图3-3 2023年全球卫生资源投入-产出四象限" title="" id="1" name="Picture"/>
            <a:graphic>
              <a:graphicData uri="http://schemas.openxmlformats.org/drawingml/2006/picture">
                <pic:pic>
                  <pic:nvPicPr>
                    <pic:cNvPr descr="reports/paper/assets/p3_03_global_quadrant.png" id="0" name="Picture"/>
                    <pic:cNvPicPr>
                      <a:picLocks noChangeArrowheads="1" noChangeAspect="1"/>
                    </pic:cNvPicPr>
                  </pic:nvPicPr>
                  <pic:blipFill>
                    <a:blip r:embed="rId14"/>
                    <a:stretch>
                      <a:fillRect/>
                    </a:stretch>
                  </pic:blipFill>
                  <pic:spPr bwMode="auto">
                    <a:xfrm>
                      <a:off x="0" y="0"/>
                      <a:ext cx="4937760" cy="4127559"/>
                    </a:xfrm>
                    <a:prstGeom prst="rect">
                      <a:avLst/>
                    </a:prstGeom>
                    <a:noFill/>
                    <a:ln w="9525">
                      <a:noFill/>
                      <a:headEnd/>
                      <a:tailEnd/>
                    </a:ln>
                  </pic:spPr>
                </pic:pic>
              </a:graphicData>
            </a:graphic>
          </wp:inline>
        </w:drawing>
      </w:r>
    </w:p>
    <w:p>
      <w:pPr>
        <w:pStyle w:val="12"/>
        <w:jc w:val="center"/>
      </w:pPr>
      <w:r>
        <w:t xml:space="preserve">图3-3 2023年全球卫生资源投入-产出四象限</w:t>
      </w:r>
    </w:p>
    <w:p>
      <w:pPr>
        <w:pStyle w:val="3"/>
      </w:pPr>
      <w:r>
        <w:t xml:space="preserve">图3-3显示，日本、瑞士、澳大利亚等典型高收入国家位于 Q1；土耳其、斯里兰卡、马来西亚等国家处于 Q2，体现出</w:t>
      </w:r>
      <w:r>
        <w:t xml:space="preserve">“</w:t>
      </w:r>
      <w:r>
        <w:t xml:space="preserve">较少投入取得较高产出</w:t>
      </w:r>
      <w:r>
        <w:t xml:space="preserve">”</w:t>
      </w:r>
      <w:r>
        <w:t xml:space="preserve">的效率特征；乍得、索马里、尼日尔和马里等国家集中在 Q4，是资源不足与健康结果偏弱的双重脆弱区。</w:t>
      </w:r>
    </w:p>
    <w:bookmarkEnd w:id="33"/>
    <w:bookmarkStart w:id="36" w:name="公平性指标与结果"/>
    <w:p>
      <w:pPr>
        <w:pStyle w:val="5"/>
      </w:pPr>
      <w:r>
        <w:t xml:space="preserve">公平性指标与结果</w:t>
      </w:r>
    </w:p>
    <w:p>
      <w:pPr>
        <w:pStyle w:val="3"/>
      </w:pPr>
      <w:r>
        <w:t xml:space="preserve">为分析健康结果在不同人群间的公平性，本文以国家截面寿命数据为基础，构造三类不平等指标。寿命 Gini 系数采用秩公式计算：</w:t>
      </w:r>
    </w:p>
    <w:p>
      <w:pPr>
        <w:pStyle w:val="3"/>
        <w:jc w:val="center"/>
      </w:pPr>
      <m:oMathPara>
        <m:oMathParaPr>
          <m:jc m:val="center"/>
        </m:oMathParaPr>
        <m:oMath>
          <m:r>
            <m:t>G</m:t>
          </m:r>
          <m:r>
            <m:rPr>
              <m:sty m:val="p"/>
            </m:rPr>
            <m:t>=</m:t>
          </m:r>
          <m:f>
            <m:fPr>
              <m:type m:val="bar"/>
            </m:fPr>
            <m:num>
              <m:r>
                <m:t>2</m:t>
              </m:r>
              <m:nary>
                <m:naryPr>
                  <m:chr m:val="∑"/>
                  <m:limLoc m:val="undOvr"/>
                  <m:subHide m:val="0"/>
                  <m:supHide m:val="0"/>
                </m:naryPr>
                <m:sub>
                  <m:r>
                    <m:t>i</m:t>
                  </m:r>
                  <m:r>
                    <m:rPr>
                      <m:sty m:val="p"/>
                    </m:rPr>
                    <m:t>=</m:t>
                  </m:r>
                  <m:r>
                    <m:t>1</m:t>
                  </m:r>
                </m:sub>
                <m:sup>
                  <m:r>
                    <m:t>n</m:t>
                  </m:r>
                </m:sup>
                <m:e>
                  <m:r>
                    <m:t>i</m:t>
                  </m:r>
                </m:e>
              </m:nary>
              <m:r>
                <m:rPr>
                  <m:sty m:val="p"/>
                </m:rPr>
                <m:t>⋅</m:t>
              </m:r>
              <m:sSub>
                <m:e>
                  <m:r>
                    <m:t>y</m:t>
                  </m:r>
                </m:e>
                <m:sub>
                  <m:r>
                    <m:t>i</m:t>
                  </m:r>
                </m:sub>
              </m:sSub>
            </m:num>
            <m:den>
              <m:r>
                <m:t>n</m:t>
              </m:r>
              <m:nary>
                <m:naryPr>
                  <m:chr m:val="∑"/>
                  <m:limLoc m:val="undOvr"/>
                  <m:subHide m:val="0"/>
                  <m:supHide m:val="0"/>
                </m:naryPr>
                <m:sub>
                  <m:r>
                    <m:t>i</m:t>
                  </m:r>
                  <m:r>
                    <m:rPr>
                      <m:sty m:val="p"/>
                    </m:rPr>
                    <m:t>=</m:t>
                  </m:r>
                  <m:r>
                    <m:t>1</m:t>
                  </m:r>
                </m:sub>
                <m:sup>
                  <m:r>
                    <m:t>n</m:t>
                  </m:r>
                </m:sup>
                <m:e>
                  <m:sSub>
                    <m:e>
                      <m:r>
                        <m:t>y</m:t>
                      </m:r>
                    </m:e>
                    <m:sub>
                      <m:r>
                        <m:t>i</m:t>
                      </m:r>
                    </m:sub>
                  </m:sSub>
                </m:e>
              </m:nary>
            </m:den>
          </m:f>
          <m:r>
            <m:rPr>
              <m:sty m:val="p"/>
            </m:rPr>
            <m:t>−</m:t>
          </m:r>
          <m:f>
            <m:fPr>
              <m:type m:val="bar"/>
            </m:fPr>
            <m:num>
              <m:r>
                <m:t>n</m:t>
              </m:r>
              <m:r>
                <m:rPr>
                  <m:sty m:val="p"/>
                </m:rPr>
                <m:t>+</m:t>
              </m:r>
              <m:r>
                <m:t>1</m:t>
              </m:r>
            </m:num>
            <m:den>
              <m:r>
                <m:t>n</m:t>
              </m:r>
            </m:den>
          </m:f>
        </m:oMath>
      </m:oMathPara>
    </w:p>
    <w:p>
      <w:pPr>
        <w:pStyle w:val="3"/>
      </w:pPr>
      <w:r>
        <w:t xml:space="preserve">其中，</w:t>
      </w:r>
      <m:oMath>
        <m:sSub>
          <m:e>
            <m:r>
              <m:t>y</m:t>
            </m:r>
          </m:e>
          <m:sub>
            <m:r>
              <m:t>i</m:t>
            </m:r>
          </m:sub>
        </m:sSub>
      </m:oMath>
      <w:r>
        <w:t xml:space="preserve"> </w:t>
      </w:r>
      <w:r>
        <w:t xml:space="preserve">表示按从小到大排序后的国家预期寿命，</w:t>
      </w:r>
      <m:oMath>
        <m:r>
          <m:t>n</m:t>
        </m:r>
      </m:oMath>
      <w:r>
        <w:t xml:space="preserve"> </w:t>
      </w:r>
      <w:r>
        <w:t xml:space="preserve">为样本国家数量。Theil 指数定义为：</w:t>
      </w:r>
    </w:p>
    <w:p>
      <w:pPr>
        <w:pStyle w:val="3"/>
        <w:jc w:val="center"/>
      </w:pPr>
      <m:oMathPara>
        <m:oMathParaPr>
          <m:jc m:val="center"/>
        </m:oMathParaPr>
        <m:oMath>
          <m:r>
            <m:t>T</m:t>
          </m:r>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f>
                <m:fPr>
                  <m:type m:val="bar"/>
                </m:fPr>
                <m:num>
                  <m:sSub>
                    <m:e>
                      <m:r>
                        <m:t>y</m:t>
                      </m:r>
                    </m:e>
                    <m:sub>
                      <m:r>
                        <m:t>i</m:t>
                      </m:r>
                    </m:sub>
                  </m:sSub>
                </m:num>
                <m:den>
                  <m:acc>
                    <m:accPr>
                      <m:chr m:val="‾"/>
                    </m:accPr>
                    <m:e>
                      <m:r>
                        <m:t>y</m:t>
                      </m:r>
                    </m:e>
                  </m:acc>
                </m:den>
              </m:f>
            </m:e>
          </m:nary>
          <m:r>
            <m:rPr>
              <m:nor/>
              <m:sty m:val="p"/>
            </m:rPr>
            <m:t>ln</m:t>
          </m:r>
          <m:f>
            <m:fPr>
              <m:type m:val="bar"/>
            </m:fPr>
            <m:num>
              <m:sSub>
                <m:e>
                  <m:r>
                    <m:t>y</m:t>
                  </m:r>
                </m:e>
                <m:sub>
                  <m:r>
                    <m:t>i</m:t>
                  </m:r>
                </m:sub>
              </m:sSub>
            </m:num>
            <m:den>
              <m:acc>
                <m:accPr>
                  <m:chr m:val="‾"/>
                </m:accPr>
                <m:e>
                  <m:r>
                    <m:t>y</m:t>
                  </m:r>
                </m:e>
              </m:acc>
            </m:den>
          </m:f>
        </m:oMath>
      </m:oMathPara>
    </w:p>
    <w:p>
      <w:pPr>
        <w:pStyle w:val="3"/>
      </w:pPr>
      <w:r>
        <w:t xml:space="preserve">若按 WHO 地区分组，则可进一步分解为组间与组内两部分：</w:t>
      </w:r>
    </w:p>
    <w:p>
      <w:pPr>
        <w:pStyle w:val="3"/>
        <w:jc w:val="center"/>
      </w:pPr>
      <m:oMathPara>
        <m:oMathParaPr>
          <m:jc m:val="center"/>
        </m:oMathParaPr>
        <m:oMath>
          <m:r>
            <m:t>T</m:t>
          </m:r>
          <m:r>
            <m:rPr>
              <m:sty m:val="p"/>
            </m:rPr>
            <m:t>=</m:t>
          </m:r>
          <m:sSub>
            <m:e>
              <m:r>
                <m:t>T</m:t>
              </m:r>
            </m:e>
            <m:sub>
              <m:r>
                <m:rPr>
                  <m:nor/>
                  <m:sty m:val="p"/>
                </m:rPr>
                <m:t>between</m:t>
              </m:r>
            </m:sub>
          </m:sSub>
          <m:r>
            <m:rPr>
              <m:sty m:val="p"/>
            </m:rPr>
            <m:t>+</m:t>
          </m:r>
          <m:sSub>
            <m:e>
              <m:r>
                <m:t>T</m:t>
              </m:r>
            </m:e>
            <m:sub>
              <m:r>
                <m:rPr>
                  <m:nor/>
                  <m:sty m:val="p"/>
                </m:rPr>
                <m:t>within</m:t>
              </m:r>
            </m:sub>
          </m:sSub>
          <m:r>
            <m:rPr>
              <m:sty m:val="p"/>
            </m:rPr>
            <m:t>=</m:t>
          </m:r>
          <m:nary>
            <m:naryPr>
              <m:chr m:val="∑"/>
              <m:limLoc m:val="undOvr"/>
              <m:subHide m:val="0"/>
              <m:supHide m:val="1"/>
            </m:naryPr>
            <m:sub>
              <m:r>
                <m:t>g</m:t>
              </m:r>
            </m:sub>
            <m:sup>
              <m:r>
                <m:t>​</m:t>
              </m:r>
            </m:sup>
            <m:e>
              <m:sSub>
                <m:e>
                  <m:r>
                    <m:t>s</m:t>
                  </m:r>
                </m:e>
                <m:sub>
                  <m:r>
                    <m:t>g</m:t>
                  </m:r>
                </m:sub>
              </m:sSub>
            </m:e>
          </m:nary>
          <m:r>
            <m:rPr>
              <m:nor/>
              <m:sty m:val="p"/>
            </m:rPr>
            <m:t>ln</m:t>
          </m:r>
          <m:f>
            <m:fPr>
              <m:type m:val="bar"/>
            </m:fPr>
            <m:num>
              <m:sSub>
                <m:e>
                  <m:r>
                    <m:t>s</m:t>
                  </m:r>
                </m:e>
                <m:sub>
                  <m:r>
                    <m:t>g</m:t>
                  </m:r>
                </m:sub>
              </m:sSub>
            </m:num>
            <m:den>
              <m:sSub>
                <m:e>
                  <m:r>
                    <m:t>f</m:t>
                  </m:r>
                </m:e>
                <m:sub>
                  <m:r>
                    <m:t>g</m:t>
                  </m:r>
                </m:sub>
              </m:sSub>
            </m:den>
          </m:f>
          <m:r>
            <m:rPr>
              <m:sty m:val="p"/>
            </m:rPr>
            <m:t>+</m:t>
          </m:r>
          <m:nary>
            <m:naryPr>
              <m:chr m:val="∑"/>
              <m:limLoc m:val="undOvr"/>
              <m:subHide m:val="0"/>
              <m:supHide m:val="1"/>
            </m:naryPr>
            <m:sub>
              <m:r>
                <m:t>g</m:t>
              </m:r>
            </m:sub>
            <m:sup>
              <m:r>
                <m:t>​</m:t>
              </m:r>
            </m:sup>
            <m:e>
              <m:sSub>
                <m:e>
                  <m:r>
                    <m:t>s</m:t>
                  </m:r>
                </m:e>
                <m:sub>
                  <m:r>
                    <m:t>g</m:t>
                  </m:r>
                </m:sub>
              </m:sSub>
            </m:e>
          </m:nary>
          <m:sSub>
            <m:e>
              <m:r>
                <m:t>T</m:t>
              </m:r>
            </m:e>
            <m:sub>
              <m:r>
                <m:t>g</m:t>
              </m:r>
            </m:sub>
          </m:sSub>
        </m:oMath>
      </m:oMathPara>
    </w:p>
    <w:p>
      <w:pPr>
        <w:pStyle w:val="3"/>
      </w:pPr>
      <w:r>
        <w:t xml:space="preserve">其中，</w:t>
      </w:r>
      <m:oMath>
        <m:sSub>
          <m:e>
            <m:r>
              <m:t>f</m:t>
            </m:r>
          </m:e>
          <m:sub>
            <m:r>
              <m:t>g</m:t>
            </m:r>
          </m:sub>
        </m:sSub>
        <m:r>
          <m:rPr>
            <m:sty m:val="p"/>
          </m:rPr>
          <m:t>=</m:t>
        </m:r>
        <m:sSub>
          <m:e>
            <m:r>
              <m:t>n</m:t>
            </m:r>
          </m:e>
          <m:sub>
            <m:r>
              <m:t>g</m:t>
            </m:r>
          </m:sub>
        </m:sSub>
        <m:r>
          <m:rPr>
            <m:sty m:val="p"/>
          </m:rPr>
          <m:t>/</m:t>
        </m:r>
        <m:r>
          <m:t>n</m:t>
        </m:r>
      </m:oMath>
      <w:r>
        <w:t xml:space="preserve"> </w:t>
      </w:r>
      <w:r>
        <w:t xml:space="preserve">为国家数占比，</w:t>
      </w:r>
      <m:oMath>
        <m:sSub>
          <m:e>
            <m:r>
              <m:t>s</m:t>
            </m:r>
          </m:e>
          <m:sub>
            <m:r>
              <m:t>g</m:t>
            </m:r>
          </m:sub>
        </m:sSub>
        <m:r>
          <m:rPr>
            <m:sty m:val="p"/>
          </m:rPr>
          <m:t>=</m:t>
        </m:r>
        <m:nary>
          <m:naryPr>
            <m:chr m:val="∑"/>
            <m:limLoc m:val="undOvr"/>
            <m:subHide m:val="0"/>
            <m:supHide m:val="1"/>
          </m:naryPr>
          <m:sub>
            <m:r>
              <m:t>i</m:t>
            </m:r>
            <m:r>
              <m:rPr>
                <m:sty m:val="p"/>
              </m:rPr>
              <m:t>∈</m:t>
            </m:r>
            <m:r>
              <m:t>g</m:t>
            </m:r>
          </m:sub>
          <m:sup>
            <m:r>
              <m:t>​</m:t>
            </m:r>
          </m:sup>
          <m:e>
            <m:sSub>
              <m:e>
                <m:r>
                  <m:t>y</m:t>
                </m:r>
              </m:e>
              <m:sub>
                <m:r>
                  <m:t>i</m:t>
                </m:r>
              </m:sub>
            </m:sSub>
          </m:e>
        </m:nary>
        <m:r>
          <m:rPr>
            <m:sty m:val="p"/>
          </m:rPr>
          <m:t>/</m:t>
        </m:r>
        <m:nary>
          <m:naryPr>
            <m:chr m:val="∑"/>
            <m:limLoc m:val="undOvr"/>
            <m:subHide m:val="0"/>
            <m:supHide m:val="1"/>
          </m:naryPr>
          <m:sub>
            <m:r>
              <m:t>i</m:t>
            </m:r>
          </m:sub>
          <m:sup>
            <m:r>
              <m:t>​</m:t>
            </m:r>
          </m:sup>
          <m:e>
            <m:sSub>
              <m:e>
                <m:r>
                  <m:t>y</m:t>
                </m:r>
              </m:e>
              <m:sub>
                <m:r>
                  <m:t>i</m:t>
                </m:r>
              </m:sub>
            </m:sSub>
          </m:e>
        </m:nary>
      </m:oMath>
      <w:r>
        <w:t xml:space="preserve"> </w:t>
      </w:r>
      <w:r>
        <w:t xml:space="preserve">为预期寿命总量占比。与此同时，sigma 收敛指标定义为：</w:t>
      </w:r>
    </w:p>
    <w:p>
      <w:pPr>
        <w:pStyle w:val="3"/>
        <w:jc w:val="center"/>
      </w:pPr>
      <m:oMathPara>
        <m:oMathParaPr>
          <m:jc m:val="center"/>
        </m:oMathParaPr>
        <m:oMath>
          <m:sSub>
            <m:e>
              <m:r>
                <m:t>σ</m:t>
              </m:r>
            </m:e>
            <m:sub>
              <m:r>
                <m:t>t</m:t>
              </m:r>
            </m:sub>
          </m:sSub>
          <m:r>
            <m:rPr>
              <m:sty m:val="p"/>
            </m:rPr>
            <m:t>=</m:t>
          </m:r>
          <m:rad>
            <m:radPr>
              <m:degHide m:val="1"/>
            </m:radPr>
            <m:deg/>
            <m:e>
              <m:f>
                <m:fPr>
                  <m:type m:val="bar"/>
                </m:fPr>
                <m:num>
                  <m:r>
                    <m:t>1</m:t>
                  </m:r>
                </m:num>
                <m:den>
                  <m:r>
                    <m:t>n</m:t>
                  </m:r>
                </m:den>
              </m:f>
              <m:nary>
                <m:naryPr>
                  <m:chr m:val="∑"/>
                  <m:limLoc m:val="undOvr"/>
                  <m:subHide m:val="0"/>
                  <m:supHide m:val="0"/>
                </m:naryPr>
                <m:sub>
                  <m:r>
                    <m:t>i</m:t>
                  </m:r>
                  <m:r>
                    <m:rPr>
                      <m:sty m:val="p"/>
                    </m:rPr>
                    <m:t>=</m:t>
                  </m:r>
                  <m:r>
                    <m:t>1</m:t>
                  </m:r>
                </m:sub>
                <m:sup>
                  <m:r>
                    <m:t>n</m:t>
                  </m:r>
                </m:sup>
                <m:e>
                  <m:sSup>
                    <m:e>
                      <m:d>
                        <m:dPr>
                          <m:begChr m:val="["/>
                          <m:endChr m:val="]"/>
                          <m:grow/>
                        </m:dPr>
                        <m:e>
                          <m:r>
                            <m:rPr>
                              <m:nor/>
                              <m:sty m:val="p"/>
                            </m:rPr>
                            <m:t>ln</m:t>
                          </m:r>
                          <m:r>
                            <m:rPr>
                              <m:sty m:val="p"/>
                            </m:rPr>
                            <m:t>(</m:t>
                          </m:r>
                          <m:sSub>
                            <m:e>
                              <m:r>
                                <m:t>y</m:t>
                              </m:r>
                            </m:e>
                            <m:sub>
                              <m:r>
                                <m:t>i</m:t>
                              </m:r>
                              <m:r>
                                <m:t>t</m:t>
                              </m:r>
                            </m:sub>
                          </m:sSub>
                          <m:r>
                            <m:rPr>
                              <m:sty m:val="p"/>
                            </m:rPr>
                            <m:t>)</m:t>
                          </m:r>
                          <m:r>
                            <m:rPr>
                              <m:sty m:val="p"/>
                            </m:rPr>
                            <m:t>−</m:t>
                          </m:r>
                          <m:bar>
                            <m:barPr>
                              <m:pos m:val="top"/>
                            </m:barPr>
                            <m:e>
                              <m:r>
                                <m:rPr>
                                  <m:nor/>
                                  <m:sty m:val="p"/>
                                </m:rPr>
                                <m:t>ln</m:t>
                              </m:r>
                              <m:r>
                                <m:rPr>
                                  <m:sty m:val="p"/>
                                </m:rPr>
                                <m:t>(</m:t>
                              </m:r>
                              <m:sSub>
                                <m:e>
                                  <m:r>
                                    <m:t>y</m:t>
                                  </m:r>
                                </m:e>
                                <m:sub>
                                  <m:r>
                                    <m:t>t</m:t>
                                  </m:r>
                                </m:sub>
                              </m:sSub>
                              <m:r>
                                <m:rPr>
                                  <m:sty m:val="p"/>
                                </m:rPr>
                                <m:t>)</m:t>
                              </m:r>
                            </m:e>
                          </m:bar>
                        </m:e>
                      </m:d>
                    </m:e>
                    <m:sup>
                      <m:r>
                        <m:t>2</m:t>
                      </m:r>
                    </m:sup>
                  </m:sSup>
                </m:e>
              </m:nary>
            </m:e>
          </m:rad>
        </m:oMath>
      </m:oMathPara>
    </w:p>
    <w:p xmlns:a="http://schemas.openxmlformats.org/drawingml/2006/main" xmlns:pic="http://schemas.openxmlformats.org/drawingml/2006/picture">
      <w:pPr>
        <w:pStyle w:val="40"/>
        <w:jc w:val="center"/>
      </w:pPr>
      <w:r>
        <w:drawing>
          <wp:inline>
            <wp:extent cx="5270500" cy="1675330"/>
            <wp:effectExtent b="0" l="0" r="0" t="0"/>
            <wp:docPr descr="图3-4 2000-2023年全球健康公平性趋势" title="" id="1" name="Picture"/>
            <a:graphic>
              <a:graphicData uri="http://schemas.openxmlformats.org/drawingml/2006/picture">
                <pic:pic>
                  <pic:nvPicPr>
                    <pic:cNvPr descr="reports/paper/assets/p3_04_global_equity_trends.png" id="0" name="Picture"/>
                    <pic:cNvPicPr>
                      <a:picLocks noChangeArrowheads="1" noChangeAspect="1"/>
                    </pic:cNvPicPr>
                  </pic:nvPicPr>
                  <pic:blipFill>
                    <a:blip r:embed="rId15"/>
                    <a:stretch>
                      <a:fillRect/>
                    </a:stretch>
                  </pic:blipFill>
                  <pic:spPr bwMode="auto">
                    <a:xfrm>
                      <a:off x="0" y="0"/>
                      <a:ext cx="5270500" cy="1675330"/>
                    </a:xfrm>
                    <a:prstGeom prst="rect">
                      <a:avLst/>
                    </a:prstGeom>
                    <a:noFill/>
                    <a:ln w="9525">
                      <a:noFill/>
                      <a:headEnd/>
                      <a:tailEnd/>
                    </a:ln>
                  </pic:spPr>
                </pic:pic>
              </a:graphicData>
            </a:graphic>
          </wp:inline>
        </w:drawing>
      </w:r>
    </w:p>
    <w:p>
      <w:pPr>
        <w:pStyle w:val="12"/>
        <w:jc w:val="center"/>
      </w:pPr>
      <w:r>
        <w:t xml:space="preserve">图3-4 2000-2023年全球健康公平性趋势</w:t>
      </w:r>
    </w:p>
    <w:p xmlns:a="http://schemas.openxmlformats.org/drawingml/2006/main" xmlns:pic="http://schemas.openxmlformats.org/drawingml/2006/picture">
      <w:pPr>
        <w:pStyle w:val="40"/>
        <w:jc w:val="center"/>
      </w:pPr>
      <w:r>
        <w:drawing>
          <wp:inline>
            <wp:extent cx="5270500" cy="1957768"/>
            <wp:effectExtent b="0" l="0" r="0" t="0"/>
            <wp:docPr descr="图3-5 全球分组公平性对比" title="" id="1" name="Picture"/>
            <a:graphic>
              <a:graphicData uri="http://schemas.openxmlformats.org/drawingml/2006/picture">
                <pic:pic>
                  <pic:nvPicPr>
                    <pic:cNvPr descr="reports/paper/assets/p3_05_global_group_fairness.png" id="0" name="Picture"/>
                    <pic:cNvPicPr>
                      <a:picLocks noChangeArrowheads="1" noChangeAspect="1"/>
                    </pic:cNvPicPr>
                  </pic:nvPicPr>
                  <pic:blipFill>
                    <a:blip r:embed="rId16"/>
                    <a:stretch>
                      <a:fillRect/>
                    </a:stretch>
                  </pic:blipFill>
                  <pic:spPr bwMode="auto">
                    <a:xfrm>
                      <a:off x="0" y="0"/>
                      <a:ext cx="5270500" cy="1957768"/>
                    </a:xfrm>
                    <a:prstGeom prst="rect">
                      <a:avLst/>
                    </a:prstGeom>
                    <a:noFill/>
                    <a:ln w="9525">
                      <a:noFill/>
                      <a:headEnd/>
                      <a:tailEnd/>
                    </a:ln>
                  </pic:spPr>
                </pic:pic>
              </a:graphicData>
            </a:graphic>
          </wp:inline>
        </w:drawing>
      </w:r>
    </w:p>
    <w:p>
      <w:pPr>
        <w:pStyle w:val="12"/>
        <w:jc w:val="center"/>
      </w:pPr>
      <w:r>
        <w:t xml:space="preserve">图3-5 全球分组公平性对比</w:t>
      </w:r>
    </w:p>
    <w:p>
      <w:pPr>
        <w:pStyle w:val="3"/>
      </w:pPr>
      <w:r>
        <w:t xml:space="preserve">图3-4表明，2000-2023 年全球健康不平等总体呈收敛趋势：预期寿命 Gini 系数由 0.0816 下降至 0.0600，Theil 指数由 0.0112 下降至 0.0057，sigma 收敛指标由 0.1577 下降至 0.1093。图3-5进一步揭示了结构性差异：HIC 国家平均预期寿命为 78.90 岁、平均人均卫生支出为 3472.17 美元，而 LIC 国家分别仅为 62.05 岁和 43.38 美元，存在显著阶梯落差；从四象限内部看，Q2 组内寿命 Gini 最低，为 0.0173，说明这类</w:t>
      </w:r>
      <w:r>
        <w:t xml:space="preserve">“</w:t>
      </w:r>
      <w:r>
        <w:t xml:space="preserve">低投入-高产出</w:t>
      </w:r>
      <w:r>
        <w:t xml:space="preserve">”</w:t>
      </w:r>
      <w:r>
        <w:t xml:space="preserve">国家不仅平均产出较高，内部差异也相对较小；Q4 组内卫生支出 Gini 最高，为 0.5119，反映弱势国家内部资源不均衡问题仍较突出。</w:t>
      </w:r>
    </w:p>
    <w:bookmarkEnd w:id="36"/>
    <w:bookmarkEnd w:id="37"/>
    <w:bookmarkStart w:id="48" w:name="优化模型与再分配方案3-3"/>
    <w:p>
      <w:pPr>
        <w:pStyle w:val="4"/>
      </w:pPr>
      <w:r>
        <w:t xml:space="preserve">优化模型与再分配方案（3-3）</w:t>
      </w:r>
    </w:p>
    <w:bookmarkStart w:id="39" w:name="分象限生产函数"/>
    <w:p>
      <w:pPr>
        <w:pStyle w:val="5"/>
      </w:pPr>
      <w:r>
        <w:t xml:space="preserve">分象限生产函数</w:t>
      </w:r>
    </w:p>
    <w:p>
      <w:pPr>
        <w:pStyle w:val="3"/>
      </w:pPr>
      <w:r>
        <w:t xml:space="preserve">为响应赛题中</w:t>
      </w:r>
      <w:r>
        <w:t xml:space="preserve">“</w:t>
      </w:r>
      <w:r>
        <w:t xml:space="preserve">最大化健康产出</w:t>
      </w:r>
      <w:r>
        <w:t xml:space="preserve">”</w:t>
      </w:r>
      <w:r>
        <w:t xml:space="preserve">和</w:t>
      </w:r>
      <w:r>
        <w:t xml:space="preserve">“</w:t>
      </w:r>
      <w:r>
        <w:t xml:space="preserve">最小化健康不平等</w:t>
      </w:r>
      <w:r>
        <w:t xml:space="preserve">”</w:t>
      </w:r>
      <w:r>
        <w:t xml:space="preserve">的要求，本文以人均卫生支出</w:t>
      </w:r>
      <w:r>
        <w:t xml:space="preserve"> </w:t>
      </w:r>
      <m:oMath>
        <m:sSub>
          <m:e>
            <m:r>
              <m:t>x</m:t>
            </m:r>
          </m:e>
          <m:sub>
            <m:r>
              <m:t>i</m:t>
            </m:r>
          </m:sub>
        </m:sSub>
      </m:oMath>
      <w:r>
        <w:t xml:space="preserve"> </w:t>
      </w:r>
      <w:r>
        <w:t xml:space="preserve">作为可再分配资源代理，以健康产出指数</w:t>
      </w:r>
      <w:r>
        <w:t xml:space="preserve"> </w:t>
      </w:r>
      <m:oMath>
        <m:sSub>
          <m:e>
            <m:r>
              <m:t>y</m:t>
            </m:r>
          </m:e>
          <m:sub>
            <m:r>
              <m:t>i</m:t>
            </m:r>
          </m:sub>
        </m:sSub>
      </m:oMath>
      <w:r>
        <w:t xml:space="preserve"> </w:t>
      </w:r>
      <w:r>
        <w:t xml:space="preserve">作为目标函数基础，并为四个象限分别拟合对数生产函数：</w:t>
      </w:r>
    </w:p>
    <w:p>
      <w:pPr>
        <w:pStyle w:val="3"/>
        <w:jc w:val="center"/>
      </w:pPr>
      <m:oMathPara>
        <m:oMathParaPr>
          <m:jc m:val="center"/>
        </m:oMathParaPr>
        <m:oMath>
          <m:sSub>
            <m:e>
              <m:r>
                <m:t>f</m:t>
              </m:r>
            </m:e>
            <m:sub>
              <m:r>
                <m:t>k</m:t>
              </m:r>
            </m:sub>
          </m:sSub>
          <m:r>
            <m:rPr>
              <m:sty m:val="p"/>
            </m:rPr>
            <m:t>(</m:t>
          </m:r>
          <m:r>
            <m:t>x</m:t>
          </m:r>
          <m:r>
            <m:rPr>
              <m:sty m:val="p"/>
            </m:rPr>
            <m:t>)</m:t>
          </m:r>
          <m:r>
            <m:rPr>
              <m:sty m:val="p"/>
            </m:rPr>
            <m:t>=</m:t>
          </m:r>
          <m:sSub>
            <m:e>
              <m:r>
                <m:t>a</m:t>
              </m:r>
            </m:e>
            <m:sub>
              <m:r>
                <m:t>k</m:t>
              </m:r>
            </m:sub>
          </m:sSub>
          <m:r>
            <m:rPr>
              <m:nor/>
              <m:sty m:val="p"/>
            </m:rPr>
            <m:t>ln</m:t>
          </m:r>
          <m:r>
            <m:rPr>
              <m:sty m:val="p"/>
            </m:rPr>
            <m:t>(</m:t>
          </m:r>
          <m:r>
            <m:t>x</m:t>
          </m:r>
          <m:r>
            <m:rPr>
              <m:sty m:val="p"/>
            </m:rPr>
            <m:t>+</m:t>
          </m:r>
          <m:r>
            <m:t>1</m:t>
          </m:r>
          <m:r>
            <m:rPr>
              <m:sty m:val="p"/>
            </m:rPr>
            <m:t>)</m:t>
          </m:r>
          <m:r>
            <m:rPr>
              <m:sty m:val="p"/>
            </m:rPr>
            <m:t>+</m:t>
          </m:r>
          <m:sSub>
            <m:e>
              <m:r>
                <m:t>b</m:t>
              </m:r>
            </m:e>
            <m:sub>
              <m:r>
                <m:t>k</m:t>
              </m:r>
            </m:sub>
          </m:sSub>
          <m:r>
            <m:rPr>
              <m:sty m:val="p"/>
            </m:rPr>
            <m:t>,</m:t>
          </m:r>
          <m:r>
            <m:t> </m:t>
          </m:r>
          <m:r>
            <m:t>k</m:t>
          </m:r>
          <m:r>
            <m:rPr>
              <m:sty m:val="p"/>
            </m:rPr>
            <m:t>∈</m:t>
          </m:r>
          <m:r>
            <m:rPr>
              <m:sty m:val="p"/>
            </m:rPr>
            <m:t>{</m:t>
          </m:r>
          <m:r>
            <m:t>Q</m:t>
          </m:r>
          <m:r>
            <m:t>1</m:t>
          </m:r>
          <m:r>
            <m:rPr>
              <m:sty m:val="p"/>
            </m:rPr>
            <m:t>,</m:t>
          </m:r>
          <m:r>
            <m:t>Q</m:t>
          </m:r>
          <m:r>
            <m:t>2</m:t>
          </m:r>
          <m:r>
            <m:rPr>
              <m:sty m:val="p"/>
            </m:rPr>
            <m:t>,</m:t>
          </m:r>
          <m:r>
            <m:t>Q</m:t>
          </m:r>
          <m:r>
            <m:t>3</m:t>
          </m:r>
          <m:r>
            <m:rPr>
              <m:sty m:val="p"/>
            </m:rPr>
            <m:t>,</m:t>
          </m:r>
          <m:r>
            <m:t>Q</m:t>
          </m:r>
          <m:r>
            <m:t>4</m:t>
          </m:r>
          <m:r>
            <m:rPr>
              <m:sty m:val="p"/>
            </m:rPr>
            <m:t>}</m:t>
          </m:r>
        </m:oMath>
      </m:oMathPara>
    </w:p>
    <w:p>
      <w:pPr>
        <w:pStyle w:val="3"/>
      </w:pPr>
      <w:r>
        <w:t xml:space="preserve">当象限内样本过少时，模型退化为全局拟合。图3-6展示了四象限分组后的拟合结果：Q4 的斜率参数最大，说明新增投入在资源不足地区具有更高边际回报；Q3 的斜率最小，说明高投入地区更容易出现边际回报递减。</w:t>
      </w:r>
    </w:p>
    <w:p xmlns:a="http://schemas.openxmlformats.org/drawingml/2006/main" xmlns:pic="http://schemas.openxmlformats.org/drawingml/2006/picture">
      <w:pPr>
        <w:pStyle w:val="40"/>
        <w:jc w:val="center"/>
      </w:pPr>
      <w:r>
        <w:drawing>
          <wp:inline>
            <wp:extent cx="5270500" cy="2058871"/>
            <wp:effectExtent b="0" l="0" r="0" t="0"/>
            <wp:docPr descr="图3-6 人均卫生支出与健康产出的对数生产函数拟合" title="" id="1" name="Picture"/>
            <a:graphic>
              <a:graphicData uri="http://schemas.openxmlformats.org/drawingml/2006/picture">
                <pic:pic>
                  <pic:nvPicPr>
                    <pic:cNvPr descr="reports/paper/assets/p3_06_production_fit.png" id="0" name="Picture"/>
                    <pic:cNvPicPr>
                      <a:picLocks noChangeArrowheads="1" noChangeAspect="1"/>
                    </pic:cNvPicPr>
                  </pic:nvPicPr>
                  <pic:blipFill>
                    <a:blip r:embed="rId17"/>
                    <a:stretch>
                      <a:fillRect/>
                    </a:stretch>
                  </pic:blipFill>
                  <pic:spPr bwMode="auto">
                    <a:xfrm>
                      <a:off x="0" y="0"/>
                      <a:ext cx="5270500" cy="2058871"/>
                    </a:xfrm>
                    <a:prstGeom prst="rect">
                      <a:avLst/>
                    </a:prstGeom>
                    <a:noFill/>
                    <a:ln w="9525">
                      <a:noFill/>
                      <a:headEnd/>
                      <a:tailEnd/>
                    </a:ln>
                  </pic:spPr>
                </pic:pic>
              </a:graphicData>
            </a:graphic>
          </wp:inline>
        </w:drawing>
      </w:r>
    </w:p>
    <w:p>
      <w:pPr>
        <w:pStyle w:val="12"/>
        <w:jc w:val="center"/>
      </w:pPr>
      <w:r>
        <w:t xml:space="preserve">图3-6 人均卫生支出与健康产出的对数生产函数拟合</w:t>
      </w:r>
    </w:p>
    <w:p>
      <w:pPr>
        <w:pStyle w:val="12"/>
        <w:jc w:val="center"/>
      </w:pPr>
      <w:r>
        <w:t xml:space="preserve">表3-3 四象限生产函数拟合参数</w:t>
      </w:r>
    </w:p>
    <w:tbl>
      <w:tblPr>
        <w:tblStyle w:val="21"/>
        <w:tblW w:type="auto" w:w="0"/>
        <w:jc w:val="center"/>
        <w:tblLayout w:type="fixed"/>
        <w:tblLook w:firstColumn="1" w:firstRow="1" w:lastColumn="0" w:lastRow="0" w:noHBand="0" w:noVBand="1" w:val="04A0"/>
      </w:tblPr>
      <w:tblGrid>
        <w:gridCol w:w="2769"/>
        <w:gridCol w:w="2769"/>
        <w:gridCol w:w="2769"/>
      </w:tblGrid>
      <w:tr>
        <w:tc>
          <w:tcPr>
            <w:tcW w:type="dxa" w:w="3685"/>
          </w:tcPr>
          <w:p>
            <w:pPr>
              <w:jc w:val="center"/>
            </w:pPr>
            <w:r>
              <w:rPr>
                <w:b/>
                <w:sz w:val="20"/>
              </w:rPr>
              <w:t>象限</w:t>
            </w:r>
          </w:p>
        </w:tc>
        <w:tc>
          <w:tcPr>
            <w:tcW w:type="dxa" w:w="1587"/>
          </w:tcPr>
          <w:p>
            <w:pPr>
              <w:jc w:val="center"/>
            </w:pPr>
            <w:r>
              <w:rPr>
                <w:b/>
                <w:sz w:val="20"/>
              </w:rPr>
              <w:t>a_k</w:t>
            </w:r>
          </w:p>
        </w:tc>
        <w:tc>
          <w:tcPr>
            <w:tcW w:type="dxa" w:w="1587"/>
          </w:tcPr>
          <w:p>
            <w:pPr>
              <w:jc w:val="center"/>
            </w:pPr>
            <w:r>
              <w:rPr>
                <w:b/>
                <w:sz w:val="20"/>
              </w:rPr>
              <w:t>b_k</w:t>
            </w:r>
          </w:p>
        </w:tc>
      </w:tr>
      <w:tr>
        <w:tc>
          <w:tcPr>
            <w:tcW w:type="dxa" w:w="3685"/>
          </w:tcPr>
          <w:p>
            <w:pPr>
              <w:jc w:val="left"/>
            </w:pPr>
            <w:r>
              <w:rPr>
                <w:sz w:val="20"/>
              </w:rPr>
              <w:t>Q1（高投入-高产出）</w:t>
            </w:r>
          </w:p>
        </w:tc>
        <w:tc>
          <w:tcPr>
            <w:tcW w:type="dxa" w:w="1587"/>
          </w:tcPr>
          <w:p>
            <w:pPr>
              <w:jc w:val="left"/>
            </w:pPr>
            <w:r>
              <w:rPr>
                <w:sz w:val="20"/>
              </w:rPr>
              <w:t>0.2416</w:t>
            </w:r>
          </w:p>
        </w:tc>
        <w:tc>
          <w:tcPr>
            <w:tcW w:type="dxa" w:w="1587"/>
          </w:tcPr>
          <w:p>
            <w:pPr>
              <w:jc w:val="left"/>
            </w:pPr>
            <w:r>
              <w:rPr>
                <w:sz w:val="20"/>
              </w:rPr>
              <w:t>-1.0029</w:t>
            </w:r>
          </w:p>
        </w:tc>
      </w:tr>
      <w:tr>
        <w:tc>
          <w:tcPr>
            <w:tcW w:type="dxa" w:w="3685"/>
          </w:tcPr>
          <w:p>
            <w:pPr>
              <w:jc w:val="left"/>
            </w:pPr>
            <w:r>
              <w:rPr>
                <w:sz w:val="20"/>
              </w:rPr>
              <w:t>Q2（低投入-高产出）</w:t>
            </w:r>
          </w:p>
        </w:tc>
        <w:tc>
          <w:tcPr>
            <w:tcW w:type="dxa" w:w="1587"/>
          </w:tcPr>
          <w:p>
            <w:pPr>
              <w:jc w:val="left"/>
            </w:pPr>
            <w:r>
              <w:rPr>
                <w:sz w:val="20"/>
              </w:rPr>
              <w:t>0.2231</w:t>
            </w:r>
          </w:p>
        </w:tc>
        <w:tc>
          <w:tcPr>
            <w:tcW w:type="dxa" w:w="1587"/>
          </w:tcPr>
          <w:p>
            <w:pPr>
              <w:jc w:val="left"/>
            </w:pPr>
            <w:r>
              <w:rPr>
                <w:sz w:val="20"/>
              </w:rPr>
              <w:t>-0.7705</w:t>
            </w:r>
          </w:p>
        </w:tc>
      </w:tr>
      <w:tr>
        <w:tc>
          <w:tcPr>
            <w:tcW w:type="dxa" w:w="3685"/>
          </w:tcPr>
          <w:p>
            <w:pPr>
              <w:jc w:val="left"/>
            </w:pPr>
            <w:r>
              <w:rPr>
                <w:sz w:val="20"/>
              </w:rPr>
              <w:t>Q3（高投入-低产出）</w:t>
            </w:r>
          </w:p>
        </w:tc>
        <w:tc>
          <w:tcPr>
            <w:tcW w:type="dxa" w:w="1587"/>
          </w:tcPr>
          <w:p>
            <w:pPr>
              <w:jc w:val="left"/>
            </w:pPr>
            <w:r>
              <w:rPr>
                <w:sz w:val="20"/>
              </w:rPr>
              <w:t>0.1446</w:t>
            </w:r>
          </w:p>
        </w:tc>
        <w:tc>
          <w:tcPr>
            <w:tcW w:type="dxa" w:w="1587"/>
          </w:tcPr>
          <w:p>
            <w:pPr>
              <w:jc w:val="left"/>
            </w:pPr>
            <w:r>
              <w:rPr>
                <w:sz w:val="20"/>
              </w:rPr>
              <w:t>-1.2631</w:t>
            </w:r>
          </w:p>
        </w:tc>
      </w:tr>
      <w:tr>
        <w:tc>
          <w:tcPr>
            <w:tcW w:type="dxa" w:w="3685"/>
          </w:tcPr>
          <w:p>
            <w:pPr>
              <w:jc w:val="left"/>
            </w:pPr>
            <w:r>
              <w:rPr>
                <w:sz w:val="20"/>
              </w:rPr>
              <w:t>Q4（低投入-低产出）</w:t>
            </w:r>
          </w:p>
        </w:tc>
        <w:tc>
          <w:tcPr>
            <w:tcW w:type="dxa" w:w="1587"/>
          </w:tcPr>
          <w:p>
            <w:pPr>
              <w:jc w:val="left"/>
            </w:pPr>
            <w:r>
              <w:rPr>
                <w:sz w:val="20"/>
              </w:rPr>
              <w:t>0.4086</w:t>
            </w:r>
          </w:p>
        </w:tc>
        <w:tc>
          <w:tcPr>
            <w:tcW w:type="dxa" w:w="1587"/>
          </w:tcPr>
          <w:p>
            <w:pPr>
              <w:jc w:val="left"/>
            </w:pPr>
            <w:r>
              <w:rPr>
                <w:sz w:val="20"/>
              </w:rPr>
              <w:t>-2.6890</w:t>
            </w:r>
          </w:p>
        </w:tc>
      </w:tr>
    </w:tbl>
    <w:bookmarkEnd w:id="39"/>
    <w:bookmarkStart w:id="40" w:name="总产出最大化模型效率优先"/>
    <w:p>
      <w:pPr>
        <w:pStyle w:val="5"/>
      </w:pPr>
      <w:r>
        <w:t xml:space="preserve">总产出最大化模型（效率优先）</w:t>
      </w:r>
    </w:p>
    <w:p>
      <w:pPr>
        <w:pStyle w:val="3"/>
      </w:pPr>
      <w:r>
        <w:t xml:space="preserve">效率优先情景通过广义注水模型求解：</w:t>
      </w:r>
    </w:p>
    <w:p>
      <w:pPr>
        <w:pStyle w:val="3"/>
        <w:jc w:val="center"/>
      </w:pPr>
      <m:oMathPara>
        <m:oMathParaPr>
          <m:jc m:val="center"/>
        </m:oMathParaPr>
        <m:oMath>
          <m:m>
            <m:mPr>
              <m:baseJc m:val="center"/>
              <m:plcHide m:val="1"/>
              <m:mcs>
                <m:mc>
                  <m:mcPr>
                    <m:mcJc m:val="right"/>
                    <m:count m:val="1"/>
                  </m:mcPr>
                </m:mc>
                <m:mc>
                  <m:mcPr>
                    <m:mcJc m:val="left"/>
                    <m:count m:val="1"/>
                  </m:mcPr>
                </m:mc>
              </m:mcs>
            </m:mPr>
            <m:mr>
              <m:e>
                <m:limLow>
                  <m:e>
                    <m:r>
                      <m:rPr>
                        <m:nor/>
                        <m:sty m:val="p"/>
                      </m:rPr>
                      <m:t>max</m:t>
                    </m:r>
                  </m:e>
                  <m:lim>
                    <m:r>
                      <m:rPr>
                        <m:sty m:val="b"/>
                      </m:rPr>
                      <m:t>x</m:t>
                    </m:r>
                  </m:lim>
                </m:limLow>
                <m:r>
                  <m:t> </m:t>
                </m:r>
              </m:e>
              <m:e>
                <m:nary>
                  <m:naryPr>
                    <m:chr m:val="∑"/>
                    <m:limLoc m:val="undOvr"/>
                    <m:subHide m:val="0"/>
                    <m:supHide m:val="0"/>
                  </m:naryPr>
                  <m:sub>
                    <m:r>
                      <m:t>i</m:t>
                    </m:r>
                    <m:r>
                      <m:rPr>
                        <m:sty m:val="p"/>
                      </m:rPr>
                      <m:t>=</m:t>
                    </m:r>
                    <m:r>
                      <m:t>1</m:t>
                    </m:r>
                  </m:sub>
                  <m:sup>
                    <m:r>
                      <m:t>n</m:t>
                    </m:r>
                  </m:sup>
                  <m:e>
                    <m:sSub>
                      <m:e>
                        <m:r>
                          <m:t>f</m:t>
                        </m:r>
                      </m:e>
                      <m:sub>
                        <m:r>
                          <m:t>k</m:t>
                        </m:r>
                        <m:r>
                          <m:rPr>
                            <m:sty m:val="p"/>
                          </m:rPr>
                          <m:t>(</m:t>
                        </m:r>
                        <m:r>
                          <m:t>i</m:t>
                        </m:r>
                        <m:r>
                          <m:rPr>
                            <m:sty m:val="p"/>
                          </m:rPr>
                          <m:t>)</m:t>
                        </m:r>
                      </m:sub>
                    </m:sSub>
                  </m:e>
                </m:nary>
                <m:r>
                  <m:rPr>
                    <m:sty m:val="p"/>
                  </m:rPr>
                  <m:t>(</m:t>
                </m:r>
                <m:sSub>
                  <m:e>
                    <m:r>
                      <m:t>x</m:t>
                    </m:r>
                  </m:e>
                  <m:sub>
                    <m:r>
                      <m:t>i</m:t>
                    </m:r>
                  </m:sub>
                </m:sSub>
                <m:r>
                  <m:rPr>
                    <m:sty m:val="p"/>
                  </m:rPr>
                  <m:t>)</m:t>
                </m:r>
              </m:e>
            </m:mr>
            <m:mr>
              <m:e>
                <m:r>
                  <m:rPr>
                    <m:nor/>
                    <m:sty m:val="p"/>
                  </m:rPr>
                  <m:t>s.t.</m:t>
                </m:r>
                <m:r>
                  <m:t> </m:t>
                </m:r>
              </m:e>
              <m:e>
                <m:nary>
                  <m:naryPr>
                    <m:chr m:val="∑"/>
                    <m:limLoc m:val="undOvr"/>
                    <m:subHide m:val="0"/>
                    <m:supHide m:val="0"/>
                  </m:naryPr>
                  <m:sub>
                    <m:r>
                      <m:t>i</m:t>
                    </m:r>
                    <m:r>
                      <m:rPr>
                        <m:sty m:val="p"/>
                      </m:rPr>
                      <m:t>=</m:t>
                    </m:r>
                    <m:r>
                      <m:t>1</m:t>
                    </m:r>
                  </m:sub>
                  <m:sup>
                    <m:r>
                      <m:t>n</m:t>
                    </m:r>
                  </m:sup>
                  <m:e>
                    <m:sSub>
                      <m:e>
                        <m:r>
                          <m:t>x</m:t>
                        </m:r>
                      </m:e>
                      <m:sub>
                        <m:r>
                          <m:t>i</m:t>
                        </m:r>
                      </m:sub>
                    </m:sSub>
                  </m:e>
                </m:nary>
                <m:r>
                  <m:rPr>
                    <m:sty m:val="p"/>
                  </m:rPr>
                  <m:t>≤</m:t>
                </m:r>
                <m:r>
                  <m:t>B</m:t>
                </m:r>
                <m:r>
                  <m:rPr>
                    <m:sty m:val="p"/>
                  </m:rPr>
                  <m:t>,</m:t>
                </m:r>
              </m:e>
            </m:mr>
            <m:mr>
              <m:e/>
              <m:e>
                <m:sSubSup>
                  <m:e>
                    <m:r>
                      <m:t>x</m:t>
                    </m:r>
                  </m:e>
                  <m:sub>
                    <m:r>
                      <m:t>i</m:t>
                    </m:r>
                  </m:sub>
                  <m:sup>
                    <m:r>
                      <m:rPr>
                        <m:nor/>
                        <m:sty m:val="p"/>
                      </m:rPr>
                      <m:t>min</m:t>
                    </m:r>
                  </m:sup>
                </m:sSubSup>
                <m:r>
                  <m:rPr>
                    <m:sty m:val="p"/>
                  </m:rPr>
                  <m:t>≤</m:t>
                </m:r>
                <m:sSub>
                  <m:e>
                    <m:r>
                      <m:t>x</m:t>
                    </m:r>
                  </m:e>
                  <m:sub>
                    <m:r>
                      <m:t>i</m:t>
                    </m:r>
                  </m:sub>
                </m:sSub>
                <m:r>
                  <m:rPr>
                    <m:sty m:val="p"/>
                  </m:rPr>
                  <m:t>≤</m:t>
                </m:r>
                <m:sSubSup>
                  <m:e>
                    <m:r>
                      <m:t>x</m:t>
                    </m:r>
                  </m:e>
                  <m:sub>
                    <m:r>
                      <m:t>i</m:t>
                    </m:r>
                  </m:sub>
                  <m:sup>
                    <m:r>
                      <m:rPr>
                        <m:nor/>
                        <m:sty m:val="p"/>
                      </m:rPr>
                      <m:t>max</m:t>
                    </m:r>
                  </m:sup>
                </m:sSubSup>
                <m:r>
                  <m:rPr>
                    <m:sty m:val="p"/>
                  </m:rPr>
                  <m:t>,</m:t>
                </m:r>
                <m:r>
                  <m:t> </m:t>
                </m:r>
                <m:r>
                  <m:t>i</m:t>
                </m:r>
                <m:r>
                  <m:rPr>
                    <m:sty m:val="p"/>
                  </m:rPr>
                  <m:t>=</m:t>
                </m:r>
                <m:r>
                  <m:t>1</m:t>
                </m:r>
                <m:r>
                  <m:rPr>
                    <m:sty m:val="p"/>
                  </m:rPr>
                  <m:t>,</m:t>
                </m:r>
                <m:r>
                  <m:rPr>
                    <m:sty m:val="p"/>
                  </m:rPr>
                  <m:t>…</m:t>
                </m:r>
                <m:r>
                  <m:rPr>
                    <m:sty m:val="p"/>
                  </m:rPr>
                  <m:t>,</m:t>
                </m:r>
                <m:r>
                  <m:t>n</m:t>
                </m:r>
              </m:e>
            </m:mr>
          </m:m>
        </m:oMath>
      </m:oMathPara>
    </w:p>
    <w:p>
      <w:pPr>
        <w:pStyle w:val="3"/>
      </w:pPr>
      <w:r>
        <w:t xml:space="preserve">其中，</w:t>
      </w:r>
      <m:oMath>
        <m:r>
          <m:t>B</m:t>
        </m:r>
        <m:r>
          <m:rPr>
            <m:sty m:val="p"/>
          </m:rPr>
          <m:t>=</m:t>
        </m:r>
        <m:r>
          <m:t>α</m:t>
        </m:r>
        <m:r>
          <m:rPr>
            <m:sty m:val="p"/>
          </m:rPr>
          <m:t>⋅</m:t>
        </m:r>
        <m:nary>
          <m:naryPr>
            <m:chr m:val="∑"/>
            <m:limLoc m:val="undOvr"/>
            <m:subHide m:val="0"/>
            <m:supHide m:val="1"/>
          </m:naryPr>
          <m:sub>
            <m:r>
              <m:t>i</m:t>
            </m:r>
          </m:sub>
          <m:sup>
            <m:r>
              <m:t>​</m:t>
            </m:r>
          </m:sup>
          <m:e>
            <m:sSubSup>
              <m:e>
                <m:r>
                  <m:t>x</m:t>
                </m:r>
              </m:e>
              <m:sub>
                <m:r>
                  <m:t>i</m:t>
                </m:r>
              </m:sub>
              <m:sup>
                <m:r>
                  <m:rPr>
                    <m:nor/>
                    <m:sty m:val="p"/>
                  </m:rPr>
                  <m:t>current</m:t>
                </m:r>
              </m:sup>
            </m:sSubSup>
          </m:e>
        </m:nary>
      </m:oMath>
      <w:r>
        <w:t xml:space="preserve"> </w:t>
      </w:r>
      <w:r>
        <w:t xml:space="preserve">表示预算总量，本文设置</w:t>
      </w:r>
      <w:r>
        <w:t xml:space="preserve"> </w:t>
      </w:r>
      <m:oMath>
        <m:r>
          <m:t>α</m:t>
        </m:r>
        <m:r>
          <m:rPr>
            <m:sty m:val="p"/>
          </m:rPr>
          <m:t>∈</m:t>
        </m:r>
        <m:r>
          <m:rPr>
            <m:sty m:val="p"/>
          </m:rPr>
          <m:t>{</m:t>
        </m:r>
        <m:r>
          <m:t>0.9</m:t>
        </m:r>
        <m:r>
          <m:rPr>
            <m:sty m:val="p"/>
          </m:rPr>
          <m:t>,</m:t>
        </m:r>
        <m:r>
          <m:t>1.0</m:t>
        </m:r>
        <m:r>
          <m:rPr>
            <m:sty m:val="p"/>
          </m:rPr>
          <m:t>,</m:t>
        </m:r>
        <m:r>
          <m:t>1.1</m:t>
        </m:r>
        <m:r>
          <m:rPr>
            <m:sty m:val="p"/>
          </m:rPr>
          <m:t>}</m:t>
        </m:r>
      </m:oMath>
      <w:r>
        <w:t xml:space="preserve"> </w:t>
      </w:r>
      <w:r>
        <w:t xml:space="preserve">三种预算情景；约束区间取</w:t>
      </w:r>
      <w:r>
        <w:t xml:space="preserve"> </w:t>
      </w:r>
      <m:oMath>
        <m:sSubSup>
          <m:e>
            <m:r>
              <m:t>x</m:t>
            </m:r>
          </m:e>
          <m:sub>
            <m:r>
              <m:t>i</m:t>
            </m:r>
          </m:sub>
          <m:sup>
            <m:r>
              <m:rPr>
                <m:nor/>
                <m:sty m:val="p"/>
              </m:rPr>
              <m:t>min</m:t>
            </m:r>
          </m:sup>
        </m:sSubSup>
        <m:r>
          <m:rPr>
            <m:sty m:val="p"/>
          </m:rPr>
          <m:t>=</m:t>
        </m:r>
        <m:r>
          <m:t>0.5</m:t>
        </m:r>
        <m:sSubSup>
          <m:e>
            <m:r>
              <m:t>x</m:t>
            </m:r>
          </m:e>
          <m:sub>
            <m:r>
              <m:t>i</m:t>
            </m:r>
          </m:sub>
          <m:sup>
            <m:r>
              <m:rPr>
                <m:nor/>
                <m:sty m:val="p"/>
              </m:rPr>
              <m:t>current</m:t>
            </m:r>
          </m:sup>
        </m:sSubSup>
      </m:oMath>
      <w:r>
        <w:t xml:space="preserve">、</w:t>
      </w:r>
      <m:oMath>
        <m:sSubSup>
          <m:e>
            <m:r>
              <m:t>x</m:t>
            </m:r>
          </m:e>
          <m:sub>
            <m:r>
              <m:t>i</m:t>
            </m:r>
          </m:sub>
          <m:sup>
            <m:r>
              <m:rPr>
                <m:nor/>
                <m:sty m:val="p"/>
              </m:rPr>
              <m:t>max</m:t>
            </m:r>
          </m:sup>
        </m:sSubSup>
        <m:r>
          <m:rPr>
            <m:sty m:val="p"/>
          </m:rPr>
          <m:t>=</m:t>
        </m:r>
        <m:r>
          <m:t>2.0</m:t>
        </m:r>
        <m:sSubSup>
          <m:e>
            <m:r>
              <m:t>x</m:t>
            </m:r>
          </m:e>
          <m:sub>
            <m:r>
              <m:t>i</m:t>
            </m:r>
          </m:sub>
          <m:sup>
            <m:r>
              <m:rPr>
                <m:nor/>
                <m:sty m:val="p"/>
              </m:rPr>
              <m:t>current</m:t>
            </m:r>
          </m:sup>
        </m:sSubSup>
      </m:oMath>
      <w:r>
        <w:t xml:space="preserve">。由于目标函数可分离且整体保持凹性，最优解具有广义注水结构：</w:t>
      </w:r>
    </w:p>
    <w:p>
      <w:pPr>
        <w:pStyle w:val="3"/>
        <w:jc w:val="center"/>
      </w:pPr>
      <m:oMathPara>
        <m:oMathParaPr>
          <m:jc m:val="center"/>
        </m:oMathParaPr>
        <m:oMath>
          <m:sSubSup>
            <m:e>
              <m:r>
                <m:t>x</m:t>
              </m:r>
            </m:e>
            <m:sub>
              <m:r>
                <m:t>i</m:t>
              </m:r>
            </m:sub>
            <m:sup>
              <m:r>
                <m:rPr>
                  <m:sty m:val="p"/>
                </m:rPr>
                <m:t>*</m:t>
              </m:r>
            </m:sup>
          </m:sSubSup>
          <m:r>
            <m:rPr>
              <m:sty m:val="p"/>
            </m:rPr>
            <m:t>=</m:t>
          </m:r>
          <m:r>
            <m:rPr>
              <m:nor/>
              <m:sty m:val="p"/>
            </m:rPr>
            <m:t>clip</m:t>
          </m:r>
          <m:d>
            <m:dPr>
              <m:begChr m:val="("/>
              <m:endChr m:val=")"/>
              <m:grow/>
            </m:dPr>
            <m:e>
              <m:f>
                <m:fPr>
                  <m:type m:val="bar"/>
                </m:fPr>
                <m:num>
                  <m:sSub>
                    <m:e>
                      <m:r>
                        <m:t>a</m:t>
                      </m:r>
                    </m:e>
                    <m:sub>
                      <m:r>
                        <m:t>k</m:t>
                      </m:r>
                      <m:r>
                        <m:rPr>
                          <m:sty m:val="p"/>
                        </m:rPr>
                        <m:t>(</m:t>
                      </m:r>
                      <m:r>
                        <m:t>i</m:t>
                      </m:r>
                      <m:r>
                        <m:rPr>
                          <m:sty m:val="p"/>
                        </m:rPr>
                        <m:t>)</m:t>
                      </m:r>
                    </m:sub>
                  </m:sSub>
                </m:num>
                <m:den>
                  <m:r>
                    <m:t>μ</m:t>
                  </m:r>
                </m:den>
              </m:f>
              <m:r>
                <m:rPr>
                  <m:sty m:val="p"/>
                </m:rPr>
                <m:t>−</m:t>
              </m:r>
              <m:r>
                <m:t>1</m:t>
              </m:r>
              <m:r>
                <m:rPr>
                  <m:sty m:val="p"/>
                </m:rPr>
                <m:t>,</m:t>
              </m:r>
              <m:r>
                <m:t> </m:t>
              </m:r>
              <m:sSubSup>
                <m:e>
                  <m:r>
                    <m:t>x</m:t>
                  </m:r>
                </m:e>
                <m:sub>
                  <m:r>
                    <m:t>i</m:t>
                  </m:r>
                </m:sub>
                <m:sup>
                  <m:r>
                    <m:rPr>
                      <m:nor/>
                      <m:sty m:val="p"/>
                    </m:rPr>
                    <m:t>min</m:t>
                  </m:r>
                </m:sup>
              </m:sSubSup>
              <m:r>
                <m:rPr>
                  <m:sty m:val="p"/>
                </m:rPr>
                <m:t>,</m:t>
              </m:r>
              <m:r>
                <m:t> </m:t>
              </m:r>
              <m:sSubSup>
                <m:e>
                  <m:r>
                    <m:t>x</m:t>
                  </m:r>
                </m:e>
                <m:sub>
                  <m:r>
                    <m:t>i</m:t>
                  </m:r>
                </m:sub>
                <m:sup>
                  <m:r>
                    <m:rPr>
                      <m:nor/>
                      <m:sty m:val="p"/>
                    </m:rPr>
                    <m:t>max</m:t>
                  </m:r>
                </m:sup>
              </m:sSubSup>
            </m:e>
          </m:d>
        </m:oMath>
      </m:oMathPara>
    </w:p>
    <w:p>
      <w:pPr>
        <w:pStyle w:val="3"/>
      </w:pPr>
      <w:r>
        <w:t xml:space="preserve">其中，</w:t>
      </w:r>
      <m:oMath>
        <m:r>
          <m:t>μ</m:t>
        </m:r>
        <m:r>
          <m:rPr>
            <m:sty m:val="p"/>
          </m:rPr>
          <m:t>&gt;</m:t>
        </m:r>
        <m:r>
          <m:t>0</m:t>
        </m:r>
      </m:oMath>
      <w:r>
        <w:t xml:space="preserve"> </w:t>
      </w:r>
      <w:r>
        <w:t xml:space="preserve">通过二分搜索确定，使得预算约束恰好满足。</w:t>
      </w:r>
    </w:p>
    <w:bookmarkEnd w:id="40"/>
    <w:bookmarkStart w:id="41" w:name="rawlsian-最小值最大化模型公平优先"/>
    <w:p>
      <w:pPr>
        <w:pStyle w:val="5"/>
      </w:pPr>
      <w:r>
        <w:t xml:space="preserve">Rawlsian 最小值最大化模型（公平优先）</w:t>
      </w:r>
    </w:p>
    <w:p>
      <w:pPr>
        <w:pStyle w:val="3"/>
      </w:pPr>
      <w:r>
        <w:t xml:space="preserve">公平优先情景遵循</w:t>
      </w:r>
      <w:r>
        <w:t xml:space="preserve">“</w:t>
      </w:r>
      <w:r>
        <w:t xml:space="preserve">最弱者优先</w:t>
      </w:r>
      <w:r>
        <w:t xml:space="preserve">”</w:t>
      </w:r>
      <w:r>
        <w:t xml:space="preserve">原则，以地区最低可实现健康产出水平为优化目标：</w:t>
      </w:r>
    </w:p>
    <w:p>
      <w:pPr>
        <w:pStyle w:val="3"/>
        <w:jc w:val="center"/>
      </w:pPr>
      <m:oMathPara>
        <m:oMathParaPr>
          <m:jc m:val="center"/>
        </m:oMathParaPr>
        <m:oMath>
          <m:m>
            <m:mPr>
              <m:baseJc m:val="center"/>
              <m:plcHide m:val="1"/>
              <m:mcs>
                <m:mc>
                  <m:mcPr>
                    <m:mcJc m:val="right"/>
                    <m:count m:val="1"/>
                  </m:mcPr>
                </m:mc>
                <m:mc>
                  <m:mcPr>
                    <m:mcJc m:val="left"/>
                    <m:count m:val="1"/>
                  </m:mcPr>
                </m:mc>
              </m:mcs>
            </m:mPr>
            <m:mr>
              <m:e>
                <m:limLow>
                  <m:e>
                    <m:r>
                      <m:rPr>
                        <m:nor/>
                        <m:sty m:val="p"/>
                      </m:rPr>
                      <m:t>max</m:t>
                    </m:r>
                  </m:e>
                  <m:lim>
                    <m:r>
                      <m:rPr>
                        <m:sty m:val="b"/>
                      </m:rPr>
                      <m:t>x</m:t>
                    </m:r>
                    <m:r>
                      <m:rPr>
                        <m:sty m:val="p"/>
                      </m:rPr>
                      <m:t>,</m:t>
                    </m:r>
                    <m:r>
                      <m:t>τ</m:t>
                    </m:r>
                  </m:lim>
                </m:limLow>
                <m:r>
                  <m:t> </m:t>
                </m:r>
              </m:e>
              <m:e>
                <m:r>
                  <m:t>τ</m:t>
                </m:r>
              </m:e>
            </m:mr>
            <m:mr>
              <m:e>
                <m:r>
                  <m:rPr>
                    <m:nor/>
                    <m:sty m:val="p"/>
                  </m:rPr>
                  <m:t>s.t.</m:t>
                </m:r>
                <m:r>
                  <m:t> </m:t>
                </m:r>
              </m:e>
              <m:e>
                <m:sSub>
                  <m:e>
                    <m:r>
                      <m:t>f</m:t>
                    </m:r>
                  </m:e>
                  <m:sub>
                    <m:r>
                      <m:t>k</m:t>
                    </m:r>
                    <m:r>
                      <m:rPr>
                        <m:sty m:val="p"/>
                      </m:rPr>
                      <m:t>(</m:t>
                    </m:r>
                    <m:r>
                      <m:t>i</m:t>
                    </m:r>
                    <m:r>
                      <m:rPr>
                        <m:sty m:val="p"/>
                      </m:rPr>
                      <m:t>)</m:t>
                    </m:r>
                  </m:sub>
                </m:sSub>
                <m:r>
                  <m:rPr>
                    <m:sty m:val="p"/>
                  </m:rPr>
                  <m:t>(</m:t>
                </m:r>
                <m:sSub>
                  <m:e>
                    <m:r>
                      <m:t>x</m:t>
                    </m:r>
                  </m:e>
                  <m:sub>
                    <m:r>
                      <m:t>i</m:t>
                    </m:r>
                  </m:sub>
                </m:sSub>
                <m:r>
                  <m:rPr>
                    <m:sty m:val="p"/>
                  </m:rPr>
                  <m:t>)</m:t>
                </m:r>
                <m:r>
                  <m:rPr>
                    <m:sty m:val="p"/>
                  </m:rPr>
                  <m:t>≥</m:t>
                </m:r>
                <m:r>
                  <m:t>τ</m:t>
                </m:r>
                <m:r>
                  <m:rPr>
                    <m:sty m:val="p"/>
                  </m:rPr>
                  <m:t>,</m:t>
                </m:r>
                <m:r>
                  <m:t> </m:t>
                </m:r>
                <m:r>
                  <m:t>i</m:t>
                </m:r>
                <m:r>
                  <m:rPr>
                    <m:sty m:val="p"/>
                  </m:rPr>
                  <m:t>=</m:t>
                </m:r>
                <m:r>
                  <m:t>1</m:t>
                </m:r>
                <m:r>
                  <m:rPr>
                    <m:sty m:val="p"/>
                  </m:rPr>
                  <m:t>,</m:t>
                </m:r>
                <m:r>
                  <m:rPr>
                    <m:sty m:val="p"/>
                  </m:rPr>
                  <m:t>…</m:t>
                </m:r>
                <m:r>
                  <m:rPr>
                    <m:sty m:val="p"/>
                  </m:rPr>
                  <m:t>,</m:t>
                </m:r>
                <m:r>
                  <m:t>n</m:t>
                </m:r>
                <m:r>
                  <m:rPr>
                    <m:sty m:val="p"/>
                  </m:rPr>
                  <m:t>,</m:t>
                </m:r>
              </m:e>
            </m:mr>
            <m:mr>
              <m:e/>
              <m:e>
                <m:nary>
                  <m:naryPr>
                    <m:chr m:val="∑"/>
                    <m:limLoc m:val="undOvr"/>
                    <m:subHide m:val="0"/>
                    <m:supHide m:val="0"/>
                  </m:naryPr>
                  <m:sub>
                    <m:r>
                      <m:t>i</m:t>
                    </m:r>
                    <m:r>
                      <m:rPr>
                        <m:sty m:val="p"/>
                      </m:rPr>
                      <m:t>=</m:t>
                    </m:r>
                    <m:r>
                      <m:t>1</m:t>
                    </m:r>
                  </m:sub>
                  <m:sup>
                    <m:r>
                      <m:t>n</m:t>
                    </m:r>
                  </m:sup>
                  <m:e>
                    <m:sSub>
                      <m:e>
                        <m:r>
                          <m:t>x</m:t>
                        </m:r>
                      </m:e>
                      <m:sub>
                        <m:r>
                          <m:t>i</m:t>
                        </m:r>
                      </m:sub>
                    </m:sSub>
                  </m:e>
                </m:nary>
                <m:r>
                  <m:rPr>
                    <m:sty m:val="p"/>
                  </m:rPr>
                  <m:t>≤</m:t>
                </m:r>
                <m:r>
                  <m:t>B</m:t>
                </m:r>
                <m:r>
                  <m:rPr>
                    <m:sty m:val="p"/>
                  </m:rPr>
                  <m:t>,</m:t>
                </m:r>
              </m:e>
            </m:mr>
            <m:mr>
              <m:e/>
              <m:e>
                <m:sSubSup>
                  <m:e>
                    <m:r>
                      <m:t>x</m:t>
                    </m:r>
                  </m:e>
                  <m:sub>
                    <m:r>
                      <m:t>i</m:t>
                    </m:r>
                  </m:sub>
                  <m:sup>
                    <m:r>
                      <m:rPr>
                        <m:nor/>
                        <m:sty m:val="p"/>
                      </m:rPr>
                      <m:t>min</m:t>
                    </m:r>
                  </m:sup>
                </m:sSubSup>
                <m:r>
                  <m:rPr>
                    <m:sty m:val="p"/>
                  </m:rPr>
                  <m:t>≤</m:t>
                </m:r>
                <m:sSub>
                  <m:e>
                    <m:r>
                      <m:t>x</m:t>
                    </m:r>
                  </m:e>
                  <m:sub>
                    <m:r>
                      <m:t>i</m:t>
                    </m:r>
                  </m:sub>
                </m:sSub>
                <m:r>
                  <m:rPr>
                    <m:sty m:val="p"/>
                  </m:rPr>
                  <m:t>≤</m:t>
                </m:r>
                <m:sSubSup>
                  <m:e>
                    <m:r>
                      <m:t>x</m:t>
                    </m:r>
                  </m:e>
                  <m:sub>
                    <m:r>
                      <m:t>i</m:t>
                    </m:r>
                  </m:sub>
                  <m:sup>
                    <m:r>
                      <m:rPr>
                        <m:nor/>
                        <m:sty m:val="p"/>
                      </m:rPr>
                      <m:t>max</m:t>
                    </m:r>
                  </m:sup>
                </m:sSubSup>
              </m:e>
            </m:mr>
          </m:m>
        </m:oMath>
      </m:oMathPara>
    </w:p>
    <w:p>
      <w:pPr>
        <w:pStyle w:val="3"/>
      </w:pPr>
      <w:r>
        <w:t xml:space="preserve">其中，</w:t>
      </w:r>
      <m:oMath>
        <m:r>
          <m:t>τ</m:t>
        </m:r>
      </m:oMath>
      <w:r>
        <w:t xml:space="preserve"> </w:t>
      </w:r>
      <w:r>
        <w:t xml:space="preserve">表示全体地区中最低可达到的健康产出下限。为增强倾斜力度，该情景下设置</w:t>
      </w:r>
      <w:r>
        <w:t xml:space="preserve"> </w:t>
      </w:r>
      <m:oMath>
        <m:sSubSup>
          <m:e>
            <m:r>
              <m:t>x</m:t>
            </m:r>
          </m:e>
          <m:sub>
            <m:r>
              <m:t>i</m:t>
            </m:r>
          </m:sub>
          <m:sup>
            <m:r>
              <m:rPr>
                <m:nor/>
                <m:sty m:val="p"/>
              </m:rPr>
              <m:t>min</m:t>
            </m:r>
          </m:sup>
        </m:sSubSup>
        <m:r>
          <m:rPr>
            <m:sty m:val="p"/>
          </m:rPr>
          <m:t>=</m:t>
        </m:r>
        <m:r>
          <m:t>0.3</m:t>
        </m:r>
        <m:sSubSup>
          <m:e>
            <m:r>
              <m:t>x</m:t>
            </m:r>
          </m:e>
          <m:sub>
            <m:r>
              <m:t>i</m:t>
            </m:r>
          </m:sub>
          <m:sup>
            <m:r>
              <m:rPr>
                <m:nor/>
                <m:sty m:val="p"/>
              </m:rPr>
              <m:t>current</m:t>
            </m:r>
          </m:sup>
        </m:sSubSup>
      </m:oMath>
      <w:r>
        <w:t xml:space="preserve">、</w:t>
      </w:r>
      <m:oMath>
        <m:sSubSup>
          <m:e>
            <m:r>
              <m:t>x</m:t>
            </m:r>
          </m:e>
          <m:sub>
            <m:r>
              <m:t>i</m:t>
            </m:r>
          </m:sub>
          <m:sup>
            <m:r>
              <m:rPr>
                <m:nor/>
                <m:sty m:val="p"/>
              </m:rPr>
              <m:t>max</m:t>
            </m:r>
          </m:sup>
        </m:sSubSup>
        <m:r>
          <m:rPr>
            <m:sty m:val="p"/>
          </m:rPr>
          <m:t>=</m:t>
        </m:r>
        <m:r>
          <m:t>2.0</m:t>
        </m:r>
        <m:sSubSup>
          <m:e>
            <m:r>
              <m:t>x</m:t>
            </m:r>
          </m:e>
          <m:sub>
            <m:r>
              <m:t>i</m:t>
            </m:r>
          </m:sub>
          <m:sup>
            <m:r>
              <m:rPr>
                <m:nor/>
                <m:sty m:val="p"/>
              </m:rPr>
              <m:t>current</m:t>
            </m:r>
          </m:sup>
        </m:sSubSup>
      </m:oMath>
      <w:r>
        <w:t xml:space="preserve">，并采用 SLSQP 进行数值求解。</w:t>
      </w:r>
    </w:p>
    <w:bookmarkEnd w:id="41"/>
    <w:bookmarkStart w:id="43" w:name="全球规划结果"/>
    <w:p>
      <w:pPr>
        <w:pStyle w:val="5"/>
      </w:pPr>
      <w:r>
        <w:t xml:space="preserve">全球规划结果</w:t>
      </w:r>
    </w:p>
    <w:p>
      <w:pPr>
        <w:pStyle w:val="3"/>
      </w:pPr>
      <w:r>
        <w:t xml:space="preserve">在三种预算水平和两类目标函数下，本文共求解 6 种全球再分配方案。以下聚焦预算持平的核心情景：</w:t>
      </w:r>
    </w:p>
    <w:p xmlns:a="http://schemas.openxmlformats.org/drawingml/2006/main" xmlns:pic="http://schemas.openxmlformats.org/drawingml/2006/picture">
      <w:pPr>
        <w:pStyle w:val="40"/>
        <w:jc w:val="center"/>
      </w:pPr>
      <w:r>
        <w:drawing>
          <wp:inline>
            <wp:extent cx="5270500" cy="3618063"/>
            <wp:effectExtent b="0" l="0" r="0" t="0"/>
            <wp:docPr descr="图3-7 全球预算持平情景下两类优化目标的再分配对比" title="" id="1" name="Picture"/>
            <a:graphic>
              <a:graphicData uri="http://schemas.openxmlformats.org/drawingml/2006/picture">
                <pic:pic>
                  <pic:nvPicPr>
                    <pic:cNvPr descr="reports/paper/assets/p3_07_global_optimization_compare.png" id="0" name="Picture"/>
                    <pic:cNvPicPr>
                      <a:picLocks noChangeArrowheads="1" noChangeAspect="1"/>
                    </pic:cNvPicPr>
                  </pic:nvPicPr>
                  <pic:blipFill>
                    <a:blip r:embed="rId18"/>
                    <a:stretch>
                      <a:fillRect/>
                    </a:stretch>
                  </pic:blipFill>
                  <pic:spPr bwMode="auto">
                    <a:xfrm>
                      <a:off x="0" y="0"/>
                      <a:ext cx="5270500" cy="3618063"/>
                    </a:xfrm>
                    <a:prstGeom prst="rect">
                      <a:avLst/>
                    </a:prstGeom>
                    <a:noFill/>
                    <a:ln w="9525">
                      <a:noFill/>
                      <a:headEnd/>
                      <a:tailEnd/>
                    </a:ln>
                  </pic:spPr>
                </pic:pic>
              </a:graphicData>
            </a:graphic>
          </wp:inline>
        </w:drawing>
      </w:r>
    </w:p>
    <w:p>
      <w:pPr>
        <w:pStyle w:val="12"/>
        <w:jc w:val="center"/>
      </w:pPr>
      <w:r>
        <w:t xml:space="preserve">图3-7 全球预算持平情景下两类优化目标的再分配对比</w:t>
      </w:r>
    </w:p>
    <w:p>
      <w:pPr>
        <w:pStyle w:val="3"/>
      </w:pPr>
      <w:r>
        <w:t xml:space="preserve">图3-7显示，在预算持平的总产出最大化情景下，模型覆盖 191 个国家，形成</w:t>
      </w:r>
      <w:r>
        <w:t xml:space="preserve">“</w:t>
      </w:r>
      <w:r>
        <w:t xml:space="preserve">163 个净受益国、28 个净转出国</w:t>
      </w:r>
      <w:r>
        <w:t xml:space="preserve">”</w:t>
      </w:r>
      <w:r>
        <w:t xml:space="preserve">的结构，总移动预算约为 68883.39。前五大净受益方分别为阿富汗、马里、黑山、蒙古和莫桑比克，前五大净转出方则为冰岛、澳大利亚、奥地利、加拿大和美国。这说明效率优先方案并不是简单地</w:t>
      </w:r>
      <w:r>
        <w:t xml:space="preserve">“</w:t>
      </w:r>
      <w:r>
        <w:t xml:space="preserve">从富国转向穷国</w:t>
      </w:r>
      <w:r>
        <w:t xml:space="preserve">”</w:t>
      </w:r>
      <w:r>
        <w:t xml:space="preserve">，而是优先将资源流向边际健康产出更高的地区。</w:t>
      </w:r>
    </w:p>
    <w:p>
      <w:pPr>
        <w:pStyle w:val="3"/>
      </w:pPr>
      <w:r>
        <w:t xml:space="preserve">在预算持平的 maximin 情景下，资源集中度明显更强：仅有 9 个净受益国，但有 182 个净转出国，总移动预算仅为 57.42。前五大净受益方依次为索马里、马达加斯加、刚果（金）、布隆迪和尼日尔，几乎全部位于 AFRO 地区，且多数属于 Q4 国家。与效率优先相比，公平优先方案不追求大范围调整，而是以更小的调整量优先抬升最弱国家的健康产出下限。</w:t>
      </w:r>
    </w:p>
    <w:bookmarkEnd w:id="43"/>
    <w:bookmarkStart w:id="47" w:name="中国省级规划结果"/>
    <w:p>
      <w:pPr>
        <w:pStyle w:val="5"/>
      </w:pPr>
      <w:r>
        <w:t xml:space="preserve">中国省级规划结果</w:t>
      </w:r>
    </w:p>
    <w:p>
      <w:pPr>
        <w:pStyle w:val="3"/>
      </w:pPr>
      <w:r>
        <w:t xml:space="preserve">赛题第（3）问还要求给出</w:t>
      </w:r>
      <w:r>
        <w:t xml:space="preserve">“</w:t>
      </w:r>
      <w:r>
        <w:t xml:space="preserve">一国内部</w:t>
      </w:r>
      <w:r>
        <w:t xml:space="preserve">”</w:t>
      </w:r>
      <w:r>
        <w:t xml:space="preserve">的最优再分配方案。为此，本文利用 31 个省级行政区 2005-2024 年卫生人员与卫生机构数据，并结合最新年份的人均卫生支出、预期寿命和婴儿死亡率，构造中国省级子样本，在一国内部复刻资源缺口、四象限分类与优化模型。</w:t>
      </w:r>
    </w:p>
    <w:p xmlns:a="http://schemas.openxmlformats.org/drawingml/2006/main" xmlns:pic="http://schemas.openxmlformats.org/drawingml/2006/picture">
      <w:pPr>
        <w:pStyle w:val="40"/>
        <w:jc w:val="center"/>
      </w:pPr>
      <w:r>
        <w:drawing>
          <wp:inline>
            <wp:extent cx="5270500" cy="2101204"/>
            <wp:effectExtent b="0" l="0" r="0" t="0"/>
            <wp:docPr descr="图3-8 2005-2024年中国代表性省份卫生资源趋势" title="" id="1" name="Picture"/>
            <a:graphic>
              <a:graphicData uri="http://schemas.openxmlformats.org/drawingml/2006/picture">
                <pic:pic>
                  <pic:nvPicPr>
                    <pic:cNvPr descr="reports/paper/assets/p3_08_china_trends.png" id="0" name="Picture"/>
                    <pic:cNvPicPr>
                      <a:picLocks noChangeArrowheads="1" noChangeAspect="1"/>
                    </pic:cNvPicPr>
                  </pic:nvPicPr>
                  <pic:blipFill>
                    <a:blip r:embed="rId19"/>
                    <a:stretch>
                      <a:fillRect/>
                    </a:stretch>
                  </pic:blipFill>
                  <pic:spPr bwMode="auto">
                    <a:xfrm>
                      <a:off x="0" y="0"/>
                      <a:ext cx="5270500" cy="2101204"/>
                    </a:xfrm>
                    <a:prstGeom prst="rect">
                      <a:avLst/>
                    </a:prstGeom>
                    <a:noFill/>
                    <a:ln w="9525">
                      <a:noFill/>
                      <a:headEnd/>
                      <a:tailEnd/>
                    </a:ln>
                  </pic:spPr>
                </pic:pic>
              </a:graphicData>
            </a:graphic>
          </wp:inline>
        </w:drawing>
      </w:r>
    </w:p>
    <w:p>
      <w:pPr>
        <w:pStyle w:val="12"/>
        <w:jc w:val="center"/>
      </w:pPr>
      <w:r>
        <w:t xml:space="preserve">图3-8 2005-2024年中国代表性省份卫生资源趋势</w:t>
      </w:r>
    </w:p>
    <w:p xmlns:a="http://schemas.openxmlformats.org/drawingml/2006/main" xmlns:pic="http://schemas.openxmlformats.org/drawingml/2006/picture">
      <w:pPr>
        <w:pStyle w:val="40"/>
        <w:jc w:val="center"/>
      </w:pPr>
      <w:r>
        <w:drawing>
          <wp:inline>
            <wp:extent cx="5270500" cy="1969360"/>
            <wp:effectExtent b="0" l="0" r="0" t="0"/>
            <wp:docPr descr="图3-9 中国省级资源缺口与投入-产出四象限" title="" id="1" name="Picture"/>
            <a:graphic>
              <a:graphicData uri="http://schemas.openxmlformats.org/drawingml/2006/picture">
                <pic:pic>
                  <pic:nvPicPr>
                    <pic:cNvPr descr="reports/paper/assets/p3_09_china_gap_efficiency.png" id="0" name="Picture"/>
                    <pic:cNvPicPr>
                      <a:picLocks noChangeArrowheads="1" noChangeAspect="1"/>
                    </pic:cNvPicPr>
                  </pic:nvPicPr>
                  <pic:blipFill>
                    <a:blip r:embed="rId20"/>
                    <a:stretch>
                      <a:fillRect/>
                    </a:stretch>
                  </pic:blipFill>
                  <pic:spPr bwMode="auto">
                    <a:xfrm>
                      <a:off x="0" y="0"/>
                      <a:ext cx="5270500" cy="1969360"/>
                    </a:xfrm>
                    <a:prstGeom prst="rect">
                      <a:avLst/>
                    </a:prstGeom>
                    <a:noFill/>
                    <a:ln w="9525">
                      <a:noFill/>
                      <a:headEnd/>
                      <a:tailEnd/>
                    </a:ln>
                  </pic:spPr>
                </pic:pic>
              </a:graphicData>
            </a:graphic>
          </wp:inline>
        </w:drawing>
      </w:r>
    </w:p>
    <w:p>
      <w:pPr>
        <w:pStyle w:val="12"/>
        <w:jc w:val="center"/>
      </w:pPr>
      <w:r>
        <w:t xml:space="preserve">图3-9 中国省级资源缺口与投入-产出四象限</w:t>
      </w:r>
    </w:p>
    <w:p>
      <w:pPr>
        <w:pStyle w:val="3"/>
      </w:pPr>
      <w:r>
        <w:t xml:space="preserve">图3-8表明，广东、山东、河南、四川等人口大省在卫生人员和医疗机构绝对规模上长期领先，而西藏、宁夏等西部省份虽然基数较低，但增长速度更快，体现出明显的追赶效应。图3-9中，台湾省、香港特别行政区和澳门特别行政区以灰色显示，仅表示地理位置；由于赛题第五类原始数据不覆盖这些区域，它们未纳入省级缺口测算与四象限统计。</w:t>
      </w:r>
    </w:p>
    <w:p>
      <w:pPr>
        <w:pStyle w:val="3"/>
      </w:pPr>
      <w:r>
        <w:t xml:space="preserve">从 2024 年最新截面看，31 个省级行政区在四象限中的分布为：高投入-高产出 9 省、高投入-低产出 7 省、低投入-高产出 7 省、低投入-低产出 8 省。其中，云南、新疆、贵州、西藏和甘肃是资源缺口最突出的地区；云南、贵州、安徽、宁夏等省份主要位于 Q4，表现为基础投入与健康产出双弱；新疆、西藏、甘肃和青海则更多落在 Q3，说明单纯提高投入总量并不能自动转化为更优健康结果。相对而言，江苏、福建、广东、湖北和重庆位于 Q2，是</w:t>
      </w:r>
      <w:r>
        <w:t xml:space="preserve">“</w:t>
      </w:r>
      <w:r>
        <w:t xml:space="preserve">低投入-高产出</w:t>
      </w:r>
      <w:r>
        <w:t xml:space="preserve">”</w:t>
      </w:r>
      <w:r>
        <w:t xml:space="preserve">的高效率样本。</w:t>
      </w:r>
    </w:p>
    <w:p xmlns:a="http://schemas.openxmlformats.org/drawingml/2006/main" xmlns:pic="http://schemas.openxmlformats.org/drawingml/2006/picture">
      <w:pPr>
        <w:pStyle w:val="40"/>
        <w:jc w:val="center"/>
      </w:pPr>
      <w:r>
        <w:drawing>
          <wp:inline>
            <wp:extent cx="5270500" cy="3618063"/>
            <wp:effectExtent b="0" l="0" r="0" t="0"/>
            <wp:docPr descr="图3-10 中国预算持平情景下两类优化目标的再分配对比" title="" id="1" name="Picture"/>
            <a:graphic>
              <a:graphicData uri="http://schemas.openxmlformats.org/drawingml/2006/picture">
                <pic:pic>
                  <pic:nvPicPr>
                    <pic:cNvPr descr="reports/paper/assets/p3_10_china_optimization_compare.png" id="0" name="Picture"/>
                    <pic:cNvPicPr>
                      <a:picLocks noChangeArrowheads="1" noChangeAspect="1"/>
                    </pic:cNvPicPr>
                  </pic:nvPicPr>
                  <pic:blipFill>
                    <a:blip r:embed="rId21"/>
                    <a:stretch>
                      <a:fillRect/>
                    </a:stretch>
                  </pic:blipFill>
                  <pic:spPr bwMode="auto">
                    <a:xfrm>
                      <a:off x="0" y="0"/>
                      <a:ext cx="5270500" cy="3618063"/>
                    </a:xfrm>
                    <a:prstGeom prst="rect">
                      <a:avLst/>
                    </a:prstGeom>
                    <a:noFill/>
                    <a:ln w="9525">
                      <a:noFill/>
                      <a:headEnd/>
                      <a:tailEnd/>
                    </a:ln>
                  </pic:spPr>
                </pic:pic>
              </a:graphicData>
            </a:graphic>
          </wp:inline>
        </w:drawing>
      </w:r>
    </w:p>
    <w:p>
      <w:pPr>
        <w:pStyle w:val="12"/>
        <w:jc w:val="center"/>
      </w:pPr>
      <w:r>
        <w:t xml:space="preserve">图3-10 中国预算持平情景下两类优化目标的再分配对比</w:t>
      </w:r>
    </w:p>
    <w:p>
      <w:pPr>
        <w:pStyle w:val="3"/>
      </w:pPr>
      <w:r>
        <w:t xml:space="preserve">图3-10显示，在预算持平的省级总产出最大化情景下，22 个省份成为净受益方、9 个省份成为净转出方，总移动预算约为 21999.21。前五大净受益省份为甘肃、广西、云南、江西和贵州，前五大净转出省份为上海、北京、天津、西藏和浙江。若改用公平优先目标，则受益方向进一步向欠发达省份集中：前五大净受益省份为贵州、甘肃、广西、云南和江西，主要净转出方则为天津、北京、上海、西藏和浙江。可见，在一国内部，效率优先与公平优先均指向</w:t>
      </w:r>
      <w:r>
        <w:t xml:space="preserve">“</w:t>
      </w:r>
      <w:r>
        <w:t xml:space="preserve">中西部补短板</w:t>
      </w:r>
      <w:r>
        <w:t xml:space="preserve">”</w:t>
      </w:r>
      <w:r>
        <w:t xml:space="preserve">，但公平优先更强调对最弱省份的定向扶持。</w:t>
      </w:r>
    </w:p>
    <w:bookmarkEnd w:id="47"/>
    <w:bookmarkEnd w:id="48"/>
    <w:bookmarkStart w:id="49" w:name="差异化政策建议3-4"/>
    <w:p>
      <w:pPr>
        <w:pStyle w:val="4"/>
      </w:pPr>
      <w:r>
        <w:t xml:space="preserve">差异化政策建议（3-4）</w:t>
      </w:r>
    </w:p>
    <w:p>
      <w:pPr>
        <w:pStyle w:val="3"/>
      </w:pPr>
      <w:r>
        <w:t xml:space="preserve">结合资源缺口、四象限分类与最优再分配结果，可将政策建议归纳为三类。第一，针对高投入-低产出（Q3）地区，应以提升管理效率为核心，重点开展卫生体系效率审计、强化基层首诊和绩效预算约束，减少</w:t>
      </w:r>
      <w:r>
        <w:t xml:space="preserve">“</w:t>
      </w:r>
      <w:r>
        <w:t xml:space="preserve">高支出-低转化</w:t>
      </w:r>
      <w:r>
        <w:t xml:space="preserve">”</w:t>
      </w:r>
      <w:r>
        <w:t xml:space="preserve">现象。第二，针对低投入-高产出（Q2）地区，应提炼其初级卫生保健网络、预防优先策略和分级诊疗经验，将其沉淀为可复制的治理模板。第三，针对低投入-低产出（Q4）地区，应实行</w:t>
      </w:r>
      <w:r>
        <w:t xml:space="preserve">“</w:t>
      </w:r>
      <w:r>
        <w:t xml:space="preserve">增投与提效并行</w:t>
      </w:r>
      <w:r>
        <w:t xml:space="preserve">”</w:t>
      </w:r>
      <w:r>
        <w:t xml:space="preserve">的双轨方案：一方面补齐基层设施、人力与母婴健康服务短板，另一方面同步提升治理效率，避免新增资源再次落入低效扩张。</w:t>
      </w:r>
    </w:p>
    <w:p>
      <w:pPr>
        <w:pStyle w:val="3"/>
      </w:pPr>
      <w:r>
        <w:t xml:space="preserve">综合来看，问题三的最优方案不是单一地</w:t>
      </w:r>
      <w:r>
        <w:t xml:space="preserve">“</w:t>
      </w:r>
      <w:r>
        <w:t xml:space="preserve">多给资源</w:t>
      </w:r>
      <w:r>
        <w:t xml:space="preserve">”</w:t>
      </w:r>
      <w:r>
        <w:t xml:space="preserve">，而是根据地区类型实施差异化治理：Q3 强调提效，Q2 强调经验扩散，Q4 强调补短板与提效率同步推进。这样才能使</w:t>
      </w:r>
      <w:r>
        <w:t xml:space="preserve">“</w:t>
      </w:r>
      <w:r>
        <w:t xml:space="preserve">缺口识别-类型划分-优化模拟-政策建议</w:t>
      </w:r>
      <w:r>
        <w:t xml:space="preserve">”</w:t>
      </w:r>
      <w:r>
        <w:t xml:space="preserve">真正形成闭环。</w:t>
      </w:r>
    </w:p>
    <w:bookmarkEnd w:id="49"/>
    <w:bookmarkEnd w:id="50"/>
    <w:bookmarkStart w:id="53" w:name="系统实现与结果验证"/>
    <w:p>
      <w:pPr>
        <w:pStyle w:val="2"/>
      </w:pPr>
      <w:r>
        <w:t xml:space="preserve">系统实现与结果验证</w:t>
      </w:r>
    </w:p>
    <w:bookmarkStart w:id="51" w:name="技术选型与实现细节"/>
    <w:p>
      <w:pPr>
        <w:pStyle w:val="4"/>
      </w:pPr>
      <w:r>
        <w:t xml:space="preserve">技术选型与实现细节</w:t>
      </w:r>
    </w:p>
    <w:p>
      <w:pPr>
        <w:pStyle w:val="12"/>
        <w:jc w:val="center"/>
      </w:pPr>
      <w:r>
        <w:t xml:space="preserve">表3-4 问题三实现模块与技术栈</w:t>
      </w:r>
    </w:p>
    <w:tbl>
      <w:tblPr>
        <w:tblStyle w:val="21"/>
        <w:tblW w:type="auto" w:w="0"/>
        <w:jc w:val="center"/>
        <w:tblLayout w:type="fixed"/>
        <w:tblLook w:firstColumn="1" w:firstRow="1" w:lastColumn="0" w:lastRow="0" w:noHBand="0" w:noVBand="1" w:val="04A0"/>
      </w:tblPr>
      <w:tblGrid>
        <w:gridCol w:w="4153"/>
        <w:gridCol w:w="4153"/>
      </w:tblGrid>
      <w:tr>
        <w:tc>
          <w:tcPr>
            <w:tcW w:type="dxa" w:w="1701"/>
          </w:tcPr>
          <w:p>
            <w:pPr>
              <w:jc w:val="center"/>
            </w:pPr>
            <w:r>
              <w:rPr>
                <w:b/>
                <w:sz w:val="20"/>
              </w:rPr>
              <w:t>模块</w:t>
            </w:r>
          </w:p>
        </w:tc>
        <w:tc>
          <w:tcPr>
            <w:tcW w:type="dxa" w:w="5669"/>
          </w:tcPr>
          <w:p>
            <w:pPr>
              <w:jc w:val="center"/>
            </w:pPr>
            <w:r>
              <w:rPr>
                <w:b/>
                <w:sz w:val="20"/>
              </w:rPr>
              <w:t>技术栈</w:t>
            </w:r>
          </w:p>
        </w:tc>
      </w:tr>
      <w:tr>
        <w:tc>
          <w:tcPr>
            <w:tcW w:type="dxa" w:w="1701"/>
          </w:tcPr>
          <w:p>
            <w:pPr>
              <w:jc w:val="left"/>
            </w:pPr>
            <w:r>
              <w:rPr>
                <w:sz w:val="20"/>
              </w:rPr>
              <w:t>数据处理</w:t>
            </w:r>
          </w:p>
        </w:tc>
        <w:tc>
          <w:tcPr>
            <w:tcW w:type="dxa" w:w="5669"/>
          </w:tcPr>
          <w:p>
            <w:pPr>
              <w:jc w:val="left"/>
            </w:pPr>
            <w:r>
              <w:rPr>
                <w:sz w:val="20"/>
              </w:rPr>
              <w:t>Python 3.10+, pandas, numpy</w:t>
            </w:r>
          </w:p>
        </w:tc>
      </w:tr>
      <w:tr>
        <w:tc>
          <w:tcPr>
            <w:tcW w:type="dxa" w:w="1701"/>
          </w:tcPr>
          <w:p>
            <w:pPr>
              <w:jc w:val="left"/>
            </w:pPr>
            <w:r>
              <w:rPr>
                <w:sz w:val="20"/>
              </w:rPr>
              <w:t>缺失插补</w:t>
            </w:r>
          </w:p>
        </w:tc>
        <w:tc>
          <w:tcPr>
            <w:tcW w:type="dxa" w:w="5669"/>
          </w:tcPr>
          <w:p>
            <w:pPr>
              <w:jc w:val="left"/>
            </w:pPr>
            <w:r>
              <w:rPr>
                <w:sz w:val="20"/>
              </w:rPr>
              <w:t>sklearn.impute</w:t>
            </w:r>
          </w:p>
        </w:tc>
      </w:tr>
      <w:tr>
        <w:tc>
          <w:tcPr>
            <w:tcW w:type="dxa" w:w="1701"/>
          </w:tcPr>
          <w:p>
            <w:pPr>
              <w:jc w:val="left"/>
            </w:pPr>
            <w:r>
              <w:rPr>
                <w:sz w:val="20"/>
              </w:rPr>
              <w:t>优化求解</w:t>
            </w:r>
          </w:p>
        </w:tc>
        <w:tc>
          <w:tcPr>
            <w:tcW w:type="dxa" w:w="5669"/>
          </w:tcPr>
          <w:p>
            <w:pPr>
              <w:jc w:val="left"/>
            </w:pPr>
            <w:r>
              <w:rPr>
                <w:sz w:val="20"/>
              </w:rPr>
              <w:t>scipy.optimize, 二分注水搜索</w:t>
            </w:r>
          </w:p>
        </w:tc>
      </w:tr>
      <w:tr>
        <w:tc>
          <w:tcPr>
            <w:tcW w:type="dxa" w:w="1701"/>
          </w:tcPr>
          <w:p>
            <w:pPr>
              <w:jc w:val="left"/>
            </w:pPr>
            <w:r>
              <w:rPr>
                <w:sz w:val="20"/>
              </w:rPr>
              <w:t>可视化</w:t>
            </w:r>
          </w:p>
        </w:tc>
        <w:tc>
          <w:tcPr>
            <w:tcW w:type="dxa" w:w="5669"/>
          </w:tcPr>
          <w:p>
            <w:pPr>
              <w:jc w:val="left"/>
            </w:pPr>
            <w:r>
              <w:rPr>
                <w:sz w:val="20"/>
              </w:rPr>
              <w:t>matplotlib, geopandas</w:t>
            </w:r>
          </w:p>
        </w:tc>
      </w:tr>
      <w:tr>
        <w:tc>
          <w:tcPr>
            <w:tcW w:type="dxa" w:w="1701"/>
          </w:tcPr>
          <w:p>
            <w:pPr>
              <w:jc w:val="left"/>
            </w:pPr>
            <w:r>
              <w:rPr>
                <w:sz w:val="20"/>
              </w:rPr>
              <w:t>分组拟合</w:t>
            </w:r>
          </w:p>
        </w:tc>
        <w:tc>
          <w:tcPr>
            <w:tcW w:type="dxa" w:w="5669"/>
          </w:tcPr>
          <w:p>
            <w:pPr>
              <w:jc w:val="left"/>
            </w:pPr>
            <w:r>
              <w:rPr>
                <w:sz w:val="20"/>
              </w:rPr>
              <w:t>scipy.stats 或最小二乘 OLS</w:t>
            </w:r>
          </w:p>
        </w:tc>
      </w:tr>
      <w:tr>
        <w:tc>
          <w:tcPr>
            <w:tcW w:type="dxa" w:w="1701"/>
          </w:tcPr>
          <w:p>
            <w:pPr>
              <w:jc w:val="left"/>
            </w:pPr>
            <w:r>
              <w:rPr>
                <w:sz w:val="20"/>
              </w:rPr>
              <w:t>项目落地</w:t>
            </w:r>
          </w:p>
        </w:tc>
        <w:tc>
          <w:tcPr>
            <w:tcW w:type="dxa" w:w="5669"/>
          </w:tcPr>
          <w:p>
            <w:pPr>
              <w:jc w:val="left"/>
            </w:pPr>
            <w:r>
              <w:rPr>
                <w:sz w:val="20"/>
              </w:rPr>
              <w:t>src/hdi/analysis/competition.py；src/hdi/models/optimization.py</w:t>
            </w:r>
          </w:p>
        </w:tc>
      </w:tr>
    </w:tbl>
    <w:p>
      <w:pPr>
        <w:pStyle w:val="3"/>
      </w:pPr>
      <w:r>
        <w:t xml:space="preserve">实现过程中，本文将分象限拟合得到的参数</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合并写入</w:t>
      </w:r>
      <w:r>
        <w:t xml:space="preserve"> </w:t>
      </w:r>
      <w:r>
        <w:rPr>
          <w:rStyle w:val="VerbatimChar"/>
        </w:rPr>
        <w:t xml:space="preserve">optimize_base</w:t>
      </w:r>
      <w:r>
        <w:t xml:space="preserve"> </w:t>
      </w:r>
      <w:r>
        <w:t xml:space="preserve">数据框的</w:t>
      </w:r>
      <w:r>
        <w:t xml:space="preserve"> </w:t>
      </w:r>
      <w:r>
        <w:rPr>
          <w:rStyle w:val="VerbatimChar"/>
        </w:rPr>
        <w:t xml:space="preserve">a_coef_fit</w:t>
      </w:r>
      <w:r>
        <w:t xml:space="preserve"> </w:t>
      </w:r>
      <w:r>
        <w:t xml:space="preserve">与</w:t>
      </w:r>
      <w:r>
        <w:t xml:space="preserve"> </w:t>
      </w:r>
      <w:r>
        <w:rPr>
          <w:rStyle w:val="VerbatimChar"/>
        </w:rPr>
        <w:t xml:space="preserve">b_coef_fit</w:t>
      </w:r>
      <w:r>
        <w:t xml:space="preserve"> </w:t>
      </w:r>
      <w:r>
        <w:t xml:space="preserve">字段，再统一传入优化器，避免在国家级样本与分组参数对齐时出现索引错位。对于效率优先目标，函数</w:t>
      </w:r>
      <w:r>
        <w:t xml:space="preserve"> </w:t>
      </w:r>
      <w:r>
        <w:rPr>
          <w:rStyle w:val="VerbatimChar"/>
        </w:rPr>
        <w:t xml:space="preserve">_waterfill_box_budget_hetero</w:t>
      </w:r>
      <w:r>
        <w:t xml:space="preserve"> </w:t>
      </w:r>
      <w:r>
        <w:t xml:space="preserve">通过二分法搜索拉格朗日乘子</w:t>
      </w:r>
      <w:r>
        <w:t xml:space="preserve"> </w:t>
      </w:r>
      <m:oMath>
        <m:r>
          <m:t>μ</m:t>
        </m:r>
      </m:oMath>
      <w:r>
        <w:t xml:space="preserve">，在满足上下界约束的前提下快速得到解析型近似最优解；对于公平优先目标，则借助 SLSQP 在同一预算约束下提升最弱地区的健康产出下限。中国省级部分沿用统一的对数生产函数参数，以便与全球分象限结果形成可比较的双层框架。</w:t>
      </w:r>
    </w:p>
    <w:bookmarkEnd w:id="51"/>
    <w:bookmarkStart w:id="52" w:name="结果可视化呈现"/>
    <w:p>
      <w:pPr>
        <w:pStyle w:val="4"/>
      </w:pPr>
      <w:r>
        <w:t xml:space="preserve">结果可视化呈现</w:t>
      </w:r>
    </w:p>
    <w:p>
      <w:pPr>
        <w:pStyle w:val="12"/>
        <w:jc w:val="center"/>
      </w:pPr>
      <w:r>
        <w:t xml:space="preserve">表3-5 问题三图表成果汇总</w:t>
      </w:r>
    </w:p>
    <w:tbl>
      <w:tblPr>
        <w:tblStyle w:val="21"/>
        <w:tblW w:type="auto" w:w="0"/>
        <w:jc w:val="center"/>
        <w:tblLayout w:type="fixed"/>
        <w:tblLook w:firstColumn="1" w:firstRow="1" w:lastColumn="0" w:lastRow="0" w:noHBand="0" w:noVBand="1" w:val="04A0"/>
      </w:tblPr>
      <w:tblGrid>
        <w:gridCol w:w="2769"/>
        <w:gridCol w:w="2769"/>
        <w:gridCol w:w="2769"/>
      </w:tblGrid>
      <w:tr>
        <w:tc>
          <w:tcPr>
            <w:tcW w:type="dxa" w:w="964"/>
          </w:tcPr>
          <w:p>
            <w:pPr>
              <w:jc w:val="center"/>
            </w:pPr>
            <w:r>
              <w:rPr>
                <w:b/>
                <w:sz w:val="18"/>
              </w:rPr>
              <w:t>图号</w:t>
            </w:r>
          </w:p>
        </w:tc>
        <w:tc>
          <w:tcPr>
            <w:tcW w:type="dxa" w:w="2324"/>
          </w:tcPr>
          <w:p>
            <w:pPr>
              <w:jc w:val="center"/>
            </w:pPr>
            <w:r>
              <w:rPr>
                <w:b/>
                <w:sz w:val="18"/>
              </w:rPr>
              <w:t>图表内容</w:t>
            </w:r>
          </w:p>
        </w:tc>
        <w:tc>
          <w:tcPr>
            <w:tcW w:type="dxa" w:w="4195"/>
          </w:tcPr>
          <w:p>
            <w:pPr>
              <w:jc w:val="center"/>
            </w:pPr>
            <w:r>
              <w:rPr>
                <w:b/>
                <w:sz w:val="18"/>
              </w:rPr>
              <w:t>核心结论</w:t>
            </w:r>
          </w:p>
        </w:tc>
      </w:tr>
      <w:tr>
        <w:tc>
          <w:tcPr>
            <w:tcW w:type="dxa" w:w="964"/>
          </w:tcPr>
          <w:p>
            <w:pPr>
              <w:jc w:val="left"/>
            </w:pPr>
            <w:r>
              <w:rPr>
                <w:sz w:val="18"/>
              </w:rPr>
              <w:t>图3-0</w:t>
            </w:r>
          </w:p>
        </w:tc>
        <w:tc>
          <w:tcPr>
            <w:tcW w:type="dxa" w:w="2324"/>
          </w:tcPr>
          <w:p>
            <w:pPr>
              <w:jc w:val="left"/>
            </w:pPr>
            <w:r>
              <w:rPr>
                <w:sz w:val="18"/>
              </w:rPr>
              <w:t>技术路线图</w:t>
            </w:r>
          </w:p>
        </w:tc>
        <w:tc>
          <w:tcPr>
            <w:tcW w:type="dxa" w:w="4195"/>
          </w:tcPr>
          <w:p>
            <w:pPr>
              <w:jc w:val="left"/>
            </w:pPr>
            <w:r>
              <w:rPr>
                <w:sz w:val="18"/>
              </w:rPr>
              <w:t>展示问题三整体建模流程</w:t>
            </w:r>
          </w:p>
        </w:tc>
      </w:tr>
      <w:tr>
        <w:tc>
          <w:tcPr>
            <w:tcW w:type="dxa" w:w="964"/>
          </w:tcPr>
          <w:p>
            <w:pPr>
              <w:jc w:val="left"/>
            </w:pPr>
            <w:r>
              <w:rPr>
                <w:sz w:val="18"/>
              </w:rPr>
              <w:t>图3-1</w:t>
            </w:r>
          </w:p>
        </w:tc>
        <w:tc>
          <w:tcPr>
            <w:tcW w:type="dxa" w:w="2324"/>
          </w:tcPr>
          <w:p>
            <w:pPr>
              <w:jc w:val="left"/>
            </w:pPr>
            <w:r>
              <w:rPr>
                <w:sz w:val="18"/>
              </w:rPr>
              <w:t>全球资源缺口五级地图</w:t>
            </w:r>
          </w:p>
        </w:tc>
        <w:tc>
          <w:tcPr>
            <w:tcW w:type="dxa" w:w="4195"/>
          </w:tcPr>
          <w:p>
            <w:pPr>
              <w:jc w:val="left"/>
            </w:pPr>
            <w:r>
              <w:rPr>
                <w:sz w:val="18"/>
              </w:rPr>
              <w:t>缺口集中于撒哈拉以南非洲</w:t>
            </w:r>
          </w:p>
        </w:tc>
      </w:tr>
      <w:tr>
        <w:tc>
          <w:tcPr>
            <w:tcW w:type="dxa" w:w="964"/>
          </w:tcPr>
          <w:p>
            <w:pPr>
              <w:jc w:val="left"/>
            </w:pPr>
            <w:r>
              <w:rPr>
                <w:sz w:val="18"/>
              </w:rPr>
              <w:t>图3-2</w:t>
            </w:r>
          </w:p>
        </w:tc>
        <w:tc>
          <w:tcPr>
            <w:tcW w:type="dxa" w:w="2324"/>
          </w:tcPr>
          <w:p>
            <w:pPr>
              <w:jc w:val="left"/>
            </w:pPr>
            <w:r>
              <w:rPr>
                <w:sz w:val="18"/>
              </w:rPr>
              <w:t>缺口最严重前 15 国</w:t>
            </w:r>
          </w:p>
        </w:tc>
        <w:tc>
          <w:tcPr>
            <w:tcW w:type="dxa" w:w="4195"/>
          </w:tcPr>
          <w:p>
            <w:pPr>
              <w:jc w:val="left"/>
            </w:pPr>
            <w:r>
              <w:rPr>
                <w:sz w:val="18"/>
              </w:rPr>
              <w:t>前 15 名全部位于 AFRO 地区</w:t>
            </w:r>
          </w:p>
        </w:tc>
      </w:tr>
      <w:tr>
        <w:tc>
          <w:tcPr>
            <w:tcW w:type="dxa" w:w="964"/>
          </w:tcPr>
          <w:p>
            <w:pPr>
              <w:jc w:val="left"/>
            </w:pPr>
            <w:r>
              <w:rPr>
                <w:sz w:val="18"/>
              </w:rPr>
              <w:t>图3-3</w:t>
            </w:r>
          </w:p>
        </w:tc>
        <w:tc>
          <w:tcPr>
            <w:tcW w:type="dxa" w:w="2324"/>
          </w:tcPr>
          <w:p>
            <w:pPr>
              <w:jc w:val="left"/>
            </w:pPr>
            <w:r>
              <w:rPr>
                <w:sz w:val="18"/>
              </w:rPr>
              <w:t>全球四象限散点图</w:t>
            </w:r>
          </w:p>
        </w:tc>
        <w:tc>
          <w:tcPr>
            <w:tcW w:type="dxa" w:w="4195"/>
          </w:tcPr>
          <w:p>
            <w:pPr>
              <w:jc w:val="left"/>
            </w:pPr>
            <w:r>
              <w:rPr>
                <w:sz w:val="18"/>
              </w:rPr>
              <w:t>Q4 国家占比最高，Q2 最少</w:t>
            </w:r>
          </w:p>
        </w:tc>
      </w:tr>
      <w:tr>
        <w:tc>
          <w:tcPr>
            <w:tcW w:type="dxa" w:w="964"/>
          </w:tcPr>
          <w:p>
            <w:pPr>
              <w:jc w:val="left"/>
            </w:pPr>
            <w:r>
              <w:rPr>
                <w:sz w:val="18"/>
              </w:rPr>
              <w:t>图3-4</w:t>
            </w:r>
          </w:p>
        </w:tc>
        <w:tc>
          <w:tcPr>
            <w:tcW w:type="dxa" w:w="2324"/>
          </w:tcPr>
          <w:p>
            <w:pPr>
              <w:jc w:val="left"/>
            </w:pPr>
            <w:r>
              <w:rPr>
                <w:sz w:val="18"/>
              </w:rPr>
              <w:t>全球公平性趋势图</w:t>
            </w:r>
          </w:p>
        </w:tc>
        <w:tc>
          <w:tcPr>
            <w:tcW w:type="dxa" w:w="4195"/>
          </w:tcPr>
          <w:p>
            <w:pPr>
              <w:jc w:val="left"/>
            </w:pPr>
            <w:r>
              <w:rPr>
                <w:sz w:val="18"/>
              </w:rPr>
              <w:t>Gini、Theil、sigma 均呈下降趋势</w:t>
            </w:r>
          </w:p>
        </w:tc>
      </w:tr>
      <w:tr>
        <w:tc>
          <w:tcPr>
            <w:tcW w:type="dxa" w:w="964"/>
          </w:tcPr>
          <w:p>
            <w:pPr>
              <w:jc w:val="left"/>
            </w:pPr>
            <w:r>
              <w:rPr>
                <w:sz w:val="18"/>
              </w:rPr>
              <w:t>图3-5</w:t>
            </w:r>
          </w:p>
        </w:tc>
        <w:tc>
          <w:tcPr>
            <w:tcW w:type="dxa" w:w="2324"/>
          </w:tcPr>
          <w:p>
            <w:pPr>
              <w:jc w:val="left"/>
            </w:pPr>
            <w:r>
              <w:rPr>
                <w:sz w:val="18"/>
              </w:rPr>
              <w:t>分组公平性对比图</w:t>
            </w:r>
          </w:p>
        </w:tc>
        <w:tc>
          <w:tcPr>
            <w:tcW w:type="dxa" w:w="4195"/>
          </w:tcPr>
          <w:p>
            <w:pPr>
              <w:jc w:val="left"/>
            </w:pPr>
            <w:r>
              <w:rPr>
                <w:sz w:val="18"/>
              </w:rPr>
              <w:t>HIC 与 LIC 差距显著，Q2 内部最平等</w:t>
            </w:r>
          </w:p>
        </w:tc>
      </w:tr>
      <w:tr>
        <w:tc>
          <w:tcPr>
            <w:tcW w:type="dxa" w:w="964"/>
          </w:tcPr>
          <w:p>
            <w:pPr>
              <w:jc w:val="left"/>
            </w:pPr>
            <w:r>
              <w:rPr>
                <w:sz w:val="18"/>
              </w:rPr>
              <w:t>图3-6</w:t>
            </w:r>
          </w:p>
        </w:tc>
        <w:tc>
          <w:tcPr>
            <w:tcW w:type="dxa" w:w="2324"/>
          </w:tcPr>
          <w:p>
            <w:pPr>
              <w:jc w:val="left"/>
            </w:pPr>
            <w:r>
              <w:rPr>
                <w:sz w:val="18"/>
              </w:rPr>
              <w:t>分象限生产函数拟合图</w:t>
            </w:r>
          </w:p>
        </w:tc>
        <w:tc>
          <w:tcPr>
            <w:tcW w:type="dxa" w:w="4195"/>
          </w:tcPr>
          <w:p>
            <w:pPr>
              <w:jc w:val="left"/>
            </w:pPr>
            <w:r>
              <w:rPr>
                <w:sz w:val="18"/>
              </w:rPr>
              <w:t>Q4 边际回报最高，Q3 最低</w:t>
            </w:r>
          </w:p>
        </w:tc>
      </w:tr>
      <w:tr>
        <w:tc>
          <w:tcPr>
            <w:tcW w:type="dxa" w:w="964"/>
          </w:tcPr>
          <w:p>
            <w:pPr>
              <w:jc w:val="left"/>
            </w:pPr>
            <w:r>
              <w:rPr>
                <w:sz w:val="18"/>
              </w:rPr>
              <w:t>图3-7</w:t>
            </w:r>
          </w:p>
        </w:tc>
        <w:tc>
          <w:tcPr>
            <w:tcW w:type="dxa" w:w="2324"/>
          </w:tcPr>
          <w:p>
            <w:pPr>
              <w:jc w:val="left"/>
            </w:pPr>
            <w:r>
              <w:rPr>
                <w:sz w:val="18"/>
              </w:rPr>
              <w:t>全球再分配对比图</w:t>
            </w:r>
          </w:p>
        </w:tc>
        <w:tc>
          <w:tcPr>
            <w:tcW w:type="dxa" w:w="4195"/>
          </w:tcPr>
          <w:p>
            <w:pPr>
              <w:jc w:val="left"/>
            </w:pPr>
            <w:r>
              <w:rPr>
                <w:sz w:val="18"/>
              </w:rPr>
              <w:t>效率优先广覆盖，公平优先定向扶持</w:t>
            </w:r>
          </w:p>
        </w:tc>
      </w:tr>
      <w:tr>
        <w:tc>
          <w:tcPr>
            <w:tcW w:type="dxa" w:w="964"/>
          </w:tcPr>
          <w:p>
            <w:pPr>
              <w:jc w:val="left"/>
            </w:pPr>
            <w:r>
              <w:rPr>
                <w:sz w:val="18"/>
              </w:rPr>
              <w:t>图3-8</w:t>
            </w:r>
          </w:p>
        </w:tc>
        <w:tc>
          <w:tcPr>
            <w:tcW w:type="dxa" w:w="2324"/>
          </w:tcPr>
          <w:p>
            <w:pPr>
              <w:jc w:val="left"/>
            </w:pPr>
            <w:r>
              <w:rPr>
                <w:sz w:val="18"/>
              </w:rPr>
              <w:t>中国省级趋势图</w:t>
            </w:r>
          </w:p>
        </w:tc>
        <w:tc>
          <w:tcPr>
            <w:tcW w:type="dxa" w:w="4195"/>
          </w:tcPr>
          <w:p>
            <w:pPr>
              <w:jc w:val="left"/>
            </w:pPr>
            <w:r>
              <w:rPr>
                <w:sz w:val="18"/>
              </w:rPr>
              <w:t>人口大省总量领先，西部省份追赶加快</w:t>
            </w:r>
          </w:p>
        </w:tc>
      </w:tr>
      <w:tr>
        <w:tc>
          <w:tcPr>
            <w:tcW w:type="dxa" w:w="964"/>
          </w:tcPr>
          <w:p>
            <w:pPr>
              <w:jc w:val="left"/>
            </w:pPr>
            <w:r>
              <w:rPr>
                <w:sz w:val="18"/>
              </w:rPr>
              <w:t>图3-9</w:t>
            </w:r>
          </w:p>
        </w:tc>
        <w:tc>
          <w:tcPr>
            <w:tcW w:type="dxa" w:w="2324"/>
          </w:tcPr>
          <w:p>
            <w:pPr>
              <w:jc w:val="left"/>
            </w:pPr>
            <w:r>
              <w:rPr>
                <w:sz w:val="18"/>
              </w:rPr>
              <w:t>中国资源缺口与象限图</w:t>
            </w:r>
          </w:p>
        </w:tc>
        <w:tc>
          <w:tcPr>
            <w:tcW w:type="dxa" w:w="4195"/>
          </w:tcPr>
          <w:p>
            <w:pPr>
              <w:jc w:val="left"/>
            </w:pPr>
            <w:r>
              <w:rPr>
                <w:sz w:val="18"/>
              </w:rPr>
              <w:t>云南、新疆、贵州等地缺口突出</w:t>
            </w:r>
          </w:p>
        </w:tc>
      </w:tr>
      <w:tr>
        <w:tc>
          <w:tcPr>
            <w:tcW w:type="dxa" w:w="964"/>
          </w:tcPr>
          <w:p>
            <w:pPr>
              <w:jc w:val="left"/>
            </w:pPr>
            <w:r>
              <w:rPr>
                <w:sz w:val="18"/>
              </w:rPr>
              <w:t>图3-10</w:t>
            </w:r>
          </w:p>
        </w:tc>
        <w:tc>
          <w:tcPr>
            <w:tcW w:type="dxa" w:w="2324"/>
          </w:tcPr>
          <w:p>
            <w:pPr>
              <w:jc w:val="left"/>
            </w:pPr>
            <w:r>
              <w:rPr>
                <w:sz w:val="18"/>
              </w:rPr>
              <w:t>中国再分配对比图</w:t>
            </w:r>
          </w:p>
        </w:tc>
        <w:tc>
          <w:tcPr>
            <w:tcW w:type="dxa" w:w="4195"/>
          </w:tcPr>
          <w:p>
            <w:pPr>
              <w:jc w:val="left"/>
            </w:pPr>
            <w:r>
              <w:rPr>
                <w:sz w:val="18"/>
              </w:rPr>
              <w:t>中西部补短板是共同方向</w:t>
            </w:r>
          </w:p>
        </w:tc>
      </w:tr>
    </w:tbl>
    <w:p>
      <w:pPr>
        <w:pStyle w:val="3"/>
      </w:pPr>
      <w:r>
        <w:t xml:space="preserve">从验证结果看，问题三形成了</w:t>
      </w:r>
      <w:r>
        <w:t xml:space="preserve">“</w:t>
      </w:r>
      <w:r>
        <w:t xml:space="preserve">全球-中国</w:t>
      </w:r>
      <w:r>
        <w:t xml:space="preserve">”</w:t>
      </w:r>
      <w:r>
        <w:t xml:space="preserve">双层分析框架：全球层面揭示卫生资源缺口与健康不平等的国际分布，中国层面则进一步将同类方法迁移到省级样本，实现跨尺度复刻。图表结果与模型输出在方向上保持一致，说明资源缺口识别、四象限分类和优化模拟三者之间具有较好的逻辑闭合性。</w:t>
      </w:r>
    </w:p>
    <w:bookmarkEnd w:id="52"/>
    <w:bookmarkEnd w:id="53"/>
    <w:bookmarkStart w:id="57" w:name="作品总结与展望"/>
    <w:p>
      <w:pPr>
        <w:pStyle w:val="2"/>
      </w:pPr>
      <w:r>
        <w:t xml:space="preserve">作品总结与展望</w:t>
      </w:r>
    </w:p>
    <w:bookmarkStart w:id="54" w:name="作品特色与创新点"/>
    <w:p>
      <w:pPr>
        <w:pStyle w:val="4"/>
      </w:pPr>
      <w:r>
        <w:t xml:space="preserve">作品特色与创新点</w:t>
      </w:r>
    </w:p>
    <w:p>
      <w:pPr>
        <w:pStyle w:val="3"/>
      </w:pPr>
      <w:r>
        <w:t xml:space="preserve">本文的主要创新体现在三个方面。其一，针对不同投入-产出结构，分别为 Q1-Q4 四类国家拟合独立的对数生产函数，较统一生产函数更能刻画异质性边际回报。其二，同时给出效率优先与公平优先两类最优再分配模型，从总健康产出和最弱者改善两个维度回应赛题要求。其三，在全球国家分析之外引入中国省级深度聚焦，使结论既具有国际视野，也能落到一国内部的具体区域治理场景。</w:t>
      </w:r>
    </w:p>
    <w:bookmarkEnd w:id="54"/>
    <w:bookmarkStart w:id="55" w:name="应用推广与前景"/>
    <w:p>
      <w:pPr>
        <w:pStyle w:val="4"/>
      </w:pPr>
      <w:r>
        <w:t xml:space="preserve">应用推广与前景</w:t>
      </w:r>
    </w:p>
    <w:p>
      <w:pPr>
        <w:pStyle w:val="3"/>
      </w:pPr>
      <w:r>
        <w:t xml:space="preserve">该框架不仅适用于卫生资源配置问题，也可推广到教育、公共服务和环境治理等资源分配场景。方法层面，</w:t>
      </w:r>
      <w:r>
        <w:t xml:space="preserve">“</w:t>
      </w:r>
      <w:r>
        <w:t xml:space="preserve">分组生产函数拟合 + 预算约束优化</w:t>
      </w:r>
      <w:r>
        <w:t xml:space="preserve">”</w:t>
      </w:r>
      <w:r>
        <w:t xml:space="preserve">的组合具有较强通用性；应用层面，Q2 地区的高效率经验可作为 Q4 地区的学习样本，而 Q3 地区的治理提效路径则可为资源使用效率改革提供直接参考。</w:t>
      </w:r>
    </w:p>
    <w:bookmarkEnd w:id="55"/>
    <w:bookmarkStart w:id="56" w:name="作品不足与展望"/>
    <w:p>
      <w:pPr>
        <w:pStyle w:val="4"/>
      </w:pPr>
      <w:r>
        <w:t xml:space="preserve">作品不足与展望</w:t>
      </w:r>
    </w:p>
    <w:p>
      <w:pPr>
        <w:pStyle w:val="3"/>
      </w:pPr>
      <w:r>
        <w:t xml:space="preserve">当前研究仍存在三点局限。首先，优化模型以人均卫生支出为唯一决策变量，尚未将医生密度和床位等资源纳入联合优化。其次，生产函数采用截面拟合，尚未引入面板动态机制刻画长期调整路径。再次，中国省级部分仍使用统一参数组，后续可进一步结合区域分组或聚类方法开展更细粒度的省内类型划分。未来研究可在多资源联动优化、动态面板建模和政策情景仿真三个方向继续拓展。</w:t>
      </w:r>
    </w:p>
    <w:bookmarkEnd w:id="56"/>
    <w:bookmarkEnd w:id="57"/>
    <w:bookmarkStart w:id="58" w:name="参考文献"/>
    <w:p>
      <w:pPr>
        <w:pStyle w:val="2"/>
      </w:pPr>
      <w:r>
        <w:t xml:space="preserve">参考文献</w:t>
      </w:r>
    </w:p>
    <w:p>
      <w:pPr>
        <w:pStyle w:val="3"/>
        <w:jc w:val="left"/>
      </w:pPr>
      <w:r>
        <w:t xml:space="preserve">[1] World Bank. World Development Indicators (WDI)[DB/OL]. https://databank.worldbank.org/source/world-development-indicators.</w:t>
      </w:r>
    </w:p>
    <w:p>
      <w:pPr>
        <w:pStyle w:val="3"/>
        <w:jc w:val="left"/>
      </w:pPr>
      <w:r>
        <w:t xml:space="preserve">[2] Institute for Health Metrics and Evaluation. Global Burden of Disease Study 2019 (GBD 2019) Results[DB/OL]. https://www.healthdata.org/gbd.</w:t>
      </w:r>
    </w:p>
    <w:p>
      <w:pPr>
        <w:pStyle w:val="3"/>
        <w:jc w:val="left"/>
      </w:pPr>
      <w:r>
        <w:t xml:space="preserve">[3] World Health Organization. World health statistics 2023: monitoring health for the SDGs, sustainable development goals[M]. Geneva: WHO, 2023.</w:t>
      </w:r>
    </w:p>
    <w:p>
      <w:pPr>
        <w:pStyle w:val="3"/>
        <w:jc w:val="left"/>
      </w:pPr>
      <w:r>
        <w:t xml:space="preserve">[4] Rawls J. A Theory of Justice[M]. Cambridge, MA: Harvard University Press, 1971.</w:t>
      </w:r>
    </w:p>
    <w:p>
      <w:pPr>
        <w:pStyle w:val="3"/>
        <w:jc w:val="left"/>
      </w:pPr>
      <w:r>
        <w:t xml:space="preserve">[5] 国家统计局. 中国统计年鉴与卫生统计年鉴相关年度数据[DB/OL].</w:t>
      </w:r>
    </w:p>
    <w:bookmarkEnd w:id="58"/>
    <w:bookmarkStart w:id="59" w:name="附录可选"/>
    <w:p>
      <w:pPr>
        <w:pStyle w:val="2"/>
      </w:pPr>
      <w:r>
        <w:t xml:space="preserve">附录（可选）</w:t>
      </w:r>
    </w:p>
    <w:p>
      <w:pPr>
        <w:pStyle w:val="3"/>
      </w:pPr>
      <w:r>
        <w:t xml:space="preserve">附录可进一步给出四象限分组拟合参数明细、全球 6 种再分配方案完整结果表，以及中国 31 省再分配净变化量清单。若后续提交完整版作品报告，可将</w:t>
      </w:r>
      <w:r>
        <w:t xml:space="preserve"> </w:t>
      </w:r>
      <w:r>
        <w:rPr>
          <w:rStyle w:val="VerbatimChar"/>
        </w:rPr>
        <w:t xml:space="preserve">src/hdi/models/optimization.py</w:t>
      </w:r>
      <w:r>
        <w:t xml:space="preserve"> </w:t>
      </w:r>
      <w:r>
        <w:t xml:space="preserve">中的广义注水算法关键代码片段与主要数据接口说明一并附上，以增强可复现性。</w:t>
      </w:r>
    </w:p>
    <w:bookmarkEnd w:id="59"/>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楷体">
    <w:panose1 w:val="02010600040101010101"/>
    <w:charset w:val="86"/>
    <w:family w:val="auto"/>
    <w:pitch w:val="default"/>
    <w:sig w:usb0="80000287" w:usb1="280F3C52" w:usb2="00000016" w:usb3="00000000" w:csb0="0004001F"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等线">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13619">
    <w:pPr>
      <w:pStyle w:val="15"/>
      <w:jc w:val="right"/>
      <w:rPr>
        <w:rFonts w:hint="eastAsia"/>
      </w:rPr>
    </w:pPr>
  </w:p>
  <w:p w14:paraId="43552949">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104503"/>
      <w:docPartObj>
        <w:docPartGallery w:val="autotext"/>
      </w:docPartObj>
    </w:sdtPr>
    <w:sdtContent>
      <w:p w14:paraId="239BE417">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3FF4A18D"/>
    <w:rsid w:val="73D10C5E"/>
    <w:rsid w:val="77FF43C5"/>
    <w:rsid w:val="79EDAA3B"/>
    <w:rsid w:val="7BA7082A"/>
    <w:rsid w:val="B7EA386A"/>
    <w:rsid w:val="F72FAF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qFormat/>
    <w:uiPriority w:val="99"/>
    <w:rPr>
      <w:sz w:val="18"/>
      <w:szCs w:val="18"/>
    </w:rPr>
  </w:style>
  <w:style w:type="paragraph" w:styleId="15">
    <w:name w:val="footer"/>
    <w:basedOn w:val="1"/>
    <w:link w:val="29"/>
    <w:unhideWhenUsed/>
    <w:qFormat/>
    <w:uiPriority w:val="99"/>
    <w:pPr>
      <w:tabs>
        <w:tab w:val="center" w:pos="4153"/>
        <w:tab w:val="right" w:pos="8306"/>
      </w:tabs>
      <w:snapToGrid w:val="0"/>
      <w:jc w:val="left"/>
    </w:pPr>
    <w:rPr>
      <w:sz w:val="18"/>
      <w:szCs w:val="18"/>
    </w:rPr>
  </w:style>
  <w:style w:type="paragraph" w:styleId="16">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qFormat/>
    <w:uiPriority w:val="99"/>
    <w:pPr>
      <w:numPr>
        <w:ilvl w:val="8"/>
        <w:numId w:val="1"/>
      </w:numPr>
    </w:pPr>
  </w:style>
  <w:style w:type="paragraph" w:styleId="19">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qFormat/>
    <w:uiPriority w:val="9"/>
    <w:rPr>
      <w:rFonts w:ascii="Arial" w:hAnsi="Arial" w:eastAsia="黑体"/>
      <w:bCs/>
      <w:kern w:val="44"/>
      <w:sz w:val="36"/>
      <w:szCs w:val="44"/>
      <w:lang w:val="zh-CN"/>
    </w:rPr>
  </w:style>
  <w:style w:type="paragraph" w:customStyle="1" w:styleId="2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qFormat/>
    <w:uiPriority w:val="99"/>
    <w:rPr>
      <w:sz w:val="18"/>
      <w:szCs w:val="18"/>
    </w:rPr>
  </w:style>
  <w:style w:type="character" w:customStyle="1" w:styleId="29">
    <w:name w:val="页脚 字符"/>
    <w:basedOn w:val="22"/>
    <w:link w:val="15"/>
    <w:qFormat/>
    <w:uiPriority w:val="99"/>
    <w:rPr>
      <w:sz w:val="18"/>
      <w:szCs w:val="18"/>
    </w:rPr>
  </w:style>
  <w:style w:type="character" w:customStyle="1" w:styleId="30">
    <w:name w:val="批注框文本 字符"/>
    <w:basedOn w:val="22"/>
    <w:link w:val="14"/>
    <w:semiHidden/>
    <w:qFormat/>
    <w:uiPriority w:val="99"/>
    <w:rPr>
      <w:sz w:val="18"/>
      <w:szCs w:val="18"/>
    </w:rPr>
  </w:style>
  <w:style w:type="character" w:customStyle="1" w:styleId="31">
    <w:name w:val="标题 2 字符"/>
    <w:basedOn w:val="22"/>
    <w:link w:val="4"/>
    <w:qFormat/>
    <w:uiPriority w:val="9"/>
    <w:rPr>
      <w:rFonts w:ascii="Arial" w:hAnsi="Arial" w:eastAsia="黑体" w:cstheme="majorBidi"/>
      <w:bCs/>
      <w:sz w:val="30"/>
      <w:szCs w:val="32"/>
    </w:rPr>
  </w:style>
  <w:style w:type="character" w:customStyle="1" w:styleId="32">
    <w:name w:val="标题 3 字符"/>
    <w:basedOn w:val="22"/>
    <w:link w:val="5"/>
    <w:qFormat/>
    <w:uiPriority w:val="9"/>
    <w:rPr>
      <w:rFonts w:ascii="Arial" w:hAnsi="Arial" w:eastAsia="黑体"/>
      <w:bCs/>
      <w:sz w:val="28"/>
      <w:szCs w:val="32"/>
    </w:rPr>
  </w:style>
  <w:style w:type="character" w:customStyle="1" w:styleId="33">
    <w:name w:val="标题 4 字符"/>
    <w:basedOn w:val="22"/>
    <w:link w:val="6"/>
    <w:qFormat/>
    <w:uiPriority w:val="9"/>
    <w:rPr>
      <w:rFonts w:ascii="Arial" w:hAnsi="Arial" w:eastAsia="黑体" w:cstheme="majorBidi"/>
      <w:bCs/>
      <w:sz w:val="24"/>
      <w:szCs w:val="28"/>
    </w:rPr>
  </w:style>
  <w:style w:type="character" w:customStyle="1" w:styleId="34">
    <w:name w:val="标题 5 字符"/>
    <w:basedOn w:val="22"/>
    <w:link w:val="7"/>
    <w:qFormat/>
    <w:uiPriority w:val="9"/>
    <w:rPr>
      <w:rFonts w:ascii="Arial" w:hAnsi="Arial" w:eastAsia="黑体"/>
      <w:bCs/>
      <w:sz w:val="24"/>
      <w:szCs w:val="28"/>
    </w:rPr>
  </w:style>
  <w:style w:type="character" w:customStyle="1" w:styleId="35">
    <w:name w:val="标题 6 字符"/>
    <w:basedOn w:val="22"/>
    <w:link w:val="8"/>
    <w:qFormat/>
    <w:uiPriority w:val="9"/>
    <w:rPr>
      <w:rFonts w:ascii="Arial" w:hAnsi="Arial" w:eastAsia="黑体" w:cstheme="majorBidi"/>
      <w:bCs/>
      <w:sz w:val="24"/>
      <w:szCs w:val="24"/>
    </w:rPr>
  </w:style>
  <w:style w:type="character" w:customStyle="1" w:styleId="36">
    <w:name w:val="标题 7 字符"/>
    <w:basedOn w:val="22"/>
    <w:link w:val="9"/>
    <w:qFormat/>
    <w:uiPriority w:val="9"/>
    <w:rPr>
      <w:rFonts w:ascii="Arial" w:hAnsi="Arial" w:eastAsia="黑体"/>
      <w:bCs/>
      <w:sz w:val="24"/>
      <w:szCs w:val="24"/>
    </w:rPr>
  </w:style>
  <w:style w:type="character" w:customStyle="1" w:styleId="37">
    <w:name w:val="标题 8 字符"/>
    <w:basedOn w:val="22"/>
    <w:link w:val="10"/>
    <w:qFormat/>
    <w:uiPriority w:val="9"/>
    <w:rPr>
      <w:rFonts w:ascii="Arial" w:hAnsi="Arial" w:eastAsia="黑体" w:cstheme="majorBidi"/>
      <w:sz w:val="24"/>
      <w:szCs w:val="24"/>
    </w:rPr>
  </w:style>
  <w:style w:type="character" w:customStyle="1" w:styleId="38">
    <w:name w:val="标题 9 字符"/>
    <w:basedOn w:val="22"/>
    <w:link w:val="11"/>
    <w:qFormat/>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microsoft.com/office/2006/relationships/keyMapCustomizations" Target="customizations.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rId11.png"/><Relationship Id="rId12" Type="http://schemas.openxmlformats.org/officeDocument/2006/relationships/image" Target="media/rId12.png"/><Relationship Id="rId13" Type="http://schemas.openxmlformats.org/officeDocument/2006/relationships/image" Target="media/rId13.png"/><Relationship Id="rId14" Type="http://schemas.openxmlformats.org/officeDocument/2006/relationships/image" Target="media/rId14.png"/><Relationship Id="rId15" Type="http://schemas.openxmlformats.org/officeDocument/2006/relationships/image" Target="media/rId15.png"/><Relationship Id="rId16" Type="http://schemas.openxmlformats.org/officeDocument/2006/relationships/image" Target="media/rId16.png"/><Relationship Id="rId17" Type="http://schemas.openxmlformats.org/officeDocument/2006/relationships/image" Target="media/rId17.png"/><Relationship Id="rId18" Type="http://schemas.openxmlformats.org/officeDocument/2006/relationships/image" Target="media/rId18.png"/><Relationship Id="rId19" Type="http://schemas.openxmlformats.org/officeDocument/2006/relationships/image" Target="media/rId19.png"/><Relationship Id="rId20" Type="http://schemas.openxmlformats.org/officeDocument/2006/relationships/image" Target="media/rId20.png"/><Relationship Id="rId21" Type="http://schemas.openxmlformats.org/officeDocument/2006/relationships/image" Target="media/rId21.pn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1127</Words>
  <Characters>1168</Characters>
  <Lines>17</Lines>
  <Paragraphs>4</Paragraphs>
  <TotalTime>177</TotalTime>
  <ScaleCrop>false</ScaleCrop>
  <LinksUpToDate>false</LinksUpToDate>
  <CharactersWithSpaces>1325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2025-03-19T00:35:00Z</dcterms:created>
  <dc:creator>dengxifeng@pku.edu.cn</dc:creator>
  <cp:lastModifiedBy>韋大琪L</cp:lastModifiedBy>
  <cp:lastPrinted>2019-04-16T14:27:00Z</cp:lastPrinted>
  <dcterms:modified xsi:type="dcterms:W3CDTF">2026-03-17T17:25:08Z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2052-12.1.25205.25205</vt:lpwstr>
  </property>
  <property fmtid="{D5CDD505-2E9C-101B-9397-08002B2CF9AE}" pid="4" name="ICV">
    <vt:lpwstr>F04D6DAB00DF4F96802763B4A0B6EDDD_12</vt:lpwstr>
  </property>
</Properties>
</file>