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引言与研究背景"/>
    <w:p>
      <w:pPr>
        <w:pStyle w:val="3"/>
        <w:spacing w:before="160" w:after="80"/>
        <w:jc w:val="left"/>
      </w:pPr>
      <w:r>
        <w:rPr>
          <w:b/>
          <w:sz w:val="30"/>
          <w:rFonts w:eastAsia="黑体"/>
        </w:rPr>
        <w:t xml:space="preserve">1 引言与研究背景</w:t>
      </w:r>
    </w:p>
    <w:bookmarkStart w:id="20" w:name="研究背景"/>
    <w:p>
      <w:pPr>
        <w:pStyle w:val="3"/>
        <w:spacing w:before="80" w:after="80"/>
        <w:jc w:val="left"/>
      </w:pPr>
      <w:r>
        <w:rPr>
          <w:b/>
          <w:sz w:val="26"/>
          <w:rFonts w:eastAsia="黑体"/>
        </w:rPr>
        <w:t xml:space="preserve">1.1 研究背景</w:t>
      </w:r>
    </w:p>
    <w:p>
      <w:pPr>
        <w:pStyle w:val="3"/>
        <w:jc w:val="both"/>
      </w:pPr>
      <w:r>
        <w:t xml:space="preserve">疾病谱系转型与卫生资源配置失衡，是当前全球公共卫生治理中的两条主线问题。一方面，越来越多国家已经从以传染性疾病为主的死亡结构，转向以心血管疾病、肿瘤和慢性呼吸系统疾病为主的慢性病负担格局；另一方面，这一转型并非同步发生，国家间在健康水平、风险暴露、卫生投入能力和治理效率上的差异仍然显著存在。由此形成的结果是：全球健康不平等既表现为寿命差距和疾病负担差距，也表现为资源供给与实际需求之间的结构性错配。</w:t>
      </w:r>
    </w:p>
    <w:p>
      <w:pPr>
        <w:pStyle w:val="3"/>
        <w:jc w:val="both"/>
      </w:pPr>
      <w:r>
        <w:t xml:space="preserve">赛题的价值正在于，它并不满足于对单个疾病或单类指标进行静态描述，而是要求从</w:t>
      </w:r>
      <w:r>
        <w:t xml:space="preserve">“</w:t>
      </w:r>
      <w:r>
        <w:t xml:space="preserve">格局识别、机制解释、优化配置</w:t>
      </w:r>
      <w:r>
        <w:t xml:space="preserve">”</w:t>
      </w:r>
      <w:r>
        <w:t xml:space="preserve">三个层面构建完整分析链条。问题一侧重回答全球疾病谱系和健康指标如何演变，问题二进一步追问重点疾病负担由哪些风险驱动以及如何进行情景推演，问题三则要求回到治理层面，判断卫生资源是否真正匹配疾病负担，并给出跨国家、跨地区的再配置思路。三问之间具有明显的递进关系：前两问提供认知基础，第三问输出治理方案。</w:t>
      </w:r>
    </w:p>
    <w:bookmarkEnd w:id="20"/>
    <w:bookmarkStart w:id="21" w:name="研究意义"/>
    <w:p>
      <w:pPr>
        <w:pStyle w:val="3"/>
        <w:spacing w:before="80" w:after="80"/>
        <w:jc w:val="left"/>
      </w:pPr>
      <w:r>
        <w:rPr>
          <w:b/>
          <w:sz w:val="26"/>
          <w:rFonts w:eastAsia="黑体"/>
        </w:rPr>
        <w:t xml:space="preserve">1.2 研究意义</w:t>
      </w:r>
    </w:p>
    <w:p>
      <w:pPr>
        <w:pStyle w:val="3"/>
        <w:jc w:val="both"/>
      </w:pPr>
      <w:r>
        <w:t xml:space="preserve">从理论层面看，本研究尝试打通疾病谱系演化、重点风险识别与卫生资源优化三类研究路径，将长期存在于不同文献中的</w:t>
      </w:r>
      <w:r>
        <w:t xml:space="preserve">“</w:t>
      </w:r>
      <w:r>
        <w:t xml:space="preserve">现状描述</w:t>
      </w:r>
      <w:r>
        <w:t xml:space="preserve">”</w:t>
      </w:r>
      <w:r>
        <w:t xml:space="preserve">“</w:t>
      </w:r>
      <w:r>
        <w:t xml:space="preserve">风险归因</w:t>
      </w:r>
      <w:r>
        <w:t xml:space="preserve">”</w:t>
      </w:r>
      <w:r>
        <w:t xml:space="preserve">“</w:t>
      </w:r>
      <w:r>
        <w:t xml:space="preserve">政策模拟</w:t>
      </w:r>
      <w:r>
        <w:t xml:space="preserve">”</w:t>
      </w:r>
      <w:r>
        <w:t xml:space="preserve">整合到同一框架之中。这样的整合有助于把健康问题理解为一个动态系统，而不是彼此孤立的统计现象，从而提高研究结论的系统性和可解释性。</w:t>
      </w:r>
    </w:p>
    <w:p>
      <w:pPr>
        <w:pStyle w:val="3"/>
        <w:jc w:val="both"/>
      </w:pPr>
      <w:r>
        <w:t xml:space="preserve">从实践层面看，本研究既面向全球比较，也保留中国情境。对全球样本而言，研究可以识别疾病谱系转型较慢、风险暴露较高和资源短板突出的国家与地区，为公共卫生援助和国际合作提供量化依据；对中国样本而言，研究可以将风险驱动识别与省级资源配置结合起来，为慢性病防控、区域补短板和健康公平改善提供更具操作性的证据支撑。</w:t>
      </w:r>
    </w:p>
    <w:bookmarkEnd w:id="21"/>
    <w:bookmarkEnd w:id="22"/>
    <w:bookmarkStart w:id="26" w:name="研究目的和思路"/>
    <w:p>
      <w:pPr>
        <w:pStyle w:val="3"/>
        <w:spacing w:before="160" w:after="80"/>
        <w:jc w:val="left"/>
      </w:pPr>
      <w:r>
        <w:rPr>
          <w:b/>
          <w:sz w:val="30"/>
          <w:rFonts w:eastAsia="黑体"/>
        </w:rPr>
        <w:t xml:space="preserve">2 研究目的和思路</w:t>
      </w:r>
    </w:p>
    <w:bookmarkStart w:id="23" w:name="研究目的"/>
    <w:p>
      <w:pPr>
        <w:pStyle w:val="3"/>
        <w:spacing w:before="80" w:after="80"/>
        <w:jc w:val="left"/>
      </w:pPr>
      <w:r>
        <w:rPr>
          <w:b/>
          <w:sz w:val="26"/>
          <w:rFonts w:eastAsia="黑体"/>
        </w:rPr>
        <w:t xml:space="preserve">2.1 研究目的</w:t>
      </w:r>
    </w:p>
    <w:p>
      <w:pPr>
        <w:pStyle w:val="3"/>
        <w:jc w:val="both"/>
      </w:pPr>
      <w:r>
        <w:t xml:space="preserve">本研究的总体目标，是构建一套覆盖疾病谱系识别、重点疾病风险解析与卫生资源优化配置的综合分析框架，系统回答以下三类问题：第一，全球疾病谱系与关键健康指标的时空分布具有什么特征，不同国家处于怎样的流行病学转型阶段；第二，重点疾病负担由哪些风险因素长期主导，哪些风险因素正在驱动未来负担变化，公共卫生干预在不同情景下会带来怎样的中长期影响；第三，在疾病负担和健康结果差异持续存在的背景下，现有卫生资源是否与理论需求匹配，如何在效率与公平之间设计更优的资源配置方案。</w:t>
      </w:r>
    </w:p>
    <w:p>
      <w:pPr>
        <w:pStyle w:val="3"/>
        <w:jc w:val="both"/>
      </w:pPr>
      <w:r>
        <w:t xml:space="preserve">围绕这一总体目标，研究进一步细化为三个层面。宏观层面，聚焦全球疾病谱系演化与健康结果差异，刻画不同国家在疾病转型中的结构位置；中观层面，聚焦中国重点慢性病负担，识别历史归因与动态驱动因素，完成风险优先序判断；治理层面，聚焦全球国家与中国省级地区的资源配置绩效，建立资源缺口识别、类型划分与再分配模型。通过这样的分层结构，研究能够把</w:t>
      </w:r>
      <w:r>
        <w:t xml:space="preserve">“</w:t>
      </w:r>
      <w:r>
        <w:t xml:space="preserve">描述问题</w:t>
      </w:r>
      <w:r>
        <w:t xml:space="preserve">”</w:t>
      </w:r>
      <w:r>
        <w:t xml:space="preserve">“</w:t>
      </w:r>
      <w:r>
        <w:t xml:space="preserve">解释问题</w:t>
      </w:r>
      <w:r>
        <w:t xml:space="preserve">”</w:t>
      </w:r>
      <w:r>
        <w:t xml:space="preserve">“</w:t>
      </w:r>
      <w:r>
        <w:t xml:space="preserve">解决问题</w:t>
      </w:r>
      <w:r>
        <w:t xml:space="preserve">”</w:t>
      </w:r>
      <w:r>
        <w:t xml:space="preserve">串联起来。</w:t>
      </w:r>
    </w:p>
    <w:bookmarkEnd w:id="23"/>
    <w:bookmarkStart w:id="24" w:name="总体思路"/>
    <w:p>
      <w:pPr>
        <w:pStyle w:val="3"/>
        <w:spacing w:before="80" w:after="80"/>
        <w:jc w:val="left"/>
      </w:pPr>
      <w:r>
        <w:rPr>
          <w:b/>
          <w:sz w:val="26"/>
          <w:rFonts w:eastAsia="黑体"/>
        </w:rPr>
        <w:t xml:space="preserve">2.2 总体思路</w:t>
      </w:r>
    </w:p>
    <w:p>
      <w:pPr>
        <w:pStyle w:val="3"/>
        <w:jc w:val="both"/>
      </w:pPr>
      <w:r>
        <w:t xml:space="preserve">整体研究思路遵循</w:t>
      </w:r>
      <w:r>
        <w:t xml:space="preserve">“</w:t>
      </w:r>
      <w:r>
        <w:t xml:space="preserve">先识别格局，再锁定重点，最后回到治理</w:t>
      </w:r>
      <w:r>
        <w:t xml:space="preserve">”</w:t>
      </w:r>
      <w:r>
        <w:t xml:space="preserve">的逻辑。第一步，从全球尺度出发，利用死亡结构、寿命和健康指标识别疾病谱系的空间分布与时间演化路径，回答</w:t>
      </w:r>
      <w:r>
        <w:t xml:space="preserve">“</w:t>
      </w:r>
      <w:r>
        <w:t xml:space="preserve">世界卫生转型走到了哪里</w:t>
      </w:r>
      <w:r>
        <w:t xml:space="preserve">”</w:t>
      </w:r>
      <w:r>
        <w:t xml:space="preserve">。第二步，在重点国家情境中进一步下钻，围绕死亡负担占比最高、稳定性最强的核心疾病，分析风险因素的历史贡献与动态关联，回答</w:t>
      </w:r>
      <w:r>
        <w:t xml:space="preserve">“</w:t>
      </w:r>
      <w:r>
        <w:t xml:space="preserve">哪些风险最值得优先干预</w:t>
      </w:r>
      <w:r>
        <w:t xml:space="preserve">”</w:t>
      </w:r>
      <w:r>
        <w:t xml:space="preserve">。第三步，将前两步形成的疾病负担判断、风险优先序和健康结果差异带回卫生资源配置问题，评估资源投入是否匹配理论需求，并在预算约束下比较不同政策目标对应的最优配置结果。</w:t>
      </w:r>
    </w:p>
    <w:p>
      <w:pPr>
        <w:pStyle w:val="3"/>
        <w:jc w:val="both"/>
      </w:pPr>
      <w:r>
        <w:t xml:space="preserve">这种思路并非简单将三个问题并列展开，而是强调前后关联。问题一中的疾病谱系分层和健康差异判断，为问题二中重点疾病和重点风险的筛选提供背景；问题二中的风险驱动识别和政策情景模拟，又为问题三中的资源配置方向提供需求依据；问题三输出的再分配结果和分类治理建议，反过来对前两部分的发现进行政策解释，最终形成</w:t>
      </w:r>
      <w:r>
        <w:t xml:space="preserve">“</w:t>
      </w:r>
      <w:r>
        <w:t xml:space="preserve">格局识别—风险定位—资源调配</w:t>
      </w:r>
      <w:r>
        <w:t xml:space="preserve">”</w:t>
      </w:r>
      <w:r>
        <w:t xml:space="preserve">的闭环。</w:t>
      </w:r>
    </w:p>
    <w:bookmarkEnd w:id="24"/>
    <w:bookmarkStart w:id="25" w:name="技术路线"/>
    <w:p>
      <w:pPr>
        <w:pStyle w:val="3"/>
        <w:spacing w:before="80" w:after="80"/>
        <w:jc w:val="left"/>
      </w:pPr>
      <w:r>
        <w:rPr>
          <w:b/>
          <w:sz w:val="26"/>
          <w:rFonts w:eastAsia="黑体"/>
        </w:rPr>
        <w:t xml:space="preserve">2.3 技术路线</w:t>
      </w:r>
    </w:p>
    <w:p>
      <w:pPr>
        <w:pStyle w:val="3"/>
        <w:jc w:val="both"/>
      </w:pPr>
      <w:r>
        <w:t xml:space="preserve">在技术上，研究综合采用多源数据融合、指标构建、时空聚类、相关与回归分析、灰色关联分析、情景模拟、公平性测度与优化规划等方法。对应到三章专题内容，问题一以流行病学转型指数、健康表现指数和多维健康指标体系为核心；问题二以贡献度分析、灰色关联度和政策模拟模型为核心；问题三以投入指数、产出指数、需求指数、Gap指标以及效率优先/公平优先双目标优化模型为核心。方法选择的共同原则，是在保证可解释性的前提下，把复杂问题转化为能够支持比较、预测和决策的量化结果。</w:t>
      </w:r>
    </w:p>
    <w:bookmarkEnd w:id="25"/>
    <w:bookmarkEnd w:id="26"/>
    <w:bookmarkStart w:id="30" w:name="数据及分析"/>
    <w:p>
      <w:pPr>
        <w:pStyle w:val="3"/>
        <w:spacing w:before="160" w:after="80"/>
        <w:jc w:val="left"/>
      </w:pPr>
      <w:r>
        <w:rPr>
          <w:b/>
          <w:sz w:val="30"/>
          <w:rFonts w:eastAsia="黑体"/>
        </w:rPr>
        <w:t xml:space="preserve">3 数据及分析</w:t>
      </w:r>
    </w:p>
    <w:bookmarkStart w:id="27" w:name="数据来源"/>
    <w:p>
      <w:pPr>
        <w:pStyle w:val="3"/>
        <w:spacing w:before="80" w:after="80"/>
        <w:jc w:val="left"/>
      </w:pPr>
      <w:r>
        <w:rPr>
          <w:b/>
          <w:sz w:val="26"/>
          <w:rFonts w:eastAsia="黑体"/>
        </w:rPr>
        <w:t xml:space="preserve">3.1 数据来源</w:t>
      </w:r>
    </w:p>
    <w:p>
      <w:pPr>
        <w:pStyle w:val="12"/>
        <w:jc w:val="center"/>
      </w:pPr>
      <w:r>
        <w:t xml:space="preserve">表3-1 研究所用主要数据来源</w:t>
      </w:r>
    </w:p>
    <w:p>
      <w:pPr>
        <w:pStyle w:val="3"/>
        <w:jc w:val="both"/>
      </w:pPr>
      <w:r>
        <w:t xml:space="preserve">[[TABLE_DATA_SOURCES]]</w:t>
      </w:r>
    </w:p>
    <w:p>
      <w:pPr>
        <w:pStyle w:val="3"/>
        <w:jc w:val="both"/>
      </w:pPr>
      <w:r>
        <w:t xml:space="preserve">上述数据覆盖了全球国家层面的死因结构、风险暴露、卫生投入、寿命和社会经济指标，也覆盖了中国省级层面的卫生资源、人口出生死亡和健康结果指标，能够同时支撑跨国比较与国内区域分析。其中特别重要的是两类官方数据库：一类是 IHME GBD Results Tool，用于获得死因构成与风险归因数据；另一类是 World Bank HNP/WDI，用于获得卫生投入、人口健康和社会经济指标。这些数据共同构成了识别疾病谱系、解释健康差异和评估资源配置效率的基础。</w:t>
      </w:r>
    </w:p>
    <w:bookmarkEnd w:id="27"/>
    <w:bookmarkStart w:id="28" w:name="数据处理"/>
    <w:p>
      <w:pPr>
        <w:pStyle w:val="3"/>
        <w:spacing w:before="80" w:after="80"/>
        <w:jc w:val="left"/>
      </w:pPr>
      <w:r>
        <w:rPr>
          <w:b/>
          <w:sz w:val="26"/>
          <w:rFonts w:eastAsia="黑体"/>
        </w:rPr>
        <w:t xml:space="preserve">3.2 数据处理</w:t>
      </w:r>
    </w:p>
    <w:p>
      <w:pPr>
        <w:pStyle w:val="3"/>
        <w:jc w:val="both"/>
      </w:pPr>
      <w:r>
        <w:t xml:space="preserve">数据处理遵循</w:t>
      </w:r>
      <w:r>
        <w:t xml:space="preserve">“</w:t>
      </w:r>
      <w:r>
        <w:t xml:space="preserve">口径统一、指标筛选、变量合成</w:t>
      </w:r>
      <w:r>
        <w:t xml:space="preserve">”</w:t>
      </w:r>
      <w:r>
        <w:t xml:space="preserve">的顺序。首先，对国家名称、年份和单位口径进行标准化处理，保证跨来源数据能够在同一横截面和时序框架中对齐；其次，根据各问题的建模需求筛选核心指标，例如在问题一中提取死因结构和预期寿命，在问题二中提取归因死亡和风险暴露变化率，在问题三中提取医生密度、床位密度、人均卫生支出、预期寿命和婴儿死亡率等指标；最后，通过标准化、逆向指标处理和加权合成，将原始数据转化为流行病学转型指数、健康表现指数、风险贡献比例、投入指数、产出指数和理论需求指数等中间变量。</w:t>
      </w:r>
    </w:p>
    <w:bookmarkEnd w:id="28"/>
    <w:bookmarkStart w:id="29" w:name="总体分析框架"/>
    <w:p>
      <w:pPr>
        <w:pStyle w:val="3"/>
        <w:spacing w:before="80" w:after="80"/>
        <w:jc w:val="left"/>
      </w:pPr>
      <w:r>
        <w:rPr>
          <w:b/>
          <w:sz w:val="26"/>
          <w:rFonts w:eastAsia="黑体"/>
        </w:rPr>
        <w:t xml:space="preserve">3.3 总体分析框架</w:t>
      </w:r>
    </w:p>
    <w:p>
      <w:pPr>
        <w:pStyle w:val="3"/>
        <w:jc w:val="both"/>
      </w:pPr>
      <w:r>
        <w:t xml:space="preserve">在分析层面，本文将原始数据组织成三条主线。第一条主线面向</w:t>
      </w:r>
      <w:r>
        <w:t xml:space="preserve">“</w:t>
      </w:r>
      <w:r>
        <w:t xml:space="preserve">全球疾病谱系与健康格局</w:t>
      </w:r>
      <w:r>
        <w:t xml:space="preserve">”</w:t>
      </w:r>
      <w:r>
        <w:t xml:space="preserve">，核心是通过指标构建与可视化，识别国家间的转型阶段差异及其影响因素；第二条主线面向</w:t>
      </w:r>
      <w:r>
        <w:t xml:space="preserve">“</w:t>
      </w:r>
      <w:r>
        <w:t xml:space="preserve">重点疾病负担演变</w:t>
      </w:r>
      <w:r>
        <w:t xml:space="preserve">”</w:t>
      </w:r>
      <w:r>
        <w:t xml:space="preserve">，核心是通过静态归因、动态驱动和政策模拟，判断未来最值得优先干预的风险因素；第三条主线面向</w:t>
      </w:r>
      <w:r>
        <w:t xml:space="preserve">“</w:t>
      </w:r>
      <w:r>
        <w:t xml:space="preserve">卫生资源优化配置</w:t>
      </w:r>
      <w:r>
        <w:t xml:space="preserve">”</w:t>
      </w:r>
      <w:r>
        <w:t xml:space="preserve">，核心是通过资源缺口测算、四象限识别、公平性比较与双目标规划，回答资源应该向何处流动。这样的框架使得数据不仅用于描述现状，更用于支撑比较、推演与治理决策。</w:t>
      </w:r>
    </w:p>
    <w:bookmarkEnd w:id="29"/>
    <w:bookmarkEnd w:id="30"/>
    <w:bookmarkStart w:id="36" w:name="全球疾病谱系的时空演化与健康格局刻画"/>
    <w:p>
      <w:pPr>
        <w:pStyle w:val="3"/>
        <w:spacing w:before="160" w:after="80"/>
        <w:jc w:val="left"/>
      </w:pPr>
      <w:r>
        <w:rPr>
          <w:b/>
          <w:sz w:val="30"/>
          <w:rFonts w:eastAsia="黑体"/>
        </w:rPr>
        <w:t xml:space="preserve">4 全球疾病谱系的时空演化与健康格局刻画</w:t>
      </w:r>
    </w:p>
    <w:bookmarkStart w:id="32" w:name="疾病谱系的空间分异与演化类型"/>
    <w:p>
      <w:pPr>
        <w:pStyle w:val="3"/>
        <w:spacing w:before="80" w:after="80"/>
        <w:jc w:val="left"/>
      </w:pPr>
      <w:r>
        <w:rPr>
          <w:b/>
          <w:sz w:val="26"/>
          <w:rFonts w:eastAsia="黑体"/>
        </w:rPr>
        <w:t xml:space="preserve">4.1 疾病谱系的空间分异与演化类型</w:t>
      </w:r>
    </w:p>
    <w:p>
      <w:pPr>
        <w:pStyle w:val="3"/>
        <w:jc w:val="both"/>
      </w:pPr>
      <w:r>
        <w:t xml:space="preserve">问题一首先关注全球疾病谱系的总体格局。为刻画国家在流行病学转型中的相对位置，本文构建流行病学转型指数：</w:t>
      </w:r>
    </w:p>
    <w:p>
      <w:pPr>
        <w:pStyle w:val="3"/>
        <w:jc w:val="center"/>
      </w:pPr>
      <m:oMathPara>
        <m:oMathParaPr>
          <m:jc m:val="center"/>
        </m:oMathParaPr>
        <m:oMath>
          <m:r>
            <m:t>E</m:t>
          </m:r>
          <m:r>
            <m:t>T</m:t>
          </m:r>
          <m:sSub>
            <m:e>
              <m:r>
                <m:t>I</m:t>
              </m:r>
            </m:e>
            <m:sub>
              <m:r>
                <m:t>i</m:t>
              </m:r>
            </m:sub>
          </m:sSub>
          <m:r>
            <m:rPr>
              <m:sty m:val="p"/>
            </m:rPr>
            <m:t>=</m:t>
          </m:r>
          <m:f>
            <m:fPr>
              <m:type m:val="bar"/>
            </m:fPr>
            <m:num>
              <m:r>
                <m:t>D</m:t>
              </m:r>
              <m:r>
                <m:t>e</m:t>
              </m:r>
              <m:r>
                <m:t>a</m:t>
              </m:r>
              <m:r>
                <m:t>t</m:t>
              </m:r>
              <m:r>
                <m:t>h</m:t>
              </m:r>
              <m:sSub>
                <m:e>
                  <m:r>
                    <m:t>s</m:t>
                  </m:r>
                </m:e>
                <m:sub>
                  <m:r>
                    <m:t>N</m:t>
                  </m:r>
                  <m:r>
                    <m:t>C</m:t>
                  </m:r>
                  <m:r>
                    <m:t>D</m:t>
                  </m:r>
                  <m:r>
                    <m:rPr>
                      <m:sty m:val="p"/>
                    </m:rPr>
                    <m:t>,</m:t>
                  </m:r>
                  <m:r>
                    <m:t>i</m:t>
                  </m:r>
                </m:sub>
              </m:sSub>
            </m:num>
            <m:den>
              <m:r>
                <m:t>D</m:t>
              </m:r>
              <m:r>
                <m:t>e</m:t>
              </m:r>
              <m:r>
                <m:t>a</m:t>
              </m:r>
              <m:r>
                <m:t>t</m:t>
              </m:r>
              <m:r>
                <m:t>h</m:t>
              </m:r>
              <m:sSub>
                <m:e>
                  <m:r>
                    <m:t>s</m:t>
                  </m:r>
                </m:e>
                <m:sub>
                  <m:r>
                    <m:t>C</m:t>
                  </m:r>
                  <m:r>
                    <m:t>o</m:t>
                  </m:r>
                  <m:r>
                    <m:t>m</m:t>
                  </m:r>
                  <m:r>
                    <m:t>m</m:t>
                  </m:r>
                  <m:r>
                    <m:rPr>
                      <m:sty m:val="p"/>
                    </m:rPr>
                    <m:t>,</m:t>
                  </m:r>
                  <m:r>
                    <m:t>i</m:t>
                  </m:r>
                </m:sub>
              </m:sSub>
              <m:r>
                <m:rPr>
                  <m:sty m:val="p"/>
                </m:rPr>
                <m:t>+</m:t>
              </m:r>
              <m:r>
                <m:t>D</m:t>
              </m:r>
              <m:r>
                <m:t>e</m:t>
              </m:r>
              <m:r>
                <m:t>a</m:t>
              </m:r>
              <m:r>
                <m:t>t</m:t>
              </m:r>
              <m:r>
                <m:t>h</m:t>
              </m:r>
              <m:sSub>
                <m:e>
                  <m:r>
                    <m:t>s</m:t>
                  </m:r>
                </m:e>
                <m:sub>
                  <m:r>
                    <m:t>N</m:t>
                  </m:r>
                  <m:r>
                    <m:t>C</m:t>
                  </m:r>
                  <m:r>
                    <m:t>D</m:t>
                  </m:r>
                  <m:r>
                    <m:rPr>
                      <m:sty m:val="p"/>
                    </m:rPr>
                    <m:t>,</m:t>
                  </m:r>
                  <m:r>
                    <m:t>i</m:t>
                  </m:r>
                </m:sub>
              </m:sSub>
              <m:r>
                <m:rPr>
                  <m:sty m:val="p"/>
                </m:rPr>
                <m:t>+</m:t>
              </m:r>
              <m:r>
                <m:t>D</m:t>
              </m:r>
              <m:r>
                <m:t>e</m:t>
              </m:r>
              <m:r>
                <m:t>a</m:t>
              </m:r>
              <m:r>
                <m:t>t</m:t>
              </m:r>
              <m:r>
                <m:t>h</m:t>
              </m:r>
              <m:sSub>
                <m:e>
                  <m:r>
                    <m:t>s</m:t>
                  </m:r>
                </m:e>
                <m:sub>
                  <m:r>
                    <m:t>I</m:t>
                  </m:r>
                  <m:r>
                    <m:t>n</m:t>
                  </m:r>
                  <m:r>
                    <m:t>j</m:t>
                  </m:r>
                  <m:r>
                    <m:rPr>
                      <m:sty m:val="p"/>
                    </m:rPr>
                    <m:t>,</m:t>
                  </m:r>
                  <m:r>
                    <m:t>i</m:t>
                  </m:r>
                </m:sub>
              </m:sSub>
            </m:den>
          </m:f>
        </m:oMath>
      </m:oMathPara>
    </w:p>
    <w:p>
      <w:pPr>
        <w:pStyle w:val="3"/>
        <w:jc w:val="both"/>
      </w:pPr>
      <w:r>
        <w:t xml:space="preserve">其中，</w:t>
      </w:r>
      <m:oMath>
        <m:r>
          <m:t>D</m:t>
        </m:r>
        <m:r>
          <m:t>e</m:t>
        </m:r>
        <m:r>
          <m:t>a</m:t>
        </m:r>
        <m:r>
          <m:t>t</m:t>
        </m:r>
        <m:r>
          <m:t>h</m:t>
        </m:r>
        <m:sSub>
          <m:e>
            <m:r>
              <m:t>s</m:t>
            </m:r>
          </m:e>
          <m:sub>
            <m:r>
              <m:t>C</m:t>
            </m:r>
            <m:r>
              <m:t>o</m:t>
            </m:r>
            <m:r>
              <m:t>m</m:t>
            </m:r>
            <m:r>
              <m:t>m</m:t>
            </m:r>
            <m:r>
              <m:rPr>
                <m:sty m:val="p"/>
              </m:rPr>
              <m:t>,</m:t>
            </m:r>
            <m:r>
              <m:t>i</m:t>
            </m:r>
          </m:sub>
        </m:sSub>
      </m:oMath>
      <w:r>
        <w:t xml:space="preserve">、</w:t>
      </w:r>
      <m:oMath>
        <m:r>
          <m:t>D</m:t>
        </m:r>
        <m:r>
          <m:t>e</m:t>
        </m:r>
        <m:r>
          <m:t>a</m:t>
        </m:r>
        <m:r>
          <m:t>t</m:t>
        </m:r>
        <m:r>
          <m:t>h</m:t>
        </m:r>
        <m:sSub>
          <m:e>
            <m:r>
              <m:t>s</m:t>
            </m:r>
          </m:e>
          <m:sub>
            <m:r>
              <m:t>N</m:t>
            </m:r>
            <m:r>
              <m:t>C</m:t>
            </m:r>
            <m:r>
              <m:t>D</m:t>
            </m:r>
            <m:r>
              <m:rPr>
                <m:sty m:val="p"/>
              </m:rPr>
              <m:t>,</m:t>
            </m:r>
            <m:r>
              <m:t>i</m:t>
            </m:r>
          </m:sub>
        </m:sSub>
      </m:oMath>
      <w:r>
        <w:t xml:space="preserve"> </w:t>
      </w:r>
      <w:r>
        <w:t xml:space="preserve">与</w:t>
      </w:r>
      <w:r>
        <w:t xml:space="preserve"> </w:t>
      </w:r>
      <m:oMath>
        <m:r>
          <m:t>D</m:t>
        </m:r>
        <m:r>
          <m:t>e</m:t>
        </m:r>
        <m:r>
          <m:t>a</m:t>
        </m:r>
        <m:r>
          <m:t>t</m:t>
        </m:r>
        <m:r>
          <m:t>h</m:t>
        </m:r>
        <m:sSub>
          <m:e>
            <m:r>
              <m:t>s</m:t>
            </m:r>
          </m:e>
          <m:sub>
            <m:r>
              <m:t>I</m:t>
            </m:r>
            <m:r>
              <m:t>n</m:t>
            </m:r>
            <m:r>
              <m:t>j</m:t>
            </m:r>
            <m:r>
              <m:rPr>
                <m:sty m:val="p"/>
              </m:rPr>
              <m:t>,</m:t>
            </m:r>
            <m:r>
              <m:t>i</m:t>
            </m:r>
          </m:sub>
        </m:sSub>
      </m:oMath>
      <w:r>
        <w:t xml:space="preserve"> </w:t>
      </w:r>
      <w:r>
        <w:t xml:space="preserve">分别表示国家</w:t>
      </w:r>
      <w:r>
        <w:t xml:space="preserve"> </w:t>
      </w:r>
      <m:oMath>
        <m:r>
          <m:t>i</m:t>
        </m:r>
      </m:oMath>
      <w:r>
        <w:t xml:space="preserve"> </w:t>
      </w:r>
      <w:r>
        <w:t xml:space="preserve">在给定年份中的传染性疾病死亡、非传染性疾病死亡和伤害死亡。指数越高，说明该国越接近由慢性非传染性疾病主导的成熟转型阶段。</w:t>
      </w:r>
    </w:p>
    <w:p>
      <w:pPr>
        <w:pStyle w:val="3"/>
        <w:jc w:val="both"/>
      </w:pPr>
      <w:r>
        <w:t xml:space="preserve">结合时空聚类结果可以看到，全球疾病谱系呈现明显的分层结构：北美、西欧、东亚等地区已普遍进入高 ETI 的成熟阶段，而撒哈拉以南非洲和部分低收入国家仍停留在传染病与慢性病并存的早期或中期转型阶段。这说明全球健康转型并不是同步推进的线性过程，而是受经济基础、卫生体系能力和环境风险共同影响的非均衡过程。</w:t>
      </w:r>
    </w:p>
    <w:p>
      <w:pPr>
        <w:pStyle w:val="40"/>
        <w:jc w:val="center"/>
      </w:pPr>
      <w:r>
        <w:drawing>
          <wp:inline>
            <wp:extent cx="5270500" cy="1875081"/>
            <wp:effectExtent b="0" l="0" r="0" t="0"/>
            <wp:docPr descr="" title="" id="1" name="Picture"/>
            <a:graphic>
              <a:graphicData uri="http://schemas.openxmlformats.org/drawingml/2006/picture">
                <pic:pic>
                  <pic:nvPicPr>
                    <pic:cNvPr descr="tmp/docs/compact_assets/ch4_panel_a.png" id="0" name="Picture"/>
                    <pic:cNvPicPr>
                      <a:picLocks noChangeArrowheads="1" noChangeAspect="1"/>
                    </pic:cNvPicPr>
                  </pic:nvPicPr>
                  <pic:blipFill>
                    <a:blip r:embed="rId31"/>
                    <a:stretch>
                      <a:fillRect/>
                    </a:stretch>
                  </pic:blipFill>
                  <pic:spPr bwMode="auto">
                    <a:xfrm>
                      <a:off x="0" y="0"/>
                      <a:ext cx="5270500" cy="1875081"/>
                    </a:xfrm>
                    <a:prstGeom prst="rect">
                      <a:avLst/>
                    </a:prstGeom>
                    <a:noFill/>
                    <a:ln w="9525">
                      <a:noFill/>
                      <a:headEnd/>
                      <a:tailEnd/>
                    </a:ln>
                  </pic:spPr>
                </pic:pic>
              </a:graphicData>
            </a:graphic>
          </wp:inline>
        </w:drawing>
      </w:r>
    </w:p>
    <w:p>
      <w:pPr>
        <w:pStyle w:val="12"/>
        <w:jc w:val="center"/>
      </w:pPr>
      <w:r>
        <w:t xml:space="preserve">图4-1 全球疾病谱系的空间格局与演化类型</w:t>
      </w:r>
    </w:p>
    <w:p>
      <w:pPr>
        <w:pStyle w:val="3"/>
        <w:jc w:val="both"/>
      </w:pPr>
      <w:r>
        <w:t xml:space="preserve">图4-1 左侧给出了全球疾病谱系的空间分布，右侧给出了国家演化路径。可以看到，疾病谱系不仅存在明显的区域聚集，还存在稳定的阶梯式演化轨迹：高收入稳定型国家处于高位平台，中等收入国家处于持续上升阶段，中低收入国家则仍受到传染病负担的明显牵制。由此可见，疾病谱系差异本质上是发展阶段差异、卫生治理差异和风险暴露差异的综合体现。</w:t>
      </w:r>
    </w:p>
    <w:bookmarkEnd w:id="32"/>
    <w:bookmarkStart w:id="34" w:name="健康指标差异及其影响因素"/>
    <w:p>
      <w:pPr>
        <w:pStyle w:val="3"/>
        <w:spacing w:before="80" w:after="80"/>
        <w:jc w:val="left"/>
      </w:pPr>
      <w:r>
        <w:rPr>
          <w:b/>
          <w:sz w:val="26"/>
          <w:rFonts w:eastAsia="黑体"/>
        </w:rPr>
        <w:t xml:space="preserve">4.2 健康指标差异及其影响因素</w:t>
      </w:r>
    </w:p>
    <w:p>
      <w:pPr>
        <w:pStyle w:val="3"/>
        <w:jc w:val="both"/>
      </w:pPr>
      <w:r>
        <w:t xml:space="preserve">为进一步比较国家间健康表现，本文以 ETI、非传染性疾病死亡率与预期寿命构建健康表现指数，并从经济、教育、城市化、空气污染和卫生支出等维度考察其影响因素。结果表明，健康指标的差异并不完全由疾病结构本身决定，经济发展水平和公共卫生投入仍然是最稳定、最显著的解释变量；教育水平和城市化率则主要通过改变风险暴露与医疗可及性，间接影响健康结果。</w:t>
      </w:r>
    </w:p>
    <w:p>
      <w:pPr>
        <w:pStyle w:val="40"/>
        <w:jc w:val="center"/>
      </w:pPr>
      <w:r>
        <w:drawing>
          <wp:inline>
            <wp:extent cx="5270500" cy="1875081"/>
            <wp:effectExtent b="0" l="0" r="0" t="0"/>
            <wp:docPr descr="" title="" id="1" name="Picture"/>
            <a:graphic>
              <a:graphicData uri="http://schemas.openxmlformats.org/drawingml/2006/picture">
                <pic:pic>
                  <pic:nvPicPr>
                    <pic:cNvPr descr="tmp/docs/compact_assets/ch4_panel_b.png" id="0" name="Picture"/>
                    <pic:cNvPicPr>
                      <a:picLocks noChangeArrowheads="1" noChangeAspect="1"/>
                    </pic:cNvPicPr>
                  </pic:nvPicPr>
                  <pic:blipFill>
                    <a:blip r:embed="rId33"/>
                    <a:stretch>
                      <a:fillRect/>
                    </a:stretch>
                  </pic:blipFill>
                  <pic:spPr bwMode="auto">
                    <a:xfrm>
                      <a:off x="0" y="0"/>
                      <a:ext cx="5270500" cy="1875081"/>
                    </a:xfrm>
                    <a:prstGeom prst="rect">
                      <a:avLst/>
                    </a:prstGeom>
                    <a:noFill/>
                    <a:ln w="9525">
                      <a:noFill/>
                      <a:headEnd/>
                      <a:tailEnd/>
                    </a:ln>
                  </pic:spPr>
                </pic:pic>
              </a:graphicData>
            </a:graphic>
          </wp:inline>
        </w:drawing>
      </w:r>
    </w:p>
    <w:p>
      <w:pPr>
        <w:pStyle w:val="12"/>
        <w:jc w:val="center"/>
      </w:pPr>
      <w:r>
        <w:t xml:space="preserve">图4-2 健康指标的相关结构与趋势判断</w:t>
      </w:r>
    </w:p>
    <w:p>
      <w:pPr>
        <w:pStyle w:val="3"/>
        <w:jc w:val="both"/>
      </w:pPr>
      <w:r>
        <w:t xml:space="preserve">图4-2 显示，预期寿命与经济水平、卫生投入呈显著正相关，空气污染严重地区的非传染性疾病死亡率明显偏高，发展中国家虽然未来寿命改善速度更快，但与发达国家之间的绝对差距仍难在短期内消失。这意味着，全球健康差距正在收敛，但并未被消除。</w:t>
      </w:r>
    </w:p>
    <w:bookmarkEnd w:id="34"/>
    <w:bookmarkStart w:id="35" w:name="趋势判断与改善方向"/>
    <w:p>
      <w:pPr>
        <w:pStyle w:val="3"/>
        <w:spacing w:before="80" w:after="80"/>
        <w:jc w:val="left"/>
      </w:pPr>
      <w:r>
        <w:rPr>
          <w:b/>
          <w:sz w:val="26"/>
          <w:rFonts w:eastAsia="黑体"/>
        </w:rPr>
        <w:t xml:space="preserve">4.3 趋势判断与改善方向</w:t>
      </w:r>
    </w:p>
    <w:p>
      <w:pPr>
        <w:pStyle w:val="3"/>
        <w:jc w:val="both"/>
      </w:pPr>
      <w:r>
        <w:t xml:space="preserve">综合问题一的结果可以得出三点判断。第一，全球疾病谱系整体上仍在继续向慢性病主导阶段演进，但地区间演进速度差异明显，欠发达地区的</w:t>
      </w:r>
      <w:r>
        <w:t xml:space="preserve">“</w:t>
      </w:r>
      <w:r>
        <w:t xml:space="preserve">双重负担</w:t>
      </w:r>
      <w:r>
        <w:t xml:space="preserve">”</w:t>
      </w:r>
      <w:r>
        <w:t xml:space="preserve">问题仍然突出。第二，国家健康结果的改善高度依赖经济发展、卫生投入和教育水平，而不仅仅依赖疾病结构本身。第三，未来健康改善将更多体现为发展中国家的追赶型增长，而发达国家则表现为高位稳定。因此，从政策层面看，提升基础卫生投入、改善空气污染、加强教育和健康促进，仍是缩小全球健康差距的主要路径。</w:t>
      </w:r>
    </w:p>
    <w:bookmarkEnd w:id="35"/>
    <w:bookmarkEnd w:id="36"/>
    <w:bookmarkStart w:id="43" w:name="重点疾病负担的风险归因动态驱动与防控推演"/>
    <w:p>
      <w:pPr>
        <w:pStyle w:val="3"/>
        <w:spacing w:before="160" w:after="80"/>
        <w:jc w:val="left"/>
      </w:pPr>
      <w:r>
        <w:rPr>
          <w:b/>
          <w:sz w:val="30"/>
          <w:rFonts w:eastAsia="黑体"/>
        </w:rPr>
        <w:t xml:space="preserve">5 重点疾病负担的风险归因、动态驱动与防控推演</w:t>
      </w:r>
    </w:p>
    <w:bookmarkStart w:id="39" w:name="核心疾病识别与静态风险归因"/>
    <w:p>
      <w:pPr>
        <w:pStyle w:val="3"/>
        <w:spacing w:before="80" w:after="80"/>
        <w:jc w:val="left"/>
      </w:pPr>
      <w:r>
        <w:rPr>
          <w:b/>
          <w:sz w:val="26"/>
          <w:rFonts w:eastAsia="黑体"/>
        </w:rPr>
        <w:t xml:space="preserve">5.1 核心疾病识别与静态风险归因</w:t>
      </w:r>
    </w:p>
    <w:p>
      <w:pPr>
        <w:pStyle w:val="3"/>
        <w:jc w:val="both"/>
      </w:pPr>
      <w:r>
        <w:t xml:space="preserve">问题二以中国为例，对重点疾病负担进行更深入分析。根据 2000—2023 年全人群死亡数据，心血管疾病、恶性肿瘤和慢性呼吸系统疾病长期位居死亡人数前三位，构成了最稳定、最主要的疾病负担主体。基于这一识别结果，本文进一步用风险贡献比例来衡量各风险因素的历史责任：</w:t>
      </w:r>
    </w:p>
    <w:p>
      <w:pPr>
        <w:pStyle w:val="3"/>
        <w:jc w:val="center"/>
      </w:pPr>
      <m:oMathPara>
        <m:oMathParaPr>
          <m:jc m:val="center"/>
        </m:oMathParaPr>
        <m:oMath>
          <m:sSub>
            <m:e>
              <m:r>
                <m:t>C</m:t>
              </m:r>
            </m:e>
            <m:sub>
              <m:r>
                <m:t>i</m:t>
              </m:r>
            </m:sub>
          </m:sSub>
          <m:r>
            <m:rPr>
              <m:sty m:val="p"/>
            </m:rPr>
            <m:t>=</m:t>
          </m:r>
          <m:f>
            <m:fPr>
              <m:type m:val="bar"/>
            </m:fPr>
            <m:num>
              <m:sSub>
                <m:e>
                  <m:r>
                    <m:t>D</m:t>
                  </m:r>
                </m:e>
                <m:sub>
                  <m:r>
                    <m:t>i</m:t>
                  </m:r>
                </m:sub>
              </m:sSub>
            </m:num>
            <m:den>
              <m:sSub>
                <m:e>
                  <m:r>
                    <m:t>D</m:t>
                  </m:r>
                </m:e>
                <m:sub>
                  <m:r>
                    <m:t>t</m:t>
                  </m:r>
                  <m:r>
                    <m:t>o</m:t>
                  </m:r>
                  <m:r>
                    <m:t>t</m:t>
                  </m:r>
                  <m:r>
                    <m:t>a</m:t>
                  </m:r>
                  <m:r>
                    <m:t>l</m:t>
                  </m:r>
                </m:sub>
              </m:sSub>
            </m:den>
          </m:f>
          <m:r>
            <m:rPr>
              <m:sty m:val="p"/>
            </m:rPr>
            <m:t>×</m:t>
          </m:r>
          <m:r>
            <m:t>100</m:t>
          </m:r>
          <m:r>
            <m:rPr>
              <m:sty m:val="p"/>
            </m:rPr>
            <m:t>%</m:t>
          </m:r>
        </m:oMath>
      </m:oMathPara>
    </w:p>
    <w:p>
      <w:pPr>
        <w:pStyle w:val="3"/>
        <w:jc w:val="both"/>
      </w:pPr>
      <w:r>
        <w:t xml:space="preserve">其中，</w:t>
      </w:r>
      <m:oMath>
        <m:sSub>
          <m:e>
            <m:r>
              <m:t>D</m:t>
            </m:r>
          </m:e>
          <m:sub>
            <m:r>
              <m:t>i</m:t>
            </m:r>
          </m:sub>
        </m:sSub>
      </m:oMath>
      <w:r>
        <w:t xml:space="preserve"> </w:t>
      </w:r>
      <w:r>
        <w:t xml:space="preserve">表示风险因素</w:t>
      </w:r>
      <w:r>
        <w:t xml:space="preserve"> </w:t>
      </w:r>
      <m:oMath>
        <m:r>
          <m:t>i</m:t>
        </m:r>
      </m:oMath>
      <w:r>
        <w:t xml:space="preserve"> </w:t>
      </w:r>
      <w:r>
        <w:t xml:space="preserve">导致的归因死亡人数，</w:t>
      </w:r>
      <m:oMath>
        <m:sSub>
          <m:e>
            <m:r>
              <m:t>D</m:t>
            </m:r>
          </m:e>
          <m:sub>
            <m:r>
              <m:t>t</m:t>
            </m:r>
            <m:r>
              <m:t>o</m:t>
            </m:r>
            <m:r>
              <m:t>t</m:t>
            </m:r>
            <m:r>
              <m:t>a</m:t>
            </m:r>
            <m:r>
              <m:t>l</m:t>
            </m:r>
          </m:sub>
        </m:sSub>
      </m:oMath>
      <w:r>
        <w:t xml:space="preserve"> </w:t>
      </w:r>
      <w:r>
        <w:t xml:space="preserve">表示相应疾病的总死亡人数。</w:t>
      </w:r>
    </w:p>
    <w:p>
      <w:pPr>
        <w:pStyle w:val="40"/>
        <w:jc w:val="center"/>
      </w:pPr>
      <w:r>
        <w:drawing>
          <wp:inline>
            <wp:extent cx="4846320" cy="2423160"/>
            <wp:effectExtent b="0" l="0" r="0" t="0"/>
            <wp:docPr descr="" title="" id="1" name="Picture"/>
            <a:graphic>
              <a:graphicData uri="http://schemas.openxmlformats.org/drawingml/2006/picture">
                <pic:pic>
                  <pic:nvPicPr>
                    <pic:cNvPr descr="tmp/docs/compact_assets/ch5_trend.png" id="0" name="Picture"/>
                    <pic:cNvPicPr>
                      <a:picLocks noChangeArrowheads="1" noChangeAspect="1"/>
                    </pic:cNvPicPr>
                  </pic:nvPicPr>
                  <pic:blipFill>
                    <a:blip r:embed="rId37"/>
                    <a:stretch>
                      <a:fillRect/>
                    </a:stretch>
                  </pic:blipFill>
                  <pic:spPr bwMode="auto">
                    <a:xfrm>
                      <a:off x="0" y="0"/>
                      <a:ext cx="4846320" cy="2423160"/>
                    </a:xfrm>
                    <a:prstGeom prst="rect">
                      <a:avLst/>
                    </a:prstGeom>
                    <a:noFill/>
                    <a:ln w="9525">
                      <a:noFill/>
                      <a:headEnd/>
                      <a:tailEnd/>
                    </a:ln>
                  </pic:spPr>
                </pic:pic>
              </a:graphicData>
            </a:graphic>
          </wp:inline>
        </w:drawing>
      </w:r>
    </w:p>
    <w:p>
      <w:pPr>
        <w:pStyle w:val="12"/>
        <w:jc w:val="center"/>
      </w:pPr>
      <w:r>
        <w:t xml:space="preserve">图5-1 中国 2000—2023 年前 5 大死亡原因波动趋势</w:t>
      </w:r>
    </w:p>
    <w:p>
      <w:pPr>
        <w:pStyle w:val="40"/>
        <w:jc w:val="center"/>
      </w:pPr>
      <w:r>
        <w:drawing>
          <wp:inline>
            <wp:extent cx="5270500" cy="1212215"/>
            <wp:effectExtent b="0" l="0" r="0" t="0"/>
            <wp:docPr descr="" title="" id="1" name="Picture"/>
            <a:graphic>
              <a:graphicData uri="http://schemas.openxmlformats.org/drawingml/2006/picture">
                <pic:pic>
                  <pic:nvPicPr>
                    <pic:cNvPr descr="tmp/docs/compact_assets/ch5_panel_attribution.png" id="0" name="Picture"/>
                    <pic:cNvPicPr>
                      <a:picLocks noChangeArrowheads="1" noChangeAspect="1"/>
                    </pic:cNvPicPr>
                  </pic:nvPicPr>
                  <pic:blipFill>
                    <a:blip r:embed="rId38"/>
                    <a:stretch>
                      <a:fillRect/>
                    </a:stretch>
                  </pic:blipFill>
                  <pic:spPr bwMode="auto">
                    <a:xfrm>
                      <a:off x="0" y="0"/>
                      <a:ext cx="5270500" cy="1212215"/>
                    </a:xfrm>
                    <a:prstGeom prst="rect">
                      <a:avLst/>
                    </a:prstGeom>
                    <a:noFill/>
                    <a:ln w="9525">
                      <a:noFill/>
                      <a:headEnd/>
                      <a:tailEnd/>
                    </a:ln>
                  </pic:spPr>
                </pic:pic>
              </a:graphicData>
            </a:graphic>
          </wp:inline>
        </w:drawing>
      </w:r>
    </w:p>
    <w:p>
      <w:pPr>
        <w:pStyle w:val="12"/>
        <w:jc w:val="center"/>
      </w:pPr>
      <w:r>
        <w:t xml:space="preserve">图5-2 三类核心疾病的静态风险归因结构</w:t>
      </w:r>
    </w:p>
    <w:p>
      <w:pPr>
        <w:pStyle w:val="3"/>
        <w:jc w:val="both"/>
      </w:pPr>
      <w:r>
        <w:t xml:space="preserve">从图5-1 和图5-2 可以看到，三类核心疾病不仅长期占据死亡负担主体，而且其风险结构具有明显差异。心血管疾病属于多风险共同驱动型，其中高血压、不健康饮食、空气污染和烟草使用均具有较高贡献；恶性肿瘤的归因高度集中于烟草使用，同时受到空气污染和饮食风险影响；慢性呼吸系统疾病的风险结构则最为集中，烟草使用与空气污染合计贡献超过 80%。这一结果说明，重点疾病的治理不能采取统一策略，而必须按照风险结构差异设计差异化干预路径。</w:t>
      </w:r>
    </w:p>
    <w:bookmarkEnd w:id="39"/>
    <w:bookmarkStart w:id="41" w:name="动态驱动与中长期情景"/>
    <w:p>
      <w:pPr>
        <w:pStyle w:val="3"/>
        <w:spacing w:before="80" w:after="80"/>
        <w:jc w:val="left"/>
      </w:pPr>
      <w:r>
        <w:rPr>
          <w:b/>
          <w:sz w:val="26"/>
          <w:rFonts w:eastAsia="黑体"/>
        </w:rPr>
        <w:t xml:space="preserve">5.2 动态驱动与中长期情景</w:t>
      </w:r>
    </w:p>
    <w:p>
      <w:pPr>
        <w:pStyle w:val="3"/>
        <w:jc w:val="both"/>
      </w:pPr>
      <w:r>
        <w:t xml:space="preserve">仅有历史归因还不足以支持前瞻性决策。为识别哪些风险因素正在驱动未来疾病负担变化，本文将各风险暴露序列转化为年度变化率：</w:t>
      </w:r>
    </w:p>
    <w:p>
      <w:pPr>
        <w:pStyle w:val="3"/>
        <w:jc w:val="center"/>
      </w:pPr>
      <m:oMathPara>
        <m:oMathParaPr>
          <m:jc m:val="center"/>
        </m:oMathParaPr>
        <m:oMath>
          <m:sSub>
            <m:e>
              <m:r>
                <m:t>r</m:t>
              </m:r>
            </m:e>
            <m:sub>
              <m:r>
                <m:t>t</m:t>
              </m:r>
            </m:sub>
          </m:sSub>
          <m:r>
            <m:rPr>
              <m:sty m:val="p"/>
            </m:rPr>
            <m:t>=</m:t>
          </m:r>
          <m:f>
            <m:fPr>
              <m:type m:val="bar"/>
            </m:fPr>
            <m:num>
              <m:sSub>
                <m:e>
                  <m:r>
                    <m:t>x</m:t>
                  </m:r>
                </m:e>
                <m:sub>
                  <m:r>
                    <m:t>t</m:t>
                  </m:r>
                </m:sub>
              </m:sSub>
              <m:r>
                <m:rPr>
                  <m:sty m:val="p"/>
                </m:rPr>
                <m:t>−</m:t>
              </m:r>
              <m:sSub>
                <m:e>
                  <m:r>
                    <m:t>x</m:t>
                  </m:r>
                </m:e>
                <m:sub>
                  <m:r>
                    <m:t>t</m:t>
                  </m:r>
                  <m:r>
                    <m:rPr>
                      <m:sty m:val="p"/>
                    </m:rPr>
                    <m:t>−</m:t>
                  </m:r>
                  <m:r>
                    <m:t>1</m:t>
                  </m:r>
                </m:sub>
              </m:sSub>
            </m:num>
            <m:den>
              <m:sSub>
                <m:e>
                  <m:r>
                    <m:t>x</m:t>
                  </m:r>
                </m:e>
                <m:sub>
                  <m:r>
                    <m:t>t</m:t>
                  </m:r>
                  <m:r>
                    <m:rPr>
                      <m:sty m:val="p"/>
                    </m:rPr>
                    <m:t>−</m:t>
                  </m:r>
                  <m:r>
                    <m:t>1</m:t>
                  </m:r>
                </m:sub>
              </m:sSub>
            </m:den>
          </m:f>
        </m:oMath>
      </m:oMathPara>
    </w:p>
    <w:p>
      <w:pPr>
        <w:pStyle w:val="3"/>
        <w:jc w:val="both"/>
      </w:pPr>
      <w:r>
        <w:t xml:space="preserve">并结合灰色关联分析与政策情景模拟，对未来中长期负担进行推演。基线情景下，疾病负担主要受人口老龄化推动；政策情景下，则通过设定不同强度的风险下降路径，比较各类政策的健康收益。基线增长可写为：</w:t>
      </w:r>
    </w:p>
    <w:p>
      <w:pPr>
        <w:pStyle w:val="3"/>
        <w:jc w:val="center"/>
      </w:pPr>
      <m:oMathPara>
        <m:oMathParaPr>
          <m:jc m:val="center"/>
        </m:oMathParaPr>
        <m:oMath>
          <m:sSub>
            <m:e>
              <m:r>
                <m:t>Y</m:t>
              </m:r>
            </m:e>
            <m:sub>
              <m:r>
                <m:t>t</m:t>
              </m:r>
              <m:r>
                <m:rPr>
                  <m:sty m:val="p"/>
                </m:rPr>
                <m:t>,</m:t>
              </m:r>
              <m:r>
                <m:t>b</m:t>
              </m:r>
              <m:r>
                <m:t>a</m:t>
              </m:r>
              <m:r>
                <m:t>s</m:t>
              </m:r>
              <m:r>
                <m:t>e</m:t>
              </m:r>
            </m:sub>
          </m:sSub>
          <m:r>
            <m:rPr>
              <m:sty m:val="p"/>
            </m:rPr>
            <m:t>=</m:t>
          </m:r>
          <m:sSub>
            <m:e>
              <m:r>
                <m:t>Y</m:t>
              </m:r>
            </m:e>
            <m:sub>
              <m:r>
                <m:t>2023</m:t>
              </m:r>
            </m:sub>
          </m:sSub>
          <m:r>
            <m:rPr>
              <m:sty m:val="p"/>
            </m:rPr>
            <m:t>⋅</m:t>
          </m:r>
          <m:sSup>
            <m:e>
              <m:r>
                <m:t>e</m:t>
              </m:r>
            </m:e>
            <m:sup>
              <m:r>
                <m:t>λ</m:t>
              </m:r>
              <m:r>
                <m:rPr>
                  <m:sty m:val="p"/>
                </m:rPr>
                <m:t>(</m:t>
              </m:r>
              <m:r>
                <m:t>t</m:t>
              </m:r>
              <m:r>
                <m:rPr>
                  <m:sty m:val="p"/>
                </m:rPr>
                <m:t>−</m:t>
              </m:r>
              <m:r>
                <m:t>2023</m:t>
              </m:r>
              <m:r>
                <m:rPr>
                  <m:sty m:val="p"/>
                </m:rPr>
                <m:t>)</m:t>
              </m:r>
            </m:sup>
          </m:sSup>
        </m:oMath>
      </m:oMathPara>
    </w:p>
    <w:p>
      <w:pPr>
        <w:pStyle w:val="3"/>
        <w:jc w:val="both"/>
      </w:pPr>
      <w:r>
        <w:t xml:space="preserve">风险暴露在不同政策情景</w:t>
      </w:r>
      <w:r>
        <w:t xml:space="preserve"> </w:t>
      </w:r>
      <m:oMath>
        <m:r>
          <m:t>j</m:t>
        </m:r>
      </m:oMath>
      <w:r>
        <w:t xml:space="preserve"> </w:t>
      </w:r>
      <w:r>
        <w:t xml:space="preserve">下的演化写为：</w:t>
      </w:r>
    </w:p>
    <w:p>
      <w:pPr>
        <w:pStyle w:val="3"/>
        <w:jc w:val="center"/>
      </w:pPr>
      <m:oMathPara>
        <m:oMathParaPr>
          <m:jc m:val="center"/>
        </m:oMathParaPr>
        <m:oMath>
          <m:sSub>
            <m:e>
              <m:r>
                <m:t>X</m:t>
              </m:r>
            </m:e>
            <m:sub>
              <m:r>
                <m:t>i</m:t>
              </m:r>
              <m:r>
                <m:rPr>
                  <m:sty m:val="p"/>
                </m:rPr>
                <m:t>,</m:t>
              </m:r>
              <m:r>
                <m:t>t</m:t>
              </m:r>
              <m:r>
                <m:rPr>
                  <m:sty m:val="p"/>
                </m:rPr>
                <m:t>,</m:t>
              </m:r>
              <m:r>
                <m:t>j</m:t>
              </m:r>
            </m:sub>
          </m:sSub>
          <m:r>
            <m:rPr>
              <m:sty m:val="p"/>
            </m:rPr>
            <m:t>=</m:t>
          </m:r>
          <m:sSub>
            <m:e>
              <m:r>
                <m:t>X</m:t>
              </m:r>
            </m:e>
            <m:sub>
              <m:r>
                <m:t>i</m:t>
              </m:r>
              <m:r>
                <m:rPr>
                  <m:sty m:val="p"/>
                </m:rPr>
                <m:t>,</m:t>
              </m:r>
              <m:r>
                <m:t>2023</m:t>
              </m:r>
            </m:sub>
          </m:sSub>
          <m:r>
            <m:rPr>
              <m:sty m:val="p"/>
            </m:rPr>
            <m:t>⋅</m:t>
          </m:r>
          <m:r>
            <m:rPr>
              <m:sty m:val="p"/>
            </m:rPr>
            <m:t>(</m:t>
          </m:r>
          <m:r>
            <m:t>1</m:t>
          </m:r>
          <m:r>
            <m:rPr>
              <m:sty m:val="p"/>
            </m:rPr>
            <m:t>−</m:t>
          </m:r>
          <m:sSub>
            <m:e>
              <m:r>
                <m:t>α</m:t>
              </m:r>
            </m:e>
            <m:sub>
              <m:r>
                <m:t>i</m:t>
              </m:r>
              <m:r>
                <m:rPr>
                  <m:sty m:val="p"/>
                </m:rPr>
                <m:t>,</m:t>
              </m:r>
              <m:r>
                <m:t>j</m:t>
              </m:r>
            </m:sub>
          </m:sSub>
          <m:sSup>
            <m:e>
              <m:r>
                <m:rPr>
                  <m:sty m:val="p"/>
                </m:rPr>
                <m:t>)</m:t>
              </m:r>
            </m:e>
            <m:sup>
              <m:r>
                <m:t>t</m:t>
              </m:r>
              <m:r>
                <m:rPr>
                  <m:sty m:val="p"/>
                </m:rPr>
                <m:t>−</m:t>
              </m:r>
              <m:r>
                <m:t>2023</m:t>
              </m:r>
            </m:sup>
          </m:sSup>
        </m:oMath>
      </m:oMathPara>
    </w:p>
    <w:p>
      <w:pPr>
        <w:pStyle w:val="40"/>
        <w:jc w:val="center"/>
      </w:pPr>
      <w:r>
        <w:drawing>
          <wp:inline>
            <wp:extent cx="5270500" cy="3002183"/>
            <wp:effectExtent b="0" l="0" r="0" t="0"/>
            <wp:docPr descr="" title="" id="1" name="Picture"/>
            <a:graphic>
              <a:graphicData uri="http://schemas.openxmlformats.org/drawingml/2006/picture">
                <pic:pic>
                  <pic:nvPicPr>
                    <pic:cNvPr descr="tmp/docs/compact_assets/ch5_panel_policy.png" id="0" name="Picture"/>
                    <pic:cNvPicPr>
                      <a:picLocks noChangeArrowheads="1" noChangeAspect="1"/>
                    </pic:cNvPicPr>
                  </pic:nvPicPr>
                  <pic:blipFill>
                    <a:blip r:embed="rId40"/>
                    <a:stretch>
                      <a:fillRect/>
                    </a:stretch>
                  </pic:blipFill>
                  <pic:spPr bwMode="auto">
                    <a:xfrm>
                      <a:off x="0" y="0"/>
                      <a:ext cx="5270500" cy="3002183"/>
                    </a:xfrm>
                    <a:prstGeom prst="rect">
                      <a:avLst/>
                    </a:prstGeom>
                    <a:noFill/>
                    <a:ln w="9525">
                      <a:noFill/>
                      <a:headEnd/>
                      <a:tailEnd/>
                    </a:ln>
                  </pic:spPr>
                </pic:pic>
              </a:graphicData>
            </a:graphic>
          </wp:inline>
        </w:drawing>
      </w:r>
    </w:p>
    <w:p>
      <w:pPr>
        <w:pStyle w:val="12"/>
        <w:jc w:val="center"/>
      </w:pPr>
      <w:r>
        <w:t xml:space="preserve">图5-3 多政策情景下的疾病负担预测结果</w:t>
      </w:r>
    </w:p>
    <w:p>
      <w:pPr>
        <w:pStyle w:val="3"/>
        <w:jc w:val="both"/>
      </w:pPr>
      <w:r>
        <w:t xml:space="preserve">结果表明，空气污染治理具有最强的广谱效益，对慢性呼吸系统疾病、心血管疾病和恶性肿瘤均能产生明显抑制；慢性病综合管理对心血管疾病的改善最为显著；控烟政策对慢性呼吸系统疾病具有直接而稳定的长期收益；限酒与体重控制主要作用于肿瘤负担。也就是说，静态归因和动态驱动并不完全一致，公共卫生优先序既要考虑</w:t>
      </w:r>
      <w:r>
        <w:t xml:space="preserve">“</w:t>
      </w:r>
      <w:r>
        <w:t xml:space="preserve">过去谁贡献最大</w:t>
      </w:r>
      <w:r>
        <w:t xml:space="preserve">”</w:t>
      </w:r>
      <w:r>
        <w:t xml:space="preserve">，也要考虑</w:t>
      </w:r>
      <w:r>
        <w:t xml:space="preserve">“</w:t>
      </w:r>
      <w:r>
        <w:t xml:space="preserve">现在谁最能改变未来趋势</w:t>
      </w:r>
      <w:r>
        <w:t xml:space="preserve">”</w:t>
      </w:r>
      <w:r>
        <w:t xml:space="preserve">。</w:t>
      </w:r>
    </w:p>
    <w:bookmarkEnd w:id="41"/>
    <w:bookmarkStart w:id="42" w:name="分阶段防控建议"/>
    <w:p>
      <w:pPr>
        <w:pStyle w:val="3"/>
        <w:spacing w:before="80" w:after="80"/>
        <w:jc w:val="left"/>
      </w:pPr>
      <w:r>
        <w:rPr>
          <w:b/>
          <w:sz w:val="26"/>
          <w:rFonts w:eastAsia="黑体"/>
        </w:rPr>
        <w:t xml:space="preserve">5.3 分阶段防控建议</w:t>
      </w:r>
    </w:p>
    <w:p>
      <w:pPr>
        <w:pStyle w:val="3"/>
        <w:jc w:val="both"/>
      </w:pPr>
      <w:r>
        <w:t xml:space="preserve">基于静态归因、动态驱动和政策模拟，本文将核心风险划分为三层：空气污染和血脂异常属于应优先攻坚的第一层风险，烟草使用和高血压属于需要持续强化治理的第二层风险，不健康饮食和高血糖属于应纳入长期常规管理的第三层风险。对应到治理路径上，应形成</w:t>
      </w:r>
      <w:r>
        <w:t xml:space="preserve">“</w:t>
      </w:r>
      <w:r>
        <w:t xml:space="preserve">短期攻坚重点风险、中期扩展系统管理、长期建设整合型慢病治理体系</w:t>
      </w:r>
      <w:r>
        <w:t xml:space="preserve">”</w:t>
      </w:r>
      <w:r>
        <w:t xml:space="preserve">的递阶式策略。</w:t>
      </w:r>
    </w:p>
    <w:p>
      <w:pPr>
        <w:pStyle w:val="3"/>
        <w:jc w:val="both"/>
      </w:pPr>
      <w:r>
        <w:t xml:space="preserve">简言之，问题二给出的核心结论并不是某一项单独政策最优，而是不同疾病需要不同重点，且真正有效的公共卫生治理必须在环境治理、行为干预和慢病管理之间形成组合拳。</w:t>
      </w:r>
    </w:p>
    <w:bookmarkEnd w:id="42"/>
    <w:bookmarkEnd w:id="43"/>
    <w:bookmarkStart w:id="50" w:name="卫生资源缺口识别与优化配置"/>
    <w:p>
      <w:pPr>
        <w:pStyle w:val="3"/>
        <w:spacing w:before="160" w:after="80"/>
        <w:jc w:val="left"/>
      </w:pPr>
      <w:r>
        <w:rPr>
          <w:b/>
          <w:sz w:val="30"/>
          <w:rFonts w:eastAsia="黑体"/>
        </w:rPr>
        <w:t xml:space="preserve">6 卫生资源缺口识别与优化配置</w:t>
      </w:r>
    </w:p>
    <w:bookmarkStart w:id="45" w:name="资源缺口与类型识别"/>
    <w:p>
      <w:pPr>
        <w:pStyle w:val="3"/>
        <w:spacing w:before="80" w:after="80"/>
        <w:jc w:val="left"/>
      </w:pPr>
      <w:r>
        <w:rPr>
          <w:b/>
          <w:sz w:val="26"/>
          <w:rFonts w:eastAsia="黑体"/>
        </w:rPr>
        <w:t xml:space="preserve">6.1 资源缺口与类型识别</w:t>
      </w:r>
    </w:p>
    <w:p>
      <w:pPr>
        <w:pStyle w:val="3"/>
        <w:jc w:val="both"/>
      </w:pPr>
      <w:r>
        <w:t xml:space="preserve">问题三关注</w:t>
      </w:r>
      <w:r>
        <w:t xml:space="preserve">“</w:t>
      </w:r>
      <w:r>
        <w:t xml:space="preserve">资源是否匹配需求</w:t>
      </w:r>
      <w:r>
        <w:t xml:space="preserve">”</w:t>
      </w:r>
      <w:r>
        <w:t xml:space="preserve">。为此，本文构建投入指数、产出指数和理论需求指数，并用资源缺口指标衡量国家或地区的配置状态：</w:t>
      </w:r>
    </w:p>
    <w:p>
      <w:pPr>
        <w:pStyle w:val="3"/>
        <w:jc w:val="center"/>
      </w:pPr>
      <m:oMathPara>
        <m:oMathParaPr>
          <m:jc m:val="center"/>
        </m:oMathParaPr>
        <m:oMath>
          <m:r>
            <m:t>G</m:t>
          </m:r>
          <m:r>
            <m:t>a</m:t>
          </m:r>
          <m:sSub>
            <m:e>
              <m:r>
                <m:t>p</m:t>
              </m:r>
            </m:e>
            <m:sub>
              <m:r>
                <m:t>i</m:t>
              </m:r>
            </m:sub>
          </m:sSub>
          <m:r>
            <m:rPr>
              <m:sty m:val="p"/>
            </m:rPr>
            <m:t>=</m:t>
          </m:r>
          <m:sSubSup>
            <m:e>
              <m:r>
                <m:t>I</m:t>
              </m:r>
            </m:e>
            <m:sub>
              <m:r>
                <m:t>i</m:t>
              </m:r>
            </m:sub>
            <m:sup>
              <m:r>
                <m:t>i</m:t>
              </m:r>
              <m:r>
                <m:t>n</m:t>
              </m:r>
              <m:r>
                <m:t>p</m:t>
              </m:r>
              <m:r>
                <m:t>u</m:t>
              </m:r>
              <m:r>
                <m:t>t</m:t>
              </m:r>
            </m:sup>
          </m:sSubSup>
          <m:r>
            <m:rPr>
              <m:sty m:val="p"/>
            </m:rPr>
            <m:t>−</m:t>
          </m:r>
          <m:sSubSup>
            <m:e>
              <m:r>
                <m:t>I</m:t>
              </m:r>
            </m:e>
            <m:sub>
              <m:r>
                <m:t>i</m:t>
              </m:r>
            </m:sub>
            <m:sup>
              <m:r>
                <m:t>n</m:t>
              </m:r>
              <m:r>
                <m:t>e</m:t>
              </m:r>
              <m:r>
                <m:t>e</m:t>
              </m:r>
              <m:r>
                <m:t>d</m:t>
              </m:r>
            </m:sup>
          </m:sSubSup>
        </m:oMath>
      </m:oMathPara>
    </w:p>
    <w:p>
      <w:pPr>
        <w:pStyle w:val="3"/>
        <w:jc w:val="both"/>
      </w:pPr>
      <w:r>
        <w:t xml:space="preserve">其中，</w:t>
      </w:r>
      <m:oMath>
        <m:sSubSup>
          <m:e>
            <m:r>
              <m:t>I</m:t>
            </m:r>
          </m:e>
          <m:sub>
            <m:r>
              <m:t>i</m:t>
            </m:r>
          </m:sub>
          <m:sup>
            <m:r>
              <m:t>i</m:t>
            </m:r>
            <m:r>
              <m:t>n</m:t>
            </m:r>
            <m:r>
              <m:t>p</m:t>
            </m:r>
            <m:r>
              <m:t>u</m:t>
            </m:r>
            <m:r>
              <m:t>t</m:t>
            </m:r>
          </m:sup>
        </m:sSubSup>
      </m:oMath>
      <w:r>
        <w:t xml:space="preserve"> </w:t>
      </w:r>
      <w:r>
        <w:t xml:space="preserve">表示国家</w:t>
      </w:r>
      <w:r>
        <w:t xml:space="preserve"> </w:t>
      </w:r>
      <m:oMath>
        <m:r>
          <m:t>i</m:t>
        </m:r>
      </m:oMath>
      <w:r>
        <w:t xml:space="preserve"> </w:t>
      </w:r>
      <w:r>
        <w:t xml:space="preserve">的实际资源投入水平，</w:t>
      </w:r>
      <m:oMath>
        <m:sSubSup>
          <m:e>
            <m:r>
              <m:t>I</m:t>
            </m:r>
          </m:e>
          <m:sub>
            <m:r>
              <m:t>i</m:t>
            </m:r>
          </m:sub>
          <m:sup>
            <m:r>
              <m:t>n</m:t>
            </m:r>
            <m:r>
              <m:t>e</m:t>
            </m:r>
            <m:r>
              <m:t>e</m:t>
            </m:r>
            <m:r>
              <m:t>d</m:t>
            </m:r>
          </m:sup>
        </m:sSubSup>
      </m:oMath>
      <w:r>
        <w:t xml:space="preserve"> </w:t>
      </w:r>
      <w:r>
        <w:t xml:space="preserve">表示根据疾病负担推导出的理论资源需求。当</w:t>
      </w:r>
      <w:r>
        <w:t xml:space="preserve"> </w:t>
      </w:r>
      <m:oMath>
        <m:r>
          <m:t>G</m:t>
        </m:r>
        <m:r>
          <m:t>a</m:t>
        </m:r>
        <m:sSub>
          <m:e>
            <m:r>
              <m:t>p</m:t>
            </m:r>
          </m:e>
          <m:sub>
            <m:r>
              <m:t>i</m:t>
            </m:r>
          </m:sub>
        </m:sSub>
        <m:r>
          <m:rPr>
            <m:sty m:val="p"/>
          </m:rPr>
          <m:t>&lt;</m:t>
        </m:r>
        <m:r>
          <m:t>0</m:t>
        </m:r>
      </m:oMath>
      <w:r>
        <w:t xml:space="preserve"> </w:t>
      </w:r>
      <w:r>
        <w:t xml:space="preserve">时，说明资源供给低于理论需求；当</w:t>
      </w:r>
      <w:r>
        <w:t xml:space="preserve"> </w:t>
      </w:r>
      <m:oMath>
        <m:r>
          <m:t>G</m:t>
        </m:r>
        <m:r>
          <m:t>a</m:t>
        </m:r>
        <m:sSub>
          <m:e>
            <m:r>
              <m:t>p</m:t>
            </m:r>
          </m:e>
          <m:sub>
            <m:r>
              <m:t>i</m:t>
            </m:r>
          </m:sub>
        </m:sSub>
        <m:r>
          <m:rPr>
            <m:sty m:val="p"/>
          </m:rPr>
          <m:t>&gt;</m:t>
        </m:r>
        <m:r>
          <m:t>0</m:t>
        </m:r>
      </m:oMath>
      <w:r>
        <w:t xml:space="preserve"> </w:t>
      </w:r>
      <w:r>
        <w:t xml:space="preserve">时，说明资源相对富余。</w:t>
      </w:r>
    </w:p>
    <w:p>
      <w:pPr>
        <w:pStyle w:val="40"/>
        <w:jc w:val="center"/>
      </w:pPr>
      <w:r>
        <w:drawing>
          <wp:inline>
            <wp:extent cx="5270500" cy="1875081"/>
            <wp:effectExtent b="0" l="0" r="0" t="0"/>
            <wp:docPr descr="" title="" id="1" name="Picture"/>
            <a:graphic>
              <a:graphicData uri="http://schemas.openxmlformats.org/drawingml/2006/picture">
                <pic:pic>
                  <pic:nvPicPr>
                    <pic:cNvPr descr="tmp/docs/compact_assets/ch6_panel_gap.png" id="0" name="Picture"/>
                    <pic:cNvPicPr>
                      <a:picLocks noChangeArrowheads="1" noChangeAspect="1"/>
                    </pic:cNvPicPr>
                  </pic:nvPicPr>
                  <pic:blipFill>
                    <a:blip r:embed="rId44"/>
                    <a:stretch>
                      <a:fillRect/>
                    </a:stretch>
                  </pic:blipFill>
                  <pic:spPr bwMode="auto">
                    <a:xfrm>
                      <a:off x="0" y="0"/>
                      <a:ext cx="5270500" cy="1875081"/>
                    </a:xfrm>
                    <a:prstGeom prst="rect">
                      <a:avLst/>
                    </a:prstGeom>
                    <a:noFill/>
                    <a:ln w="9525">
                      <a:noFill/>
                      <a:headEnd/>
                      <a:tailEnd/>
                    </a:ln>
                  </pic:spPr>
                </pic:pic>
              </a:graphicData>
            </a:graphic>
          </wp:inline>
        </w:drawing>
      </w:r>
    </w:p>
    <w:p>
      <w:pPr>
        <w:pStyle w:val="12"/>
        <w:jc w:val="center"/>
      </w:pPr>
      <w:r>
        <w:t xml:space="preserve">图6-1 全球卫生资源缺口的空间格局</w:t>
      </w:r>
    </w:p>
    <w:p>
      <w:pPr>
        <w:pStyle w:val="3"/>
        <w:jc w:val="both"/>
      </w:pPr>
      <w:r>
        <w:t xml:space="preserve">图6-1 显示，全球资源缺口具有明显的空间集中性，最严重的短板主要分布在 AFRO 地区。与此相对应，全球高收入经济体大多处于资源富余或基本平衡区间。这意味着全球卫生资源问题不是</w:t>
      </w:r>
      <w:r>
        <w:t xml:space="preserve">“</w:t>
      </w:r>
      <w:r>
        <w:t xml:space="preserve">平均不足</w:t>
      </w:r>
      <w:r>
        <w:t xml:space="preserve">”</w:t>
      </w:r>
      <w:r>
        <w:t xml:space="preserve">，而是</w:t>
      </w:r>
      <w:r>
        <w:t xml:space="preserve">“</w:t>
      </w:r>
      <w:r>
        <w:t xml:space="preserve">结构性不足</w:t>
      </w:r>
      <w:r>
        <w:t xml:space="preserve">”</w:t>
      </w:r>
      <w:r>
        <w:t xml:space="preserve">。</w:t>
      </w:r>
    </w:p>
    <w:bookmarkEnd w:id="45"/>
    <w:bookmarkStart w:id="48" w:name="配置绩效评估与再分配模型"/>
    <w:p>
      <w:pPr>
        <w:pStyle w:val="3"/>
        <w:spacing w:before="80" w:after="80"/>
        <w:jc w:val="left"/>
      </w:pPr>
      <w:r>
        <w:rPr>
          <w:b/>
          <w:sz w:val="26"/>
          <w:rFonts w:eastAsia="黑体"/>
        </w:rPr>
        <w:t xml:space="preserve">6.2 配置绩效评估与再分配模型</w:t>
      </w:r>
    </w:p>
    <w:p>
      <w:pPr>
        <w:pStyle w:val="3"/>
        <w:jc w:val="both"/>
      </w:pPr>
      <w:r>
        <w:t xml:space="preserve">仅识别缺口仍不足以评估配置绩效，因此本文进一步以投入指数和产出指数的中位数为边界，构建高投入高产出、低投入高产出、高投入低产出和低投入低产出四象限。结果显示，一部分地区属于资源不足但效率尚可的</w:t>
      </w:r>
      <w:r>
        <w:t xml:space="preserve">“</w:t>
      </w:r>
      <w:r>
        <w:t xml:space="preserve">低投入高产出</w:t>
      </w:r>
      <w:r>
        <w:t xml:space="preserve">”</w:t>
      </w:r>
      <w:r>
        <w:t xml:space="preserve">类型，另一部分地区则属于投入并不少但产出偏弱的</w:t>
      </w:r>
      <w:r>
        <w:t xml:space="preserve">“</w:t>
      </w:r>
      <w:r>
        <w:t xml:space="preserve">高投入低产出</w:t>
      </w:r>
      <w:r>
        <w:t xml:space="preserve">”</w:t>
      </w:r>
      <w:r>
        <w:t xml:space="preserve">类型，说明单纯增加资源并不一定自动转化为健康结果改善。</w:t>
      </w:r>
    </w:p>
    <w:p>
      <w:pPr>
        <w:pStyle w:val="3"/>
        <w:jc w:val="both"/>
      </w:pPr>
      <w:r>
        <w:t xml:space="preserve">在优化阶段，本文以人均卫生支出</w:t>
      </w:r>
      <w:r>
        <w:t xml:space="preserve"> </w:t>
      </w:r>
      <m:oMath>
        <m:r>
          <m:t>x</m:t>
        </m:r>
      </m:oMath>
      <w:r>
        <w:t xml:space="preserve"> </w:t>
      </w:r>
      <w:r>
        <w:t xml:space="preserve">作为可调配资源代理，并为不同象限拟合对数生产函数：</w:t>
      </w:r>
    </w:p>
    <w:p>
      <w:pPr>
        <w:pStyle w:val="3"/>
        <w:jc w:val="center"/>
      </w:pPr>
      <m:oMathPara>
        <m:oMathParaPr>
          <m:jc m:val="center"/>
        </m:oMathParaPr>
        <m:oMath>
          <m:sSub>
            <m:e>
              <m:r>
                <m:t>f</m:t>
              </m:r>
            </m:e>
            <m:sub>
              <m:r>
                <m:t>k</m:t>
              </m:r>
            </m:sub>
          </m:sSub>
          <m:r>
            <m:rPr>
              <m:sty m:val="p"/>
            </m:rPr>
            <m:t>(</m:t>
          </m:r>
          <m:r>
            <m:t>x</m:t>
          </m:r>
          <m:r>
            <m:rPr>
              <m:sty m:val="p"/>
            </m:rPr>
            <m:t>)</m:t>
          </m:r>
          <m:r>
            <m:rPr>
              <m:sty m:val="p"/>
            </m:rPr>
            <m:t>=</m:t>
          </m:r>
          <m:sSub>
            <m:e>
              <m:r>
                <m:t>a</m:t>
              </m:r>
            </m:e>
            <m:sub>
              <m:r>
                <m:t>k</m:t>
              </m:r>
            </m:sub>
          </m:sSub>
          <m:r>
            <m:rPr>
              <m:nor/>
              <m:sty m:val="p"/>
            </m:rPr>
            <m:t>ln</m:t>
          </m:r>
          <m:r>
            <m:rPr>
              <m:sty m:val="p"/>
            </m:rPr>
            <m:t>(</m:t>
          </m:r>
          <m:r>
            <m:t>x</m:t>
          </m:r>
          <m:r>
            <m:rPr>
              <m:sty m:val="p"/>
            </m:rPr>
            <m:t>+</m:t>
          </m:r>
          <m:r>
            <m:t>1</m:t>
          </m:r>
          <m:r>
            <m:rPr>
              <m:sty m:val="p"/>
            </m:rPr>
            <m:t>)</m:t>
          </m:r>
          <m:r>
            <m:rPr>
              <m:sty m:val="p"/>
            </m:rPr>
            <m:t>+</m:t>
          </m:r>
          <m:sSub>
            <m:e>
              <m:r>
                <m:t>b</m:t>
              </m:r>
            </m:e>
            <m:sub>
              <m:r>
                <m:t>k</m:t>
              </m:r>
            </m:sub>
          </m:sSub>
          <m:r>
            <m:rPr>
              <m:sty m:val="p"/>
            </m:rPr>
            <m:t>,</m:t>
          </m:r>
          <m:r>
            <m:t> </m:t>
          </m:r>
          <m:r>
            <m:t>k</m:t>
          </m:r>
          <m:r>
            <m:rPr>
              <m:sty m:val="p"/>
            </m:rPr>
            <m:t>∈</m:t>
          </m:r>
          <m:r>
            <m:rPr>
              <m:sty m:val="p"/>
            </m:rPr>
            <m:t>{</m:t>
          </m:r>
          <m:r>
            <m:t>Q</m:t>
          </m:r>
          <m:r>
            <m:t>1</m:t>
          </m:r>
          <m:r>
            <m:rPr>
              <m:sty m:val="p"/>
            </m:rPr>
            <m:t>,</m:t>
          </m:r>
          <m:r>
            <m:t>Q</m:t>
          </m:r>
          <m:r>
            <m:t>2</m:t>
          </m:r>
          <m:r>
            <m:rPr>
              <m:sty m:val="p"/>
            </m:rPr>
            <m:t>,</m:t>
          </m:r>
          <m:r>
            <m:t>Q</m:t>
          </m:r>
          <m:r>
            <m:t>3</m:t>
          </m:r>
          <m:r>
            <m:rPr>
              <m:sty m:val="p"/>
            </m:rPr>
            <m:t>,</m:t>
          </m:r>
          <m:r>
            <m:t>Q</m:t>
          </m:r>
          <m:r>
            <m:t>4</m:t>
          </m:r>
          <m:r>
            <m:rPr>
              <m:sty m:val="p"/>
            </m:rPr>
            <m:t>}</m:t>
          </m:r>
        </m:oMath>
      </m:oMathPara>
    </w:p>
    <w:p>
      <w:pPr>
        <w:pStyle w:val="3"/>
        <w:jc w:val="both"/>
      </w:pPr>
      <w:r>
        <w:t xml:space="preserve">在此基础上分别构建效率优先和公平优先两类优化目标。效率优先目标为：</w:t>
      </w:r>
    </w:p>
    <w:p>
      <w:pPr>
        <w:pStyle w:val="3"/>
        <w:jc w:val="center"/>
      </w:pPr>
      <m:oMathPara>
        <m:oMathParaPr>
          <m:jc m:val="center"/>
        </m:oMathParaPr>
        <m:oMath>
          <m:limLow>
            <m:e>
              <m:r>
                <m:rPr>
                  <m:nor/>
                  <m:sty m:val="p"/>
                </m:rPr>
                <m:t>max</m:t>
              </m:r>
            </m:e>
            <m:lim>
              <m:r>
                <m:rPr>
                  <m:sty m:val="b"/>
                </m:rPr>
                <m:t>x</m:t>
              </m:r>
            </m:lim>
          </m:limLow>
          <m:nary>
            <m:naryPr>
              <m:chr m:val="∑"/>
              <m:limLoc m:val="undOvr"/>
              <m:subHide m:val="0"/>
              <m:supHide m:val="0"/>
            </m:naryPr>
            <m:sub>
              <m:r>
                <m:t>i</m:t>
              </m:r>
              <m:r>
                <m:rPr>
                  <m:sty m:val="p"/>
                </m:rPr>
                <m:t>=</m:t>
              </m:r>
              <m:r>
                <m:t>1</m:t>
              </m:r>
            </m:sub>
            <m:sup>
              <m:r>
                <m:t>n</m:t>
              </m:r>
            </m:sup>
            <m:e>
              <m:sSub>
                <m:e>
                  <m:r>
                    <m:t>f</m:t>
                  </m:r>
                </m:e>
                <m:sub>
                  <m:r>
                    <m:t>k</m:t>
                  </m:r>
                  <m:r>
                    <m:rPr>
                      <m:sty m:val="p"/>
                    </m:rPr>
                    <m:t>(</m:t>
                  </m:r>
                  <m:r>
                    <m:t>i</m:t>
                  </m:r>
                  <m:r>
                    <m:rPr>
                      <m:sty m:val="p"/>
                    </m:rPr>
                    <m:t>)</m:t>
                  </m:r>
                </m:sub>
              </m:sSub>
            </m:e>
          </m:nary>
          <m:r>
            <m:rPr>
              <m:sty m:val="p"/>
            </m:rPr>
            <m:t>(</m:t>
          </m:r>
          <m:sSub>
            <m:e>
              <m:r>
                <m:t>x</m:t>
              </m:r>
            </m:e>
            <m:sub>
              <m:r>
                <m:t>i</m:t>
              </m:r>
            </m:sub>
          </m:sSub>
          <m:r>
            <m:rPr>
              <m:sty m:val="p"/>
            </m:rPr>
            <m:t>)</m:t>
          </m:r>
          <m:r>
            <m:t> </m:t>
          </m:r>
          <m:r>
            <m:rPr>
              <m:nor/>
              <m:sty m:val="p"/>
            </m:rPr>
            <m:t>s.t.</m:t>
          </m:r>
          <m:r>
            <m:t> </m:t>
          </m:r>
          <m:nary>
            <m:naryPr>
              <m:chr m:val="∑"/>
              <m:limLoc m:val="undOvr"/>
              <m:subHide m:val="0"/>
              <m:supHide m:val="0"/>
            </m:naryPr>
            <m:sub>
              <m:r>
                <m:t>i</m:t>
              </m:r>
              <m:r>
                <m:rPr>
                  <m:sty m:val="p"/>
                </m:rPr>
                <m:t>=</m:t>
              </m:r>
              <m:r>
                <m:t>1</m:t>
              </m:r>
            </m:sub>
            <m:sup>
              <m:r>
                <m:t>n</m:t>
              </m:r>
            </m:sup>
            <m:e>
              <m:sSub>
                <m:e>
                  <m:r>
                    <m:t>x</m:t>
                  </m:r>
                </m:e>
                <m:sub>
                  <m:r>
                    <m:t>i</m:t>
                  </m:r>
                </m:sub>
              </m:sSub>
            </m:e>
          </m:nary>
          <m:r>
            <m:rPr>
              <m:sty m:val="p"/>
            </m:rPr>
            <m:t>≤</m:t>
          </m:r>
          <m:r>
            <m:t>B</m:t>
          </m:r>
        </m:oMath>
      </m:oMathPara>
    </w:p>
    <w:p>
      <w:pPr>
        <w:pStyle w:val="3"/>
        <w:jc w:val="both"/>
      </w:pPr>
      <w:r>
        <w:t xml:space="preserve">公平优先目标为：</w:t>
      </w:r>
    </w:p>
    <w:p>
      <w:pPr>
        <w:pStyle w:val="3"/>
        <w:jc w:val="center"/>
      </w:pPr>
      <m:oMathPara>
        <m:oMathParaPr>
          <m:jc m:val="center"/>
        </m:oMathParaPr>
        <m:oMath>
          <m:limLow>
            <m:e>
              <m:r>
                <m:rPr>
                  <m:nor/>
                  <m:sty m:val="p"/>
                </m:rPr>
                <m:t>max</m:t>
              </m:r>
            </m:e>
            <m:lim>
              <m:r>
                <m:rPr>
                  <m:sty m:val="b"/>
                </m:rPr>
                <m:t>x</m:t>
              </m:r>
              <m:r>
                <m:rPr>
                  <m:sty m:val="p"/>
                </m:rPr>
                <m:t>,</m:t>
              </m:r>
              <m:r>
                <m:t>τ</m:t>
              </m:r>
            </m:lim>
          </m:limLow>
          <m:r>
            <m:t>τ</m:t>
          </m:r>
          <m:r>
            <m:t> </m:t>
          </m:r>
          <m:r>
            <m:rPr>
              <m:nor/>
              <m:sty m:val="p"/>
            </m:rPr>
            <m:t>s.t.</m:t>
          </m:r>
          <m:r>
            <m:t> </m:t>
          </m:r>
          <m:sSub>
            <m:e>
              <m:r>
                <m:t>f</m:t>
              </m:r>
            </m:e>
            <m:sub>
              <m:r>
                <m:t>k</m:t>
              </m:r>
              <m:r>
                <m:rPr>
                  <m:sty m:val="p"/>
                </m:rPr>
                <m:t>(</m:t>
              </m:r>
              <m:r>
                <m:t>i</m:t>
              </m:r>
              <m:r>
                <m:rPr>
                  <m:sty m:val="p"/>
                </m:rPr>
                <m:t>)</m:t>
              </m:r>
            </m:sub>
          </m:sSub>
          <m:r>
            <m:rPr>
              <m:sty m:val="p"/>
            </m:rPr>
            <m:t>(</m:t>
          </m:r>
          <m:sSub>
            <m:e>
              <m:r>
                <m:t>x</m:t>
              </m:r>
            </m:e>
            <m:sub>
              <m:r>
                <m:t>i</m:t>
              </m:r>
            </m:sub>
          </m:sSub>
          <m:r>
            <m:rPr>
              <m:sty m:val="p"/>
            </m:rPr>
            <m:t>)</m:t>
          </m:r>
          <m:r>
            <m:rPr>
              <m:sty m:val="p"/>
            </m:rPr>
            <m:t>≥</m:t>
          </m:r>
          <m:r>
            <m:t>τ</m:t>
          </m:r>
          <m:r>
            <m:rPr>
              <m:sty m:val="p"/>
            </m:rPr>
            <m:t>,</m:t>
          </m:r>
          <m:r>
            <m:t> </m:t>
          </m:r>
          <m:nary>
            <m:naryPr>
              <m:chr m:val="∑"/>
              <m:limLoc m:val="undOvr"/>
              <m:subHide m:val="0"/>
              <m:supHide m:val="0"/>
            </m:naryPr>
            <m:sub>
              <m:r>
                <m:t>i</m:t>
              </m:r>
              <m:r>
                <m:rPr>
                  <m:sty m:val="p"/>
                </m:rPr>
                <m:t>=</m:t>
              </m:r>
              <m:r>
                <m:t>1</m:t>
              </m:r>
            </m:sub>
            <m:sup>
              <m:r>
                <m:t>n</m:t>
              </m:r>
            </m:sup>
            <m:e>
              <m:sSub>
                <m:e>
                  <m:r>
                    <m:t>x</m:t>
                  </m:r>
                </m:e>
                <m:sub>
                  <m:r>
                    <m:t>i</m:t>
                  </m:r>
                </m:sub>
              </m:sSub>
            </m:e>
          </m:nary>
          <m:r>
            <m:rPr>
              <m:sty m:val="p"/>
            </m:rPr>
            <m:t>≤</m:t>
          </m:r>
          <m:r>
            <m:t>B</m:t>
          </m:r>
        </m:oMath>
      </m:oMathPara>
    </w:p>
    <w:p>
      <w:pPr>
        <w:pStyle w:val="40"/>
        <w:jc w:val="center"/>
      </w:pPr>
      <w:r>
        <w:drawing>
          <wp:inline>
            <wp:extent cx="5270500" cy="1875081"/>
            <wp:effectExtent b="0" l="0" r="0" t="0"/>
            <wp:docPr descr="" title="" id="1" name="Picture"/>
            <a:graphic>
              <a:graphicData uri="http://schemas.openxmlformats.org/drawingml/2006/picture">
                <pic:pic>
                  <pic:nvPicPr>
                    <pic:cNvPr descr="tmp/docs/compact_assets/ch6_panel_system.png" id="0" name="Picture"/>
                    <pic:cNvPicPr>
                      <a:picLocks noChangeArrowheads="1" noChangeAspect="1"/>
                    </pic:cNvPicPr>
                  </pic:nvPicPr>
                  <pic:blipFill>
                    <a:blip r:embed="rId46"/>
                    <a:stretch>
                      <a:fillRect/>
                    </a:stretch>
                  </pic:blipFill>
                  <pic:spPr bwMode="auto">
                    <a:xfrm>
                      <a:off x="0" y="0"/>
                      <a:ext cx="5270500" cy="1875081"/>
                    </a:xfrm>
                    <a:prstGeom prst="rect">
                      <a:avLst/>
                    </a:prstGeom>
                    <a:noFill/>
                    <a:ln w="9525">
                      <a:noFill/>
                      <a:headEnd/>
                      <a:tailEnd/>
                    </a:ln>
                  </pic:spPr>
                </pic:pic>
              </a:graphicData>
            </a:graphic>
          </wp:inline>
        </w:drawing>
      </w:r>
    </w:p>
    <w:p>
      <w:pPr>
        <w:pStyle w:val="12"/>
        <w:jc w:val="center"/>
      </w:pPr>
      <w:r>
        <w:t xml:space="preserve">图6-2 全球与中国的资源配置绩效比较</w:t>
      </w:r>
    </w:p>
    <w:p>
      <w:pPr>
        <w:pStyle w:val="40"/>
        <w:jc w:val="center"/>
      </w:pPr>
      <w:r>
        <w:drawing>
          <wp:inline>
            <wp:extent cx="5270500" cy="1875081"/>
            <wp:effectExtent b="0" l="0" r="0" t="0"/>
            <wp:docPr descr="" title="" id="1" name="Picture"/>
            <a:graphic>
              <a:graphicData uri="http://schemas.openxmlformats.org/drawingml/2006/picture">
                <pic:pic>
                  <pic:nvPicPr>
                    <pic:cNvPr descr="tmp/docs/compact_assets/ch6_panel_optimization.png" id="0" name="Picture"/>
                    <pic:cNvPicPr>
                      <a:picLocks noChangeArrowheads="1" noChangeAspect="1"/>
                    </pic:cNvPicPr>
                  </pic:nvPicPr>
                  <pic:blipFill>
                    <a:blip r:embed="rId47"/>
                    <a:stretch>
                      <a:fillRect/>
                    </a:stretch>
                  </pic:blipFill>
                  <pic:spPr bwMode="auto">
                    <a:xfrm>
                      <a:off x="0" y="0"/>
                      <a:ext cx="5270500" cy="1875081"/>
                    </a:xfrm>
                    <a:prstGeom prst="rect">
                      <a:avLst/>
                    </a:prstGeom>
                    <a:noFill/>
                    <a:ln w="9525">
                      <a:noFill/>
                      <a:headEnd/>
                      <a:tailEnd/>
                    </a:ln>
                  </pic:spPr>
                </pic:pic>
              </a:graphicData>
            </a:graphic>
          </wp:inline>
        </w:drawing>
      </w:r>
    </w:p>
    <w:p>
      <w:pPr>
        <w:pStyle w:val="12"/>
        <w:jc w:val="center"/>
      </w:pPr>
      <w:r>
        <w:t xml:space="preserve">图6-3 效率优先与公平优先情景下的再分配结果</w:t>
      </w:r>
    </w:p>
    <w:p>
      <w:pPr>
        <w:pStyle w:val="3"/>
        <w:jc w:val="both"/>
      </w:pPr>
      <w:r>
        <w:t xml:space="preserve">结果表明，全球样本中的短板主要集中于 AFRO 地区，中国省级样本中的短板则主要集中于中西部地区。效率优先情景更倾向于把资源投向边际收益更高的地区，公平优先情景则会把资源定向投向最弱地区。换言之，两类目标都会支持</w:t>
      </w:r>
      <w:r>
        <w:t xml:space="preserve">“</w:t>
      </w:r>
      <w:r>
        <w:t xml:space="preserve">补短板</w:t>
      </w:r>
      <w:r>
        <w:t xml:space="preserve">”</w:t>
      </w:r>
      <w:r>
        <w:t xml:space="preserve">，但支持的对象范围和调配强度并不相同。</w:t>
      </w:r>
    </w:p>
    <w:bookmarkEnd w:id="48"/>
    <w:bookmarkStart w:id="49" w:name="治理含义与政策建议"/>
    <w:p>
      <w:pPr>
        <w:pStyle w:val="3"/>
        <w:spacing w:before="80" w:after="80"/>
        <w:jc w:val="left"/>
      </w:pPr>
      <w:r>
        <w:rPr>
          <w:b/>
          <w:sz w:val="26"/>
          <w:rFonts w:eastAsia="黑体"/>
        </w:rPr>
        <w:t xml:space="preserve">6.3 治理含义与政策建议</w:t>
      </w:r>
    </w:p>
    <w:p>
      <w:pPr>
        <w:pStyle w:val="3"/>
        <w:jc w:val="both"/>
      </w:pPr>
      <w:r>
        <w:t xml:space="preserve">从治理角度看，低投入低产出地区应优先补足基础卫生设施、基层医生和母婴健康服务，属于</w:t>
      </w:r>
      <w:r>
        <w:t xml:space="preserve">“</w:t>
      </w:r>
      <w:r>
        <w:t xml:space="preserve">增投与提效并行</w:t>
      </w:r>
      <w:r>
        <w:t xml:space="preserve">”</w:t>
      </w:r>
      <w:r>
        <w:t xml:space="preserve">的重点对象；高投入低产出地区的核心问题并非绝对资源不足，而是资源转化效率不高，应重点优化基层布局、财政绩效和服务转化机制；低投入高产出地区则应总结其基层网络、预防优先和成本控制经验，作为可复制的治理样本。对于中国而言，中西部补短板是效率目标和公平目标的共同方向，只是公平优先更强调对最弱省份的定向扶持。</w:t>
      </w:r>
    </w:p>
    <w:p>
      <w:pPr>
        <w:pStyle w:val="3"/>
        <w:jc w:val="both"/>
      </w:pPr>
      <w:r>
        <w:t xml:space="preserve">问题三最终说明，卫生资源优化并不是简单追求</w:t>
      </w:r>
      <w:r>
        <w:t xml:space="preserve">“</w:t>
      </w:r>
      <w:r>
        <w:t xml:space="preserve">平均分配</w:t>
      </w:r>
      <w:r>
        <w:t xml:space="preserve">”</w:t>
      </w:r>
      <w:r>
        <w:t xml:space="preserve">，而是在识别真实需求和边际收益的基础上，通过分类治理提高整体健康产出，并守住最弱地区的公平底线。</w:t>
      </w:r>
    </w:p>
    <w:bookmarkEnd w:id="49"/>
    <w:bookmarkEnd w:id="50"/>
    <w:bookmarkStart w:id="51" w:name="参考文献"/>
    <w:p>
      <w:pPr>
        <w:pStyle w:val="3"/>
        <w:spacing w:before="160" w:after="80"/>
        <w:jc w:val="left"/>
      </w:pPr>
      <w:r>
        <w:rPr>
          <w:b/>
          <w:sz w:val="30"/>
          <w:rFonts w:eastAsia="黑体"/>
        </w:rPr>
        <w:t xml:space="preserve">参考文献</w:t>
      </w:r>
    </w:p>
    <w:p>
      <w:pPr>
        <w:pStyle w:val="3"/>
        <w:jc w:val="both"/>
      </w:pPr>
      <w:r>
        <w:t xml:space="preserve">[1] Omran A R. The epidemiologic transition: a theory of the epidemiology of population change[J]. The Milbank Quarterly, 1971, 49(4): 509-538.</w:t>
      </w:r>
    </w:p>
    <w:p>
      <w:pPr>
        <w:pStyle w:val="3"/>
        <w:jc w:val="both"/>
      </w:pPr>
      <w:r>
        <w:t xml:space="preserve">[2] Kulldorff M, Heffernan R, Hartman J, et al. A space-time permutation scan statistic for disease outbreak detection[J]. PLoS Medicine, 2005, 2(3): e59.</w:t>
      </w:r>
    </w:p>
    <w:p>
      <w:pPr>
        <w:pStyle w:val="3"/>
        <w:jc w:val="both"/>
      </w:pPr>
      <w:r>
        <w:t xml:space="preserve">[3] Deng J. Control problems of grey systems[J]. Systems &amp; Control Letters, 1982, 1(5): 288-294.</w:t>
      </w:r>
    </w:p>
    <w:p>
      <w:pPr>
        <w:pStyle w:val="3"/>
        <w:jc w:val="both"/>
      </w:pPr>
      <w:r>
        <w:t xml:space="preserve">[4] Breiman L. Random forests[J]. Machine Learning, 2001, 45(1): 5-32.</w:t>
      </w:r>
    </w:p>
    <w:p>
      <w:pPr>
        <w:pStyle w:val="3"/>
        <w:jc w:val="both"/>
      </w:pPr>
      <w:r>
        <w:t xml:space="preserve">[5] World Health Organization. Noncommunicable diseases: progress monitor 2020[R]. Geneva: World Health Organization, 2020.</w:t>
      </w:r>
    </w:p>
    <w:p>
      <w:pPr>
        <w:pStyle w:val="3"/>
        <w:jc w:val="both"/>
      </w:pPr>
      <w:r>
        <w:t xml:space="preserve">[6] Institute for Health Metrics and Evaluation. Global Burden of Disease Results Tool[DB/OL]. Seattle: IHME, 2024[2026-04-22]. https://vizhub.healthdata.org/gbd-results/.</w:t>
      </w:r>
    </w:p>
    <w:p>
      <w:pPr>
        <w:pStyle w:val="3"/>
        <w:jc w:val="both"/>
      </w:pPr>
      <w:r>
        <w:t xml:space="preserve">[7] World Bank. World Development Indicators[DB/OL]. Washington, DC: World Bank, 2024[2026-04-22]. https://databank.worldbank.org/source/world-development-indicators.</w:t>
      </w:r>
    </w:p>
    <w:p>
      <w:pPr>
        <w:pStyle w:val="3"/>
        <w:jc w:val="both"/>
      </w:pPr>
      <w:r>
        <w:t xml:space="preserve">[8] World Bank. Health Nutrition and Population Statistics[DB/OL]. Washington, DC: World Bank, 2024[2026-04-22]. https://databank.worldbank.org/source/health-nutrition-and-population-statistics.</w:t>
      </w:r>
    </w:p>
    <w:p>
      <w:pPr>
        <w:pStyle w:val="3"/>
        <w:jc w:val="both"/>
      </w:pPr>
      <w:r>
        <w:t xml:space="preserve">[9] 国家统计局. 中国统计年鉴[DB/OL]. 北京: 中国统计出版社, 2024[2026-04-22]. https://www.stats.gov.cn/sj/ndsj/.</w:t>
      </w:r>
    </w:p>
    <w:p>
      <w:pPr>
        <w:pStyle w:val="3"/>
        <w:jc w:val="both"/>
      </w:pPr>
      <w:r>
        <w:t xml:space="preserve">[10] Rawls J. A Theory of Justice[M]. Cambridge, MA: Harvard University Press, 1971.</w:t>
      </w:r>
    </w:p>
    <w:bookmarkEnd w:id="51"/>
    <w:sectPr>
      <w:footerReference r:id="rId10" w:type="default"/>
      <w:pgSz w:h="16838" w:w="11906"/>
      <w:pgMar w:bottom="1440" w:footer="992" w:gutter="0" w:header="851" w:left="1800" w:right="1800" w:top="1440"/>
      <w:cols w:num="1" w:space="425"/>
      <w:titlePg/>
      <w:docGrid w:charSpace="0"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华文楷体">
    <w:panose1 w:val="02010600040101010101"/>
    <w:charset w:val="86"/>
    <w:family w:val="auto"/>
    <w:pitch w:val="default"/>
    <w:sig w:usb0="80000287" w:usb1="280F3C52" w:usb2="00000016" w:usb3="00000000" w:csb0="0004001F"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等线 Light">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13619">
    <w:pPr>
      <w:pStyle w:val="15"/>
      <w:jc w:val="right"/>
      <w:rPr>
        <w:rFonts w:hint="eastAsia"/>
      </w:rPr>
    </w:pPr>
  </w:p>
  <w:p w14:paraId="43552949">
    <w:pPr>
      <w:pStyle w:val="15"/>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2104503"/>
      <w:docPartObj>
        <w:docPartGallery w:val="autotext"/>
      </w:docPartObj>
    </w:sdtPr>
    <w:sdtContent>
      <w:p w14:paraId="239BE417">
        <w:pPr>
          <w:pStyle w:val="15"/>
          <w:jc w:val="right"/>
          <w:rPr>
            <w:rFonts w:hint="eastAsia"/>
          </w:rPr>
        </w:pPr>
        <w:r>
          <w:rPr>
            <w:rFonts w:hint="eastAsia"/>
          </w:rPr>
          <w:t>．</w:t>
        </w:r>
        <w:r>
          <w:fldChar w:fldCharType="begin"/>
        </w:r>
        <w:r>
          <w:instrText xml:space="preserve">PAGE   \* MERGEFORMAT</w:instrText>
        </w:r>
        <w:r>
          <w:fldChar w:fldCharType="separate"/>
        </w:r>
        <w:r>
          <w:rPr>
            <w:lang w:val="zh-CN"/>
          </w:rPr>
          <w:t>2</w:t>
        </w:r>
        <w:r>
          <w:fldChar w:fldCharType="end"/>
        </w:r>
        <w:r>
          <w:rPr>
            <w:rFonts w:hint="eastAsia"/>
          </w:rPr>
          <w:t>．</w:t>
        </w:r>
      </w:p>
    </w:sdtContent>
  </w:sdt>
  <w:p w14:paraId="2E8A1A6D">
    <w:pPr>
      <w:pStyle w:val="15"/>
      <w:rPr>
        <w:rFonts w:hint="eastAsia"/>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129B0ABC"/>
    <w:multiLevelType w:val="multilevel"/>
    <w:tmpl w:val="129B0ABC"/>
    <w:lvl w:ilvl="0" w:tentative="0">
      <w:start w:val="1"/>
      <w:numFmt w:val="decimal"/>
      <w:pStyle w:val="2"/>
      <w:suff w:val="space"/>
      <w:lvlText w:val="第%1章"/>
      <w:lvlJc w:val="left"/>
      <w:pPr>
        <w:ind w:firstLine="0" w:left="0"/>
      </w:pPr>
      <w:rPr>
        <w:rFonts w:hint="eastAsia"/>
      </w:rPr>
    </w:lvl>
    <w:lvl w:ilvl="1" w:tentative="0">
      <w:start w:val="1"/>
      <w:numFmt w:val="decimal"/>
      <w:pStyle w:val="4"/>
      <w:suff w:val="space"/>
      <w:lvlText w:val="%1.%2"/>
      <w:lvlJc w:val="left"/>
      <w:pPr>
        <w:ind w:firstLine="0" w:left="0"/>
      </w:pPr>
      <w:rPr>
        <w:rFonts w:hint="eastAsia"/>
      </w:rPr>
    </w:lvl>
    <w:lvl w:ilvl="2" w:tentative="0">
      <w:start w:val="1"/>
      <w:numFmt w:val="decimal"/>
      <w:pStyle w:val="5"/>
      <w:suff w:val="space"/>
      <w:lvlText w:val="%1.%2.%3"/>
      <w:lvlJc w:val="left"/>
      <w:pPr>
        <w:ind w:firstLine="0" w:left="0"/>
      </w:pPr>
      <w:rPr>
        <w:rFonts w:hint="eastAsia"/>
      </w:rPr>
    </w:lvl>
    <w:lvl w:ilvl="3" w:tentative="0">
      <w:start w:val="1"/>
      <w:numFmt w:val="decimal"/>
      <w:pStyle w:val="6"/>
      <w:suff w:val="space"/>
      <w:lvlText w:val="%4."/>
      <w:lvlJc w:val="left"/>
      <w:pPr>
        <w:ind w:firstLine="0" w:left="0"/>
      </w:pPr>
      <w:rPr>
        <w:rFonts w:hint="eastAsia"/>
      </w:rPr>
    </w:lvl>
    <w:lvl w:ilvl="4" w:tentative="0">
      <w:start w:val="1"/>
      <w:numFmt w:val="decimal"/>
      <w:pStyle w:val="7"/>
      <w:suff w:val="space"/>
      <w:lvlText w:val="%5）"/>
      <w:lvlJc w:val="left"/>
      <w:pPr>
        <w:ind w:firstLine="0" w:left="0"/>
      </w:pPr>
      <w:rPr>
        <w:rFonts w:hint="eastAsia"/>
      </w:rPr>
    </w:lvl>
    <w:lvl w:ilvl="5" w:tentative="0">
      <w:start w:val="1"/>
      <w:numFmt w:val="upperLetter"/>
      <w:pStyle w:val="8"/>
      <w:suff w:val="space"/>
      <w:lvlText w:val="%6."/>
      <w:lvlJc w:val="left"/>
      <w:pPr>
        <w:ind w:firstLine="0" w:left="0"/>
      </w:pPr>
      <w:rPr>
        <w:rFonts w:hint="eastAsia"/>
      </w:rPr>
    </w:lvl>
    <w:lvl w:ilvl="6" w:tentative="0">
      <w:start w:val="1"/>
      <w:numFmt w:val="lowerLetter"/>
      <w:pStyle w:val="9"/>
      <w:suff w:val="space"/>
      <w:lvlText w:val="%7）"/>
      <w:lvlJc w:val="left"/>
      <w:pPr>
        <w:ind w:firstLine="0" w:left="0"/>
      </w:pPr>
      <w:rPr>
        <w:rFonts w:hint="eastAsia"/>
      </w:rPr>
    </w:lvl>
    <w:lvl w:ilvl="7" w:tentative="0">
      <w:start w:val="1"/>
      <w:numFmt w:val="upperRoman"/>
      <w:pStyle w:val="10"/>
      <w:suff w:val="space"/>
      <w:lvlText w:val="%8."/>
      <w:lvlJc w:val="left"/>
      <w:pPr>
        <w:ind w:firstLine="0" w:left="0"/>
      </w:pPr>
      <w:rPr>
        <w:rFonts w:hint="eastAsia"/>
      </w:rPr>
    </w:lvl>
    <w:lvl w:ilvl="8" w:tentative="0">
      <w:start w:val="1"/>
      <w:numFmt w:val="none"/>
      <w:pStyle w:val="18"/>
      <w:lvlText w:val=""/>
      <w:lvlJc w:val="left"/>
      <w:pPr>
        <w:ind w:firstLine="0" w:left="0"/>
      </w:pPr>
      <w:rPr>
        <w:rFonts w:hint="eastAsia"/>
      </w:rPr>
    </w:lvl>
  </w:abstractNum>
  <w:abstractNum w:abstractNumId="1">
    <w:nsid w:val="2DEE30F7"/>
    <w:multiLevelType w:val="multilevel"/>
    <w:tmpl w:val="2DEE30F7"/>
    <w:lvl w:ilvl="0" w:tentative="0">
      <w:start w:val="1"/>
      <w:numFmt w:val="decimalFullWidth"/>
      <w:lvlText w:val="%1、"/>
      <w:lvlJc w:val="left"/>
      <w:pPr>
        <w:ind w:hanging="420" w:left="420"/>
      </w:pPr>
      <w:rPr>
        <w:rFonts w:hint="default"/>
      </w:rPr>
    </w:lvl>
    <w:lvl w:ilvl="1" w:tentative="0">
      <w:start w:val="1"/>
      <w:numFmt w:val="lowerLetter"/>
      <w:lvlText w:val="%2)"/>
      <w:lvlJc w:val="left"/>
      <w:pPr>
        <w:ind w:hanging="420" w:left="840"/>
      </w:pPr>
    </w:lvl>
    <w:lvl w:ilvl="2" w:tentative="0">
      <w:start w:val="1"/>
      <w:numFmt w:val="lowerRoman"/>
      <w:lvlText w:val="%3."/>
      <w:lvlJc w:val="right"/>
      <w:pPr>
        <w:ind w:hanging="420" w:left="1260"/>
      </w:pPr>
    </w:lvl>
    <w:lvl w:ilvl="3" w:tentative="0">
      <w:start w:val="1"/>
      <w:numFmt w:val="decimal"/>
      <w:lvlText w:val="%4."/>
      <w:lvlJc w:val="left"/>
      <w:pPr>
        <w:ind w:hanging="420" w:left="1680"/>
      </w:pPr>
    </w:lvl>
    <w:lvl w:ilvl="4" w:tentative="0">
      <w:start w:val="1"/>
      <w:numFmt w:val="lowerLetter"/>
      <w:lvlText w:val="%5)"/>
      <w:lvlJc w:val="left"/>
      <w:pPr>
        <w:ind w:hanging="420" w:left="2100"/>
      </w:pPr>
    </w:lvl>
    <w:lvl w:ilvl="5" w:tentative="0">
      <w:start w:val="1"/>
      <w:numFmt w:val="lowerRoman"/>
      <w:lvlText w:val="%6."/>
      <w:lvlJc w:val="right"/>
      <w:pPr>
        <w:ind w:hanging="420" w:left="2520"/>
      </w:pPr>
    </w:lvl>
    <w:lvl w:ilvl="6" w:tentative="0">
      <w:start w:val="1"/>
      <w:numFmt w:val="decimal"/>
      <w:lvlText w:val="%7."/>
      <w:lvlJc w:val="left"/>
      <w:pPr>
        <w:ind w:hanging="420" w:left="2940"/>
      </w:pPr>
    </w:lvl>
    <w:lvl w:ilvl="7" w:tentative="0">
      <w:start w:val="1"/>
      <w:numFmt w:val="lowerLetter"/>
      <w:lvlText w:val="%8)"/>
      <w:lvlJc w:val="left"/>
      <w:pPr>
        <w:ind w:hanging="420" w:left="3360"/>
      </w:pPr>
    </w:lvl>
    <w:lvl w:ilvl="8" w:tentative="0">
      <w:start w:val="1"/>
      <w:numFmt w:val="lowerRoman"/>
      <w:lvlText w:val="%9."/>
      <w:lvlJc w:val="right"/>
      <w:pPr>
        <w:ind w:hanging="420" w:left="37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qFormat="1"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heme="minorHAnsi" w:cstheme="minorBidi" w:eastAsiaTheme="minorEastAsia" w:hAnsiTheme="minorHAnsi"/>
      <w:kern w:val="2"/>
      <w:sz w:val="21"/>
      <w:szCs w:val="22"/>
      <w:lang w:bidi="ar-SA" w:eastAsia="zh-CN" w:val="en-US"/>
    </w:rPr>
  </w:style>
  <w:style w:styleId="2" w:type="paragraph">
    <w:name w:val="heading 1"/>
    <w:basedOn w:val="1"/>
    <w:next w:val="3"/>
    <w:link w:val="26"/>
    <w:qFormat/>
    <w:uiPriority w:val="9"/>
    <w:pPr>
      <w:keepNext/>
      <w:keepLines/>
      <w:numPr>
        <w:ilvl w:val="0"/>
        <w:numId w:val="1"/>
      </w:numPr>
      <w:topLinePunct/>
      <w:adjustRightInd w:val="0"/>
      <w:snapToGrid w:val="0"/>
      <w:spacing w:after="50" w:afterLines="50" w:before="300" w:beforeLines="300" w:line="360" w:lineRule="auto"/>
      <w:outlineLvl w:val="0"/>
    </w:pPr>
    <w:rPr>
      <w:rFonts w:ascii="Arial" w:eastAsia="黑体" w:hAnsi="Arial"/>
      <w:bCs/>
      <w:kern w:val="44"/>
      <w:sz w:val="36"/>
      <w:szCs w:val="44"/>
      <w:lang w:val="zh-CN"/>
    </w:rPr>
  </w:style>
  <w:style w:styleId="4" w:type="paragraph">
    <w:name w:val="heading 2"/>
    <w:basedOn w:val="1"/>
    <w:next w:val="3"/>
    <w:link w:val="31"/>
    <w:unhideWhenUsed/>
    <w:qFormat/>
    <w:uiPriority w:val="9"/>
    <w:pPr>
      <w:keepNext/>
      <w:keepLines/>
      <w:numPr>
        <w:ilvl w:val="1"/>
        <w:numId w:val="1"/>
      </w:numPr>
      <w:topLinePunct/>
      <w:adjustRightInd w:val="0"/>
      <w:snapToGrid w:val="0"/>
      <w:spacing w:after="30" w:afterLines="30" w:before="150" w:beforeLines="150" w:line="360" w:lineRule="auto"/>
      <w:outlineLvl w:val="1"/>
    </w:pPr>
    <w:rPr>
      <w:rFonts w:ascii="Arial" w:cstheme="majorBidi" w:eastAsia="黑体" w:hAnsi="Arial"/>
      <w:bCs/>
      <w:sz w:val="30"/>
      <w:szCs w:val="32"/>
    </w:rPr>
  </w:style>
  <w:style w:styleId="5" w:type="paragraph">
    <w:name w:val="heading 3"/>
    <w:basedOn w:val="1"/>
    <w:next w:val="3"/>
    <w:link w:val="32"/>
    <w:unhideWhenUsed/>
    <w:qFormat/>
    <w:uiPriority w:val="9"/>
    <w:pPr>
      <w:keepNext/>
      <w:keepLines/>
      <w:numPr>
        <w:ilvl w:val="2"/>
        <w:numId w:val="1"/>
      </w:numPr>
      <w:topLinePunct/>
      <w:adjustRightInd w:val="0"/>
      <w:snapToGrid w:val="0"/>
      <w:spacing w:after="20" w:afterLines="20" w:before="100" w:beforeLines="100" w:line="360" w:lineRule="auto"/>
      <w:outlineLvl w:val="2"/>
    </w:pPr>
    <w:rPr>
      <w:rFonts w:ascii="Arial" w:eastAsia="黑体" w:hAnsi="Arial"/>
      <w:bCs/>
      <w:sz w:val="28"/>
      <w:szCs w:val="32"/>
    </w:rPr>
  </w:style>
  <w:style w:styleId="6" w:type="paragraph">
    <w:name w:val="heading 4"/>
    <w:basedOn w:val="1"/>
    <w:next w:val="3"/>
    <w:link w:val="33"/>
    <w:unhideWhenUsed/>
    <w:qFormat/>
    <w:uiPriority w:val="9"/>
    <w:pPr>
      <w:keepNext/>
      <w:keepLines/>
      <w:numPr>
        <w:ilvl w:val="3"/>
        <w:numId w:val="1"/>
      </w:numPr>
      <w:adjustRightInd w:val="0"/>
      <w:snapToGrid w:val="0"/>
      <w:spacing w:before="70" w:beforeLines="70"/>
      <w:outlineLvl w:val="3"/>
    </w:pPr>
    <w:rPr>
      <w:rFonts w:ascii="Arial" w:cstheme="majorBidi" w:eastAsia="黑体" w:hAnsi="Arial"/>
      <w:bCs/>
      <w:sz w:val="24"/>
      <w:szCs w:val="28"/>
    </w:rPr>
  </w:style>
  <w:style w:styleId="7" w:type="paragraph">
    <w:name w:val="heading 5"/>
    <w:basedOn w:val="1"/>
    <w:next w:val="3"/>
    <w:link w:val="34"/>
    <w:unhideWhenUsed/>
    <w:qFormat/>
    <w:uiPriority w:val="9"/>
    <w:pPr>
      <w:keepNext/>
      <w:keepLines/>
      <w:numPr>
        <w:ilvl w:val="4"/>
        <w:numId w:val="1"/>
      </w:numPr>
      <w:adjustRightInd w:val="0"/>
      <w:snapToGrid w:val="0"/>
      <w:spacing w:before="50" w:beforeLines="50" w:line="360" w:lineRule="auto"/>
      <w:outlineLvl w:val="4"/>
    </w:pPr>
    <w:rPr>
      <w:rFonts w:ascii="Arial" w:eastAsia="黑体" w:hAnsi="Arial"/>
      <w:bCs/>
      <w:sz w:val="24"/>
      <w:szCs w:val="28"/>
    </w:rPr>
  </w:style>
  <w:style w:styleId="8" w:type="paragraph">
    <w:name w:val="heading 6"/>
    <w:basedOn w:val="1"/>
    <w:next w:val="3"/>
    <w:link w:val="35"/>
    <w:unhideWhenUsed/>
    <w:qFormat/>
    <w:uiPriority w:val="9"/>
    <w:pPr>
      <w:keepNext/>
      <w:keepLines/>
      <w:numPr>
        <w:ilvl w:val="5"/>
        <w:numId w:val="1"/>
      </w:numPr>
      <w:adjustRightInd w:val="0"/>
      <w:snapToGrid w:val="0"/>
      <w:spacing w:before="30" w:beforeLines="30" w:line="360" w:lineRule="auto"/>
      <w:outlineLvl w:val="5"/>
    </w:pPr>
    <w:rPr>
      <w:rFonts w:ascii="Arial" w:cstheme="majorBidi" w:eastAsia="黑体" w:hAnsi="Arial"/>
      <w:bCs/>
      <w:sz w:val="24"/>
      <w:szCs w:val="24"/>
    </w:rPr>
  </w:style>
  <w:style w:styleId="9" w:type="paragraph">
    <w:name w:val="heading 7"/>
    <w:basedOn w:val="1"/>
    <w:next w:val="3"/>
    <w:link w:val="36"/>
    <w:unhideWhenUsed/>
    <w:qFormat/>
    <w:uiPriority w:val="9"/>
    <w:pPr>
      <w:keepNext/>
      <w:keepLines/>
      <w:numPr>
        <w:ilvl w:val="6"/>
        <w:numId w:val="1"/>
      </w:numPr>
      <w:adjustRightInd w:val="0"/>
      <w:snapToGrid w:val="0"/>
      <w:spacing w:before="30" w:beforeLines="30" w:line="360" w:lineRule="auto"/>
      <w:outlineLvl w:val="6"/>
    </w:pPr>
    <w:rPr>
      <w:rFonts w:ascii="Arial" w:eastAsia="黑体" w:hAnsi="Arial"/>
      <w:bCs/>
      <w:sz w:val="24"/>
      <w:szCs w:val="24"/>
    </w:rPr>
  </w:style>
  <w:style w:styleId="10" w:type="paragraph">
    <w:name w:val="heading 8"/>
    <w:basedOn w:val="1"/>
    <w:next w:val="3"/>
    <w:link w:val="37"/>
    <w:unhideWhenUsed/>
    <w:qFormat/>
    <w:uiPriority w:val="9"/>
    <w:pPr>
      <w:keepNext/>
      <w:keepLines/>
      <w:numPr>
        <w:ilvl w:val="7"/>
        <w:numId w:val="1"/>
      </w:numPr>
      <w:adjustRightInd w:val="0"/>
      <w:snapToGrid w:val="0"/>
      <w:spacing w:before="30" w:beforeLines="30" w:line="360" w:lineRule="auto"/>
      <w:outlineLvl w:val="7"/>
    </w:pPr>
    <w:rPr>
      <w:rFonts w:ascii="Arial" w:cstheme="majorBidi" w:eastAsia="黑体" w:hAnsi="Arial"/>
      <w:sz w:val="24"/>
      <w:szCs w:val="24"/>
    </w:rPr>
  </w:style>
  <w:style w:styleId="11" w:type="paragraph">
    <w:name w:val="heading 9"/>
    <w:basedOn w:val="1"/>
    <w:next w:val="3"/>
    <w:link w:val="38"/>
    <w:unhideWhenUsed/>
    <w:qFormat/>
    <w:uiPriority w:val="9"/>
    <w:pPr>
      <w:keepNext/>
      <w:keepLines/>
      <w:adjustRightInd w:val="0"/>
      <w:snapToGrid w:val="0"/>
      <w:spacing w:before="30" w:beforeLines="30" w:line="360" w:lineRule="auto"/>
      <w:outlineLvl w:val="8"/>
    </w:pPr>
    <w:rPr>
      <w:rFonts w:ascii="Arial" w:cstheme="majorBidi" w:eastAsia="黑体" w:hAnsi="Arial"/>
      <w:sz w:val="24"/>
      <w:szCs w:val="21"/>
    </w:rPr>
  </w:style>
  <w:style w:default="1" w:styleId="22" w:type="character">
    <w:name w:val="Default Paragraph Font"/>
    <w:semiHidden/>
    <w:unhideWhenUsed/>
    <w:qFormat/>
    <w:uiPriority w:val="1"/>
  </w:style>
  <w:style w:default="1" w:styleId="20" w:type="table">
    <w:name w:val="Normal Table"/>
    <w:semiHidden/>
    <w:unhideWhenUsed/>
    <w:qFormat/>
    <w:uiPriority w:val="99"/>
    <w:tblPr>
      <w:tblCellMar>
        <w:top w:type="dxa" w:w="0"/>
        <w:left w:type="dxa" w:w="108"/>
        <w:bottom w:type="dxa" w:w="0"/>
        <w:right w:type="dxa" w:w="108"/>
      </w:tblCellMar>
    </w:tblPr>
  </w:style>
  <w:style w:customStyle="1" w:styleId="3" w:type="paragraph">
    <w:name w:val="正文段落"/>
    <w:basedOn w:val="1"/>
    <w:qFormat/>
    <w:uiPriority w:val="0"/>
    <w:pPr>
      <w:adjustRightInd w:val="0"/>
      <w:snapToGrid w:val="0"/>
      <w:spacing w:after="0" w:afterLines="20" w:before="0" w:beforeLines="20" w:line="283" w:lineRule="auto"/>
      <w:ind w:firstLineChars="200" w:firstLine="420"/>
    </w:pPr>
    <w:rPr>
      <w:rFonts w:ascii="Times New Roman" w:eastAsia="宋体" w:hAnsi="Times New Roman"/>
      <w:sz w:val="22"/>
    </w:rPr>
  </w:style>
  <w:style w:styleId="12" w:type="paragraph">
    <w:name w:val="caption"/>
    <w:basedOn w:val="1"/>
    <w:next w:val="3"/>
    <w:unhideWhenUsed/>
    <w:qFormat/>
    <w:uiPriority w:val="35"/>
    <w:pPr>
      <w:kinsoku w:val="0"/>
      <w:overflowPunct w:val="0"/>
      <w:autoSpaceDE w:val="0"/>
      <w:autoSpaceDN w:val="0"/>
      <w:adjustRightInd w:val="0"/>
      <w:snapToGrid w:val="0"/>
      <w:spacing w:after="30" w:afterLines="30" w:before="30" w:beforeLines="30" w:line="360" w:lineRule="auto"/>
      <w:jc w:val="center"/>
    </w:pPr>
    <w:rPr>
      <w:rFonts w:ascii="宋体" w:cstheme="majorBidi" w:eastAsia="宋体" w:hAnsi="宋体"/>
      <w:sz w:val="20"/>
      <w:szCs w:val="20"/>
    </w:rPr>
  </w:style>
  <w:style w:styleId="13" w:type="paragraph">
    <w:name w:val="toc 3"/>
    <w:basedOn w:val="1"/>
    <w:next w:val="1"/>
    <w:unhideWhenUsed/>
    <w:qFormat/>
    <w:uiPriority w:val="39"/>
    <w:pPr>
      <w:tabs>
        <w:tab w:leader="dot" w:pos="8296" w:val="right"/>
      </w:tabs>
      <w:adjustRightInd w:val="0"/>
      <w:snapToGrid w:val="0"/>
      <w:spacing w:line="312" w:lineRule="auto"/>
      <w:ind w:left="150" w:leftChars="150"/>
    </w:pPr>
    <w:rPr>
      <w:rFonts w:ascii="Times New Roman" w:eastAsia="宋体" w:hAnsi="Times New Roman"/>
      <w:sz w:val="18"/>
    </w:rPr>
  </w:style>
  <w:style w:styleId="14" w:type="paragraph">
    <w:name w:val="Balloon Text"/>
    <w:basedOn w:val="1"/>
    <w:link w:val="30"/>
    <w:semiHidden/>
    <w:unhideWhenUsed/>
    <w:qFormat/>
    <w:uiPriority w:val="99"/>
    <w:rPr>
      <w:sz w:val="18"/>
      <w:szCs w:val="18"/>
    </w:rPr>
  </w:style>
  <w:style w:styleId="15" w:type="paragraph">
    <w:name w:val="footer"/>
    <w:basedOn w:val="1"/>
    <w:link w:val="29"/>
    <w:unhideWhenUsed/>
    <w:qFormat/>
    <w:uiPriority w:val="99"/>
    <w:pPr>
      <w:tabs>
        <w:tab w:pos="4153" w:val="center"/>
        <w:tab w:pos="8306" w:val="right"/>
      </w:tabs>
      <w:snapToGrid w:val="0"/>
      <w:jc w:val="left"/>
    </w:pPr>
    <w:rPr>
      <w:sz w:val="18"/>
      <w:szCs w:val="18"/>
    </w:rPr>
  </w:style>
  <w:style w:styleId="16" w:type="paragraph">
    <w:name w:val="header"/>
    <w:basedOn w:val="1"/>
    <w:link w:val="28"/>
    <w:unhideWhenUsed/>
    <w:qFormat/>
    <w:uiPriority w:val="99"/>
    <w:pPr>
      <w:pBdr>
        <w:bottom w:color="auto" w:space="1" w:sz="6" w:val="single"/>
      </w:pBdr>
      <w:tabs>
        <w:tab w:pos="4153" w:val="center"/>
        <w:tab w:pos="8306" w:val="right"/>
      </w:tabs>
      <w:snapToGrid w:val="0"/>
      <w:jc w:val="center"/>
    </w:pPr>
    <w:rPr>
      <w:sz w:val="18"/>
      <w:szCs w:val="18"/>
    </w:rPr>
  </w:style>
  <w:style w:styleId="17" w:type="paragraph">
    <w:name w:val="toc 1"/>
    <w:basedOn w:val="1"/>
    <w:next w:val="1"/>
    <w:unhideWhenUsed/>
    <w:qFormat/>
    <w:uiPriority w:val="39"/>
    <w:pPr>
      <w:tabs>
        <w:tab w:leader="dot" w:pos="8296" w:val="right"/>
      </w:tabs>
      <w:adjustRightInd w:val="0"/>
      <w:snapToGrid w:val="0"/>
      <w:spacing w:before="50" w:beforeLines="50" w:line="312" w:lineRule="auto"/>
    </w:pPr>
    <w:rPr>
      <w:rFonts w:ascii="Arial" w:eastAsia="黑体" w:hAnsi="Arial"/>
    </w:rPr>
  </w:style>
  <w:style w:styleId="18" w:type="paragraph">
    <w:name w:val="index 9"/>
    <w:basedOn w:val="1"/>
    <w:next w:val="1"/>
    <w:autoRedefine/>
    <w:semiHidden/>
    <w:unhideWhenUsed/>
    <w:qFormat/>
    <w:uiPriority w:val="99"/>
    <w:pPr>
      <w:numPr>
        <w:ilvl w:val="8"/>
        <w:numId w:val="1"/>
      </w:numPr>
    </w:pPr>
  </w:style>
  <w:style w:styleId="19" w:type="paragraph">
    <w:name w:val="toc 2"/>
    <w:basedOn w:val="1"/>
    <w:next w:val="1"/>
    <w:unhideWhenUsed/>
    <w:qFormat/>
    <w:uiPriority w:val="39"/>
    <w:pPr>
      <w:tabs>
        <w:tab w:leader="dot" w:pos="8296" w:val="right"/>
      </w:tabs>
      <w:adjustRightInd w:val="0"/>
      <w:snapToGrid w:val="0"/>
      <w:spacing w:line="312" w:lineRule="auto"/>
      <w:ind w:left="100" w:leftChars="100"/>
    </w:pPr>
    <w:rPr>
      <w:rFonts w:ascii="Times New Roman" w:eastAsia="宋体" w:hAnsi="Times New Roman"/>
      <w:sz w:val="18"/>
    </w:rPr>
  </w:style>
  <w:style w:styleId="21" w:type="table">
    <w:name w:val="Table Grid"/>
    <w:basedOn w:val="20"/>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3" w:type="character">
    <w:name w:val="Strong"/>
    <w:basedOn w:val="22"/>
    <w:qFormat/>
    <w:uiPriority w:val="22"/>
    <w:rPr>
      <w:b/>
      <w:bCs/>
    </w:rPr>
  </w:style>
  <w:style w:styleId="24" w:type="character">
    <w:name w:val="Hyperlink"/>
    <w:basedOn w:val="22"/>
    <w:unhideWhenUsed/>
    <w:qFormat/>
    <w:uiPriority w:val="99"/>
    <w:rPr>
      <w:color w:val="0000FF"/>
      <w:u w:val="single"/>
    </w:rPr>
  </w:style>
  <w:style w:styleId="25" w:type="paragraph">
    <w:name w:val="List Paragraph"/>
    <w:basedOn w:val="1"/>
    <w:qFormat/>
    <w:uiPriority w:val="34"/>
    <w:pPr>
      <w:ind w:firstLine="420" w:firstLineChars="200"/>
    </w:pPr>
  </w:style>
  <w:style w:customStyle="1" w:styleId="26" w:type="character">
    <w:name w:val="标题 1 字符"/>
    <w:basedOn w:val="22"/>
    <w:link w:val="2"/>
    <w:qFormat/>
    <w:uiPriority w:val="9"/>
    <w:rPr>
      <w:rFonts w:ascii="Arial" w:eastAsia="黑体" w:hAnsi="Arial"/>
      <w:bCs/>
      <w:kern w:val="44"/>
      <w:sz w:val="36"/>
      <w:szCs w:val="44"/>
      <w:lang w:val="zh-CN"/>
    </w:rPr>
  </w:style>
  <w:style w:customStyle="1" w:styleId="27" w:type="paragraph">
    <w:name w:val="TOC Heading"/>
    <w:basedOn w:val="2"/>
    <w:next w:val="1"/>
    <w:unhideWhenUsed/>
    <w:qFormat/>
    <w:uiPriority w:val="39"/>
    <w:pPr>
      <w:widowControl/>
      <w:spacing w:after="0" w:before="240" w:line="259" w:lineRule="auto"/>
      <w:jc w:val="left"/>
      <w:outlineLvl w:val="9"/>
    </w:pPr>
    <w:rPr>
      <w:rFonts w:asciiTheme="majorHAnsi" w:cstheme="majorBidi" w:eastAsiaTheme="majorEastAsia" w:hAnsiTheme="majorHAnsi"/>
      <w:b/>
      <w:bCs w:val="0"/>
      <w:color w:themeColor="accent1" w:themeShade="BF" w:val="376092"/>
      <w:kern w:val="0"/>
      <w:sz w:val="32"/>
      <w:szCs w:val="32"/>
    </w:rPr>
  </w:style>
  <w:style w:customStyle="1" w:styleId="28" w:type="character">
    <w:name w:val="页眉 字符"/>
    <w:basedOn w:val="22"/>
    <w:link w:val="16"/>
    <w:qFormat/>
    <w:uiPriority w:val="99"/>
    <w:rPr>
      <w:sz w:val="18"/>
      <w:szCs w:val="18"/>
    </w:rPr>
  </w:style>
  <w:style w:customStyle="1" w:styleId="29" w:type="character">
    <w:name w:val="页脚 字符"/>
    <w:basedOn w:val="22"/>
    <w:link w:val="15"/>
    <w:qFormat/>
    <w:uiPriority w:val="99"/>
    <w:rPr>
      <w:sz w:val="18"/>
      <w:szCs w:val="18"/>
    </w:rPr>
  </w:style>
  <w:style w:customStyle="1" w:styleId="30" w:type="character">
    <w:name w:val="批注框文本 字符"/>
    <w:basedOn w:val="22"/>
    <w:link w:val="14"/>
    <w:semiHidden/>
    <w:qFormat/>
    <w:uiPriority w:val="99"/>
    <w:rPr>
      <w:sz w:val="18"/>
      <w:szCs w:val="18"/>
    </w:rPr>
  </w:style>
  <w:style w:customStyle="1" w:styleId="31" w:type="character">
    <w:name w:val="标题 2 字符"/>
    <w:basedOn w:val="22"/>
    <w:link w:val="4"/>
    <w:qFormat/>
    <w:uiPriority w:val="9"/>
    <w:rPr>
      <w:rFonts w:ascii="Arial" w:cstheme="majorBidi" w:eastAsia="黑体" w:hAnsi="Arial"/>
      <w:bCs/>
      <w:sz w:val="30"/>
      <w:szCs w:val="32"/>
    </w:rPr>
  </w:style>
  <w:style w:customStyle="1" w:styleId="32" w:type="character">
    <w:name w:val="标题 3 字符"/>
    <w:basedOn w:val="22"/>
    <w:link w:val="5"/>
    <w:qFormat/>
    <w:uiPriority w:val="9"/>
    <w:rPr>
      <w:rFonts w:ascii="Arial" w:eastAsia="黑体" w:hAnsi="Arial"/>
      <w:bCs/>
      <w:sz w:val="28"/>
      <w:szCs w:val="32"/>
    </w:rPr>
  </w:style>
  <w:style w:customStyle="1" w:styleId="33" w:type="character">
    <w:name w:val="标题 4 字符"/>
    <w:basedOn w:val="22"/>
    <w:link w:val="6"/>
    <w:qFormat/>
    <w:uiPriority w:val="9"/>
    <w:rPr>
      <w:rFonts w:ascii="Arial" w:cstheme="majorBidi" w:eastAsia="黑体" w:hAnsi="Arial"/>
      <w:bCs/>
      <w:sz w:val="24"/>
      <w:szCs w:val="28"/>
    </w:rPr>
  </w:style>
  <w:style w:customStyle="1" w:styleId="34" w:type="character">
    <w:name w:val="标题 5 字符"/>
    <w:basedOn w:val="22"/>
    <w:link w:val="7"/>
    <w:qFormat/>
    <w:uiPriority w:val="9"/>
    <w:rPr>
      <w:rFonts w:ascii="Arial" w:eastAsia="黑体" w:hAnsi="Arial"/>
      <w:bCs/>
      <w:sz w:val="24"/>
      <w:szCs w:val="28"/>
    </w:rPr>
  </w:style>
  <w:style w:customStyle="1" w:styleId="35" w:type="character">
    <w:name w:val="标题 6 字符"/>
    <w:basedOn w:val="22"/>
    <w:link w:val="8"/>
    <w:qFormat/>
    <w:uiPriority w:val="9"/>
    <w:rPr>
      <w:rFonts w:ascii="Arial" w:cstheme="majorBidi" w:eastAsia="黑体" w:hAnsi="Arial"/>
      <w:bCs/>
      <w:sz w:val="24"/>
      <w:szCs w:val="24"/>
    </w:rPr>
  </w:style>
  <w:style w:customStyle="1" w:styleId="36" w:type="character">
    <w:name w:val="标题 7 字符"/>
    <w:basedOn w:val="22"/>
    <w:link w:val="9"/>
    <w:qFormat/>
    <w:uiPriority w:val="9"/>
    <w:rPr>
      <w:rFonts w:ascii="Arial" w:eastAsia="黑体" w:hAnsi="Arial"/>
      <w:bCs/>
      <w:sz w:val="24"/>
      <w:szCs w:val="24"/>
    </w:rPr>
  </w:style>
  <w:style w:customStyle="1" w:styleId="37" w:type="character">
    <w:name w:val="标题 8 字符"/>
    <w:basedOn w:val="22"/>
    <w:link w:val="10"/>
    <w:qFormat/>
    <w:uiPriority w:val="9"/>
    <w:rPr>
      <w:rFonts w:ascii="Arial" w:cstheme="majorBidi" w:eastAsia="黑体" w:hAnsi="Arial"/>
      <w:sz w:val="24"/>
      <w:szCs w:val="24"/>
    </w:rPr>
  </w:style>
  <w:style w:customStyle="1" w:styleId="38" w:type="character">
    <w:name w:val="标题 9 字符"/>
    <w:basedOn w:val="22"/>
    <w:link w:val="11"/>
    <w:qFormat/>
    <w:uiPriority w:val="9"/>
    <w:rPr>
      <w:rFonts w:ascii="Arial" w:cstheme="majorBidi" w:eastAsia="黑体" w:hAnsi="Arial"/>
      <w:sz w:val="24"/>
      <w:szCs w:val="21"/>
    </w:rPr>
  </w:style>
  <w:style w:customStyle="1" w:styleId="39" w:type="paragraph">
    <w:name w:val="说明"/>
    <w:basedOn w:val="1"/>
    <w:next w:val="3"/>
    <w:qFormat/>
    <w:uiPriority w:val="0"/>
    <w:pPr>
      <w:adjustRightInd w:val="0"/>
      <w:snapToGrid w:val="0"/>
      <w:spacing w:after="100" w:afterLines="100" w:before="50" w:beforeLines="50" w:line="288" w:lineRule="auto"/>
    </w:pPr>
    <w:rPr>
      <w:rFonts w:ascii="楷体" w:eastAsia="楷体" w:hAnsi="楷体"/>
    </w:rPr>
  </w:style>
  <w:style w:customStyle="1" w:styleId="40" w:type="paragraph">
    <w:name w:val="图表段落"/>
    <w:basedOn w:val="3"/>
    <w:qFormat/>
    <w:uiPriority w:val="0"/>
    <w:pPr>
      <w:spacing w:after="30" w:afterLines="30" w:before="30" w:beforeLines="30" w:line="240" w:lineRule="auto"/>
      <w:ind w:firstLine="0" w:firstLineChars="0"/>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2.xml"/><Relationship Id="rId10" Type="http://schemas.openxmlformats.org/officeDocument/2006/relationships/footer" Target="footer1.xml"/><Relationship Id="rId31" Type="http://schemas.openxmlformats.org/officeDocument/2006/relationships/image" Target="media/rId31.png"/><Relationship Id="rId33" Type="http://schemas.openxmlformats.org/officeDocument/2006/relationships/image" Target="media/rId33.png"/><Relationship Id="rId38" Type="http://schemas.openxmlformats.org/officeDocument/2006/relationships/image" Target="media/rId38.png"/><Relationship Id="rId40" Type="http://schemas.openxmlformats.org/officeDocument/2006/relationships/image" Target="media/rId40.png"/><Relationship Id="rId37" Type="http://schemas.openxmlformats.org/officeDocument/2006/relationships/image" Target="media/rId37.png"/><Relationship Id="rId44" Type="http://schemas.openxmlformats.org/officeDocument/2006/relationships/image" Target="media/rId44.png"/><Relationship Id="rId47" Type="http://schemas.openxmlformats.org/officeDocument/2006/relationships/image" Target="media/rId47.png"/><Relationship Id="rId46" Type="http://schemas.openxmlformats.org/officeDocument/2006/relationships/image" Target="media/rId46.png"/></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1127</Words>
  <Characters>1168</Characters>
  <Lines>17</Lines>
  <Paragraphs>4</Paragraphs>
  <TotalTime>177</TotalTime>
  <ScaleCrop>false</ScaleCrop>
  <LinksUpToDate>false</LinksUpToDate>
  <CharactersWithSpaces>1325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2026-04-22T13:09:34Z</dcterms:created>
  <dcterms:modified xsi:type="dcterms:W3CDTF">2026-04-22T13:09:34Z</dcterms:modified>
</cp:coreProperties>
</file>

<file path=docProps/custom.xml><?xml version="1.0" encoding="utf-8"?>
<Properties xmlns="http://schemas.openxmlformats.org/officeDocument/2006/custom-properties" xmlns:vt="http://schemas.openxmlformats.org/officeDocument/2006/docPropsVTypes"/>
</file>