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145AD4">
      <w:pPr>
        <w:widowControl/>
        <w:shd w:val="clear" w:color="auto" w:fill="FFFFFF"/>
        <w:spacing w:line="360" w:lineRule="atLeast"/>
        <w:jc w:val="center"/>
        <w:rPr>
          <w:rFonts w:hint="eastAsia" w:ascii="华文中宋" w:hAnsi="华文中宋" w:eastAsia="华文中宋" w:cs="Arial"/>
          <w:b/>
          <w:bCs/>
          <w:color w:val="333333"/>
          <w:kern w:val="0"/>
          <w:sz w:val="56"/>
          <w:szCs w:val="56"/>
        </w:rPr>
      </w:pPr>
      <w:r>
        <w:rPr>
          <w:rFonts w:ascii="Arial" w:hAnsi="Arial" w:eastAsia="宋体" w:cs="Arial"/>
          <w:color w:val="333333"/>
          <w:kern w:val="0"/>
          <w:szCs w:val="21"/>
        </w:rPr>
        <w:drawing>
          <wp:inline distT="0" distB="0" distL="0" distR="0">
            <wp:extent cx="1050290" cy="1053465"/>
            <wp:effectExtent l="0" t="0" r="0" b="0"/>
            <wp:docPr id="3" name="图片 3" descr="徽标, 公司名称&#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徽标, 公司名称&#10;&#10;描述已自动生成"/>
                    <pic:cNvPicPr>
                      <a:picLocks noChangeAspect="1" noChangeArrowheads="1"/>
                    </pic:cNvPicPr>
                  </pic:nvPicPr>
                  <pic:blipFill>
                    <a:blip r:embed="rId6" cstate="print">
                      <a:extLst>
                        <a:ext uri="{28A0092B-C50C-407E-A947-70E740481C1C}">
                          <a14:useLocalDpi xmlns:a14="http://schemas.microsoft.com/office/drawing/2010/main" val="0"/>
                        </a:ext>
                      </a:extLst>
                    </a:blip>
                    <a:srcRect b="10611"/>
                    <a:stretch>
                      <a:fillRect/>
                    </a:stretch>
                  </pic:blipFill>
                  <pic:spPr>
                    <a:xfrm>
                      <a:off x="0" y="0"/>
                      <a:ext cx="1087745" cy="1090712"/>
                    </a:xfrm>
                    <a:prstGeom prst="rect">
                      <a:avLst/>
                    </a:prstGeom>
                    <a:noFill/>
                    <a:ln>
                      <a:noFill/>
                    </a:ln>
                  </pic:spPr>
                </pic:pic>
              </a:graphicData>
            </a:graphic>
          </wp:inline>
        </w:drawing>
      </w:r>
    </w:p>
    <w:p w14:paraId="01FCC012">
      <w:pPr>
        <w:widowControl/>
        <w:shd w:val="clear" w:color="auto" w:fill="FFFFFF"/>
        <w:spacing w:line="360" w:lineRule="atLeast"/>
        <w:jc w:val="center"/>
        <w:rPr>
          <w:rFonts w:hint="eastAsia" w:ascii="华文中宋" w:hAnsi="华文中宋" w:eastAsia="华文中宋" w:cs="Arial"/>
          <w:b/>
          <w:bCs/>
          <w:color w:val="333333"/>
          <w:kern w:val="0"/>
          <w:sz w:val="56"/>
          <w:szCs w:val="56"/>
        </w:rPr>
      </w:pPr>
      <w:r>
        <w:rPr>
          <w:rFonts w:hint="eastAsia" w:ascii="华文中宋" w:hAnsi="华文中宋" w:eastAsia="华文中宋" w:cs="Arial"/>
          <w:b/>
          <w:bCs/>
          <w:color w:val="333333"/>
          <w:kern w:val="0"/>
          <w:sz w:val="56"/>
          <w:szCs w:val="56"/>
        </w:rPr>
        <w:t>2</w:t>
      </w:r>
      <w:r>
        <w:rPr>
          <w:rFonts w:ascii="华文中宋" w:hAnsi="华文中宋" w:eastAsia="华文中宋" w:cs="Arial"/>
          <w:b/>
          <w:bCs/>
          <w:color w:val="333333"/>
          <w:kern w:val="0"/>
          <w:sz w:val="56"/>
          <w:szCs w:val="56"/>
        </w:rPr>
        <w:t>02</w:t>
      </w:r>
      <w:r>
        <w:rPr>
          <w:rFonts w:hint="eastAsia" w:ascii="华文中宋" w:hAnsi="华文中宋" w:eastAsia="华文中宋" w:cs="Arial"/>
          <w:b/>
          <w:bCs/>
          <w:color w:val="333333"/>
          <w:kern w:val="0"/>
          <w:sz w:val="56"/>
          <w:szCs w:val="56"/>
          <w:lang w:val="en-US" w:eastAsia="zh-CN"/>
        </w:rPr>
        <w:t>6</w:t>
      </w:r>
      <w:r>
        <w:rPr>
          <w:rFonts w:hint="eastAsia" w:ascii="华文中宋" w:hAnsi="华文中宋" w:eastAsia="华文中宋" w:cs="Arial"/>
          <w:b/>
          <w:bCs/>
          <w:color w:val="333333"/>
          <w:kern w:val="0"/>
          <w:sz w:val="56"/>
          <w:szCs w:val="56"/>
        </w:rPr>
        <w:t>年（第1</w:t>
      </w:r>
      <w:r>
        <w:rPr>
          <w:rFonts w:hint="eastAsia" w:ascii="华文中宋" w:hAnsi="华文中宋" w:eastAsia="华文中宋" w:cs="Arial"/>
          <w:b/>
          <w:bCs/>
          <w:color w:val="333333"/>
          <w:kern w:val="0"/>
          <w:sz w:val="56"/>
          <w:szCs w:val="56"/>
          <w:lang w:val="en-US" w:eastAsia="zh-CN"/>
        </w:rPr>
        <w:t>9</w:t>
      </w:r>
      <w:r>
        <w:rPr>
          <w:rFonts w:hint="eastAsia" w:ascii="华文中宋" w:hAnsi="华文中宋" w:eastAsia="华文中宋" w:cs="Arial"/>
          <w:b/>
          <w:bCs/>
          <w:color w:val="333333"/>
          <w:kern w:val="0"/>
          <w:sz w:val="56"/>
          <w:szCs w:val="56"/>
        </w:rPr>
        <w:t>届）</w:t>
      </w:r>
    </w:p>
    <w:p w14:paraId="10D55C01">
      <w:pPr>
        <w:widowControl/>
        <w:shd w:val="clear" w:color="auto" w:fill="FFFFFF"/>
        <w:spacing w:line="360" w:lineRule="atLeast"/>
        <w:jc w:val="distribute"/>
        <w:rPr>
          <w:rFonts w:hint="eastAsia" w:ascii="华文中宋" w:hAnsi="华文中宋" w:eastAsia="华文中宋" w:cs="Arial"/>
          <w:b/>
          <w:bCs/>
          <w:color w:val="333333"/>
          <w:kern w:val="0"/>
          <w:sz w:val="56"/>
          <w:szCs w:val="56"/>
        </w:rPr>
      </w:pPr>
      <w:r>
        <w:rPr>
          <w:rFonts w:hint="eastAsia" w:ascii="华文中宋" w:hAnsi="华文中宋" w:eastAsia="华文中宋" w:cs="Arial"/>
          <w:b/>
          <w:bCs/>
          <w:color w:val="333333"/>
          <w:kern w:val="0"/>
          <w:sz w:val="56"/>
          <w:szCs w:val="56"/>
        </w:rPr>
        <w:t>中国大学生计算机设计大赛</w:t>
      </w:r>
    </w:p>
    <w:p w14:paraId="6E3BA25B">
      <w:pPr>
        <w:widowControl/>
        <w:shd w:val="clear" w:color="auto" w:fill="FFFFFF"/>
        <w:spacing w:line="360" w:lineRule="atLeast"/>
        <w:jc w:val="center"/>
        <w:rPr>
          <w:rFonts w:ascii="Arial" w:hAnsi="Arial" w:eastAsia="宋体" w:cs="Arial"/>
          <w:color w:val="333333"/>
          <w:kern w:val="0"/>
          <w:szCs w:val="21"/>
        </w:rPr>
      </w:pPr>
    </w:p>
    <w:p w14:paraId="39848380">
      <w:pPr>
        <w:widowControl/>
        <w:shd w:val="clear" w:color="auto" w:fill="FFFFFF"/>
        <w:spacing w:before="624" w:beforeLines="200" w:after="624" w:afterLines="200" w:line="360" w:lineRule="atLeast"/>
        <w:jc w:val="center"/>
        <w:rPr>
          <w:rFonts w:hint="eastAsia" w:ascii="华文楷体" w:hAnsi="华文楷体" w:eastAsia="华文楷体" w:cs="Arial"/>
          <w:color w:val="333333"/>
          <w:kern w:val="0"/>
          <w:sz w:val="40"/>
          <w:szCs w:val="40"/>
        </w:rPr>
      </w:pPr>
      <w:r>
        <w:rPr>
          <w:rFonts w:hint="eastAsia" w:ascii="华文楷体" w:hAnsi="华文楷体" w:eastAsia="华文楷体" w:cs="Arial"/>
          <w:color w:val="333333"/>
          <w:kern w:val="0"/>
          <w:sz w:val="40"/>
          <w:szCs w:val="40"/>
          <w:lang w:val="en-US" w:eastAsia="zh-CN"/>
        </w:rPr>
        <w:t>大数据主题赛</w:t>
      </w:r>
      <w:r>
        <w:rPr>
          <w:rFonts w:hint="eastAsia" w:ascii="华文楷体" w:hAnsi="华文楷体" w:eastAsia="华文楷体" w:cs="Arial"/>
          <w:color w:val="333333"/>
          <w:kern w:val="0"/>
          <w:sz w:val="40"/>
          <w:szCs w:val="40"/>
        </w:rPr>
        <w:t>作品报告</w:t>
      </w:r>
    </w:p>
    <w:p w14:paraId="2BB59201">
      <w:pPr>
        <w:widowControl/>
        <w:shd w:val="clear" w:color="auto" w:fill="FFFFFF"/>
        <w:adjustRightInd w:val="0"/>
        <w:snapToGrid w:val="0"/>
        <w:spacing w:before="156" w:beforeLines="50" w:after="156" w:afterLines="50" w:line="360" w:lineRule="atLeast"/>
        <w:ind w:left="283" w:leftChars="135"/>
        <w:jc w:val="left"/>
        <w:rPr>
          <w:rFonts w:hint="eastAsia" w:ascii="宋体" w:hAnsi="宋体" w:eastAsia="宋体" w:cs="Arial"/>
          <w:color w:val="333333"/>
          <w:kern w:val="0"/>
          <w:sz w:val="32"/>
          <w:szCs w:val="32"/>
        </w:rPr>
      </w:pPr>
      <w:r>
        <w:t>作品编号：</w:t>
      </w:r>
    </w:p>
    <w:p w14:paraId="6FAEF54B">
      <w:pPr>
        <w:widowControl/>
        <w:shd w:val="clear" w:color="auto" w:fill="FFFFFF"/>
        <w:adjustRightInd w:val="0"/>
        <w:snapToGrid w:val="0"/>
        <w:spacing w:before="156" w:beforeLines="50" w:after="156" w:afterLines="50" w:line="360" w:lineRule="atLeast"/>
        <w:ind w:left="283" w:leftChars="135"/>
        <w:jc w:val="left"/>
        <w:rPr>
          <w:rFonts w:hint="eastAsia" w:ascii="宋体" w:hAnsi="宋体" w:eastAsia="宋体" w:cs="Arial"/>
          <w:color w:val="333333"/>
          <w:kern w:val="0"/>
          <w:sz w:val="32"/>
          <w:szCs w:val="32"/>
        </w:rPr>
      </w:pPr>
      <w:r>
        <w:t>作品名称：全球卫生资源分配与健康公平性分析</w:t>
      </w:r>
    </w:p>
    <w:p w14:paraId="2008CFF4">
      <w:pPr>
        <w:widowControl/>
        <w:shd w:val="clear" w:color="auto" w:fill="FFFFFF"/>
        <w:adjustRightInd w:val="0"/>
        <w:snapToGrid w:val="0"/>
        <w:spacing w:before="156" w:beforeLines="50" w:after="156" w:afterLines="50" w:line="360" w:lineRule="atLeast"/>
        <w:ind w:left="283" w:leftChars="135" w:firstLine="1600" w:firstLineChars="500"/>
        <w:jc w:val="left"/>
        <w:rPr>
          <w:rFonts w:hint="eastAsia" w:ascii="宋体" w:hAnsi="宋体" w:eastAsia="宋体" w:cs="Arial"/>
          <w:color w:val="333333"/>
          <w:kern w:val="0"/>
          <w:sz w:val="32"/>
          <w:szCs w:val="32"/>
        </w:rPr>
      </w:pPr>
      <w:r>
        <w:rPr>
          <w:rFonts w:hint="eastAsia" w:ascii="宋体" w:hAnsi="宋体" w:eastAsia="宋体" w:cs="Arial"/>
          <w:color w:val="333333"/>
          <w:kern w:val="0"/>
          <w:sz w:val="32"/>
          <w:szCs w:val="32"/>
          <w:u w:val="single"/>
        </w:rPr>
        <w:t>　　　　　　　　　　　　　　　　　　　</w:t>
      </w:r>
    </w:p>
    <w:p w14:paraId="30D24118">
      <w:pPr>
        <w:widowControl/>
        <w:shd w:val="clear" w:color="auto" w:fill="FFFFFF"/>
        <w:adjustRightInd w:val="0"/>
        <w:snapToGrid w:val="0"/>
        <w:spacing w:before="156" w:beforeLines="50" w:after="156" w:afterLines="50" w:line="360" w:lineRule="atLeast"/>
        <w:ind w:left="283" w:leftChars="135"/>
        <w:jc w:val="left"/>
        <w:rPr>
          <w:rFonts w:hint="eastAsia" w:ascii="宋体" w:hAnsi="宋体" w:eastAsia="宋体" w:cs="Arial"/>
          <w:color w:val="333333"/>
          <w:kern w:val="0"/>
          <w:sz w:val="32"/>
          <w:szCs w:val="32"/>
        </w:rPr>
      </w:pPr>
      <w:r>
        <w:t>填写日期：2026年4月21日</w:t>
      </w:r>
    </w:p>
    <w:p>
      <w:r>
        <w:br w:type="page"/>
      </w:r>
    </w:p>
    <w:bookmarkStart w:id="20" w:name="作品概述"/>
    <w:p>
      <w:pPr>
        <w:pStyle w:val="2"/>
      </w:pPr>
      <w:r>
        <w:t xml:space="preserve">作品概述</w:t>
      </w:r>
    </w:p>
    <w:p>
      <w:pPr>
        <w:pStyle w:val="3"/>
      </w:pPr>
      <w:r>
        <w:t xml:space="preserve">本作品聚焦赛题第三问</w:t>
      </w:r>
      <w:r>
        <w:t xml:space="preserve">“</w:t>
      </w:r>
      <w:r>
        <w:t xml:space="preserve">全球卫生资源分配与健康公平性</w:t>
      </w:r>
      <w:r>
        <w:t xml:space="preserve">”</w:t>
      </w:r>
      <w:r>
        <w:t xml:space="preserve">主题，围绕卫生资源是否匹配疾病负担这一核心问题展开建模分析。不同国家在医生密度、床位供给、卫生支出和健康产出方面存在显著差异，仅从投入规模判断资源是否充足容易忽略疾病负担和治理效率。因此，本文将问题三拆解为</w:t>
      </w:r>
      <w:r>
        <w:t xml:space="preserve">“</w:t>
      </w:r>
      <w:r>
        <w:t xml:space="preserve">缺口识别—类型划分—优化调配—政策建议</w:t>
      </w:r>
      <w:r>
        <w:t xml:space="preserve">”</w:t>
      </w:r>
      <w:r>
        <w:t xml:space="preserve">的递进链条，试图回答三个问题：哪些国家资源配置明显低于理论需求，哪些国家处在高投入低产出或低投入高产出的结构位置，若以最大化健康产出或降低健康不平等为目标，资源应如何在全球国家间和中国省级内部重新配置。</w:t>
      </w:r>
    </w:p>
    <w:p>
      <w:pPr>
        <w:pStyle w:val="3"/>
      </w:pPr>
      <w:r>
        <w:t xml:space="preserve">本文整合IHMEGBD、WorldBankHNP、WDI和国家统计局等多源数据，构建投入指数、产出指数和需求指数，识别2023年全球卫生资源缺口的空间分布；随后以投入—产出双中位数为边界建立四象限评估矩阵，并引入Gini系数、Theil指数和σ收敛指标刻画健康公平性；最后，以人均卫生支出作为可调配资源代理，分别构建效率优先和公平优先两类约束优化模型，并在中国31个省级行政区样本中复刻同一分析框架。研究结果表明，全球卫生资源短板高度集中于AFRO地区，中国省级层面的补短板方向主要指向中西部地区；同时，高投入低产出地区需要从</w:t>
      </w:r>
      <w:r>
        <w:t xml:space="preserve">“</w:t>
      </w:r>
      <w:r>
        <w:t xml:space="preserve">加资源</w:t>
      </w:r>
      <w:r>
        <w:t xml:space="preserve">”</w:t>
      </w:r>
      <w:r>
        <w:t xml:space="preserve">转向</w:t>
      </w:r>
      <w:r>
        <w:t xml:space="preserve">“</w:t>
      </w:r>
      <w:r>
        <w:t xml:space="preserve">提效率</w:t>
      </w:r>
      <w:r>
        <w:t xml:space="preserve">”</w:t>
      </w:r>
      <w:r>
        <w:t xml:space="preserve">，低投入高产出地区则具有可推广的治理经验。</w:t>
      </w:r>
    </w:p>
    <w:bookmarkEnd w:id="20"/>
    <w:bookmarkStart w:id="25" w:name="问题分析与研究思路"/>
    <w:p>
      <w:pPr>
        <w:pStyle w:val="2"/>
      </w:pPr>
      <w:r>
        <w:t xml:space="preserve">问题分析与研究思路</w:t>
      </w:r>
    </w:p>
    <w:bookmarkStart w:id="21" w:name="问题分析"/>
    <w:p>
      <w:pPr>
        <w:pStyle w:val="4"/>
      </w:pPr>
      <w:r>
        <w:t xml:space="preserve">问题分析</w:t>
      </w:r>
    </w:p>
    <w:p>
      <w:pPr>
        <w:pStyle w:val="3"/>
      </w:pPr>
      <w:r>
        <w:t xml:space="preserve">问题三关注卫生资源、疾病负担和健康公平之间的匹配关系。与单纯比较医生数量或卫生支出不同，本题要求把</w:t>
      </w:r>
      <w:r>
        <w:t xml:space="preserve">“</w:t>
      </w:r>
      <w:r>
        <w:t xml:space="preserve">实际供给</w:t>
      </w:r>
      <w:r>
        <w:t xml:space="preserve">”</w:t>
      </w:r>
      <w:r>
        <w:t xml:space="preserve">“</w:t>
      </w:r>
      <w:r>
        <w:t xml:space="preserve">健康产出</w:t>
      </w:r>
      <w:r>
        <w:t xml:space="preserve">”</w:t>
      </w:r>
      <w:r>
        <w:t xml:space="preserve">“</w:t>
      </w:r>
      <w:r>
        <w:t xml:space="preserve">理论需求</w:t>
      </w:r>
      <w:r>
        <w:t xml:space="preserve">”</w:t>
      </w:r>
      <w:r>
        <w:t xml:space="preserve">放在同一框架下考察，并进一步给出优化调配方案。因此，问题的关键不只是判断资源多或少，而是判断资源是否投向了更需要、也更能产生边际健康收益的地区。</w:t>
      </w:r>
    </w:p>
    <w:p>
      <w:pPr>
        <w:pStyle w:val="3"/>
      </w:pPr>
      <w:r>
        <w:t xml:space="preserve">从赛题要求看，问题三可以概括为三条主线。第一条主线是缺口识别，即测算各国实际卫生资源配置水平与疾病负担导向理论需求之间的差距，并在地图上分级标注。第二条主线是类型评估，即通过投入—产出矩阵区分高投入高产出、高投入低产出、低投入高产出和低投入低产出四类地区，并进一步考察健康结果是否在不同人群间公平分布。第三条主线是优化模拟，即设定效率优先或公平优先目标，模拟资源在全球国家间和一国内部的再分配路径，进而为不同类型地区提出政策建议。</w:t>
      </w:r>
    </w:p>
    <w:p>
      <w:pPr>
        <w:pStyle w:val="3"/>
      </w:pPr>
      <w:r>
        <w:t xml:space="preserve">该问题的难点主要有三点。首先，多源数据口径不同，必须在国家名称、年份和指标单位上统一处理。其次，卫生资源的</w:t>
      </w:r>
      <w:r>
        <w:t xml:space="preserve">“</w:t>
      </w:r>
      <w:r>
        <w:t xml:space="preserve">需求</w:t>
      </w:r>
      <w:r>
        <w:t xml:space="preserve">”</w:t>
      </w:r>
      <w:r>
        <w:t xml:space="preserve">并不等于人口规模，还与传染性疾病占比、婴儿死亡率、5岁以下死亡率和预期寿命等疾病负担指标相关。再次，优化目标具有张力：总健康产出最大化可能倾向于边际收益最高地区，而健康不平等最小化则更强调最弱地区的底线改善。因此，本文采用分层建模方式，将识别、分类、优化和建议依次展开。</w:t>
      </w:r>
    </w:p>
    <w:bookmarkEnd w:id="21"/>
    <w:bookmarkStart w:id="22" w:name="研究思路"/>
    <w:p>
      <w:pPr>
        <w:pStyle w:val="4"/>
      </w:pPr>
      <w:r>
        <w:t xml:space="preserve">研究思路</w:t>
      </w:r>
    </w:p>
    <w:p>
      <w:pPr>
        <w:pStyle w:val="3"/>
      </w:pPr>
      <w:r>
        <w:t xml:space="preserve">本文借鉴往年获奖作品中</w:t>
      </w:r>
      <w:r>
        <w:t xml:space="preserve">“</w:t>
      </w:r>
      <w:r>
        <w:t xml:space="preserve">公共背景—专题章节—结论建议</w:t>
      </w:r>
      <w:r>
        <w:t xml:space="preserve">”</w:t>
      </w:r>
      <w:r>
        <w:t xml:space="preserve">的叙事方式，将问题三设计为一条从现状识别到政策闭环的分析路径。首先，以多源健康数据构建投入指数、产出指数和需求指数，形成刻画卫生系统供需关系的核心变量。其次，以资源缺口和四象限矩阵作为两类诊断工具，分别回答</w:t>
      </w:r>
      <w:r>
        <w:t xml:space="preserve">“</w:t>
      </w:r>
      <w:r>
        <w:t xml:space="preserve">哪里资源不足</w:t>
      </w:r>
      <w:r>
        <w:t xml:space="preserve">”</w:t>
      </w:r>
      <w:r>
        <w:t xml:space="preserve">和</w:t>
      </w:r>
      <w:r>
        <w:t xml:space="preserve">“</w:t>
      </w:r>
      <w:r>
        <w:t xml:space="preserve">哪里资源使用效率偏低</w:t>
      </w:r>
      <w:r>
        <w:t xml:space="preserve">”</w:t>
      </w:r>
      <w:r>
        <w:t xml:space="preserve">。再次，将公平性指标纳入评估体系，避免只关注平均健康产出而忽视国家间和地区间差异。最后，在优化模型中分别模拟效率优先和公平优先两种目标，让模型输出回到政策解释层面，形成</w:t>
      </w:r>
      <w:r>
        <w:t xml:space="preserve">“</w:t>
      </w:r>
      <w:r>
        <w:t xml:space="preserve">测度—分类—调配—治理</w:t>
      </w:r>
      <w:r>
        <w:t xml:space="preserve">”</w:t>
      </w:r>
      <w:r>
        <w:t xml:space="preserve">的闭环。</w:t>
      </w:r>
    </w:p>
    <w:p>
      <w:pPr>
        <w:pStyle w:val="3"/>
      </w:pPr>
      <w:r>
        <w:t xml:space="preserve">在合作文档结构中，前三章为公共章节，第4章和第5章分别由其他成员完成问题一和问题二。本文负责的问题三对应整篇文档第6章，因此后续专题内容统一放在</w:t>
      </w:r>
      <w:r>
        <w:t xml:space="preserve">“</w:t>
      </w:r>
      <w:r>
        <w:t xml:space="preserve">6卫生资源配置的缺口识别、类型评估与优化调配</w:t>
      </w:r>
      <w:r>
        <w:t xml:space="preserve">”</w:t>
      </w:r>
      <w:r>
        <w:t xml:space="preserve">之下，并按6.1、6.2、6.3、6.4组织。这样既保留公共背景和数据处理，又避免占用其他成员负责的第4章、第5章。</w:t>
      </w:r>
    </w:p>
    <w:bookmarkEnd w:id="22"/>
    <w:bookmarkStart w:id="24" w:name="技术路线"/>
    <w:p>
      <w:pPr>
        <w:pStyle w:val="4"/>
      </w:pPr>
      <w:r>
        <w:t xml:space="preserve">技术路线</w:t>
      </w:r>
    </w:p>
    <w:p xmlns:a="http://schemas.openxmlformats.org/drawingml/2006/main" xmlns:pic="http://schemas.openxmlformats.org/drawingml/2006/picture">
      <w:pPr>
        <w:pStyle w:val="40"/>
        <w:jc w:val="center"/>
      </w:pPr>
      <w:r>
        <w:drawing>
          <wp:inline>
            <wp:extent cx="5270500" cy="2744834"/>
            <wp:effectExtent b="0" l="0" r="0" t="0"/>
            <wp:docPr descr="图3-0问题三技术路线图" title="" id="1" name="Picture"/>
            <a:graphic>
              <a:graphicData uri="http://schemas.openxmlformats.org/drawingml/2006/picture">
                <pic:pic>
                  <pic:nvPicPr>
                    <pic:cNvPr descr="reports/paper/assets/p3_00_tech_route.png" id="0" name="Picture"/>
                    <pic:cNvPicPr>
                      <a:picLocks noChangeArrowheads="1" noChangeAspect="1"/>
                    </pic:cNvPicPr>
                  </pic:nvPicPr>
                  <pic:blipFill>
                    <a:blip r:embed="rId11"/>
                    <a:stretch>
                      <a:fillRect/>
                    </a:stretch>
                  </pic:blipFill>
                  <pic:spPr bwMode="auto">
                    <a:xfrm>
                      <a:off x="0" y="0"/>
                      <a:ext cx="5270500" cy="2744834"/>
                    </a:xfrm>
                    <a:prstGeom prst="rect">
                      <a:avLst/>
                    </a:prstGeom>
                    <a:noFill/>
                    <a:ln w="9525">
                      <a:noFill/>
                      <a:headEnd/>
                      <a:tailEnd/>
                    </a:ln>
                  </pic:spPr>
                </pic:pic>
              </a:graphicData>
            </a:graphic>
          </wp:inline>
        </w:drawing>
      </w:r>
    </w:p>
    <w:p>
      <w:pPr>
        <w:pStyle w:val="3"/>
      </w:pPr>
      <w:r>
        <w:t xml:space="preserve">图3-0问题三技术路线图</w:t>
      </w:r>
    </w:p>
    <w:p>
      <w:pPr>
        <w:pStyle w:val="3"/>
      </w:pPr>
      <w:r>
        <w:t xml:space="preserve">图3-0展示了本文的整体技术路线。数据层面，本文从全球健康、疾病负担、社会经济和中国省级卫生数据中提取一级指标；指标层面，通过标准化和加权合成得到投入指数、产出指数和需求指数；分析层面，依次完成资源缺口识别、四象限分类、公平性检验和分象限生产函数拟合；优化层面，分别输出全球国家间和中国省级内部的再分配方案；建议层面，结合Q2、Q3和Q4三类地区特征形成差异化治理路径。</w:t>
      </w:r>
    </w:p>
    <w:bookmarkEnd w:id="24"/>
    <w:bookmarkEnd w:id="25"/>
    <w:bookmarkStart w:id="38" w:name="数据集与预处理"/>
    <w:p>
      <w:pPr>
        <w:pStyle w:val="2"/>
      </w:pPr>
      <w:r>
        <w:t xml:space="preserve">数据集与预处理</w:t>
      </w:r>
    </w:p>
    <w:bookmarkStart w:id="26" w:name="数据来源与类型"/>
    <w:p>
      <w:pPr>
        <w:pStyle w:val="4"/>
      </w:pPr>
      <w:r>
        <w:t xml:space="preserve">数据来源与类型</w:t>
      </w:r>
    </w:p>
    <w:p>
      <w:pPr>
        <w:pStyle w:val="3"/>
      </w:pPr>
      <w:r>
        <w:t xml:space="preserve">表3-1问题三数据来源与类型</w:t>
      </w:r>
    </w:p>
    <w:tbl>
      <w:tblPr>
        <w:tblStyle w:val="21"/>
        <w:tblW w:type="auto" w:w="0"/>
        <w:jc w:val="center"/>
        <w:tblLayout w:type="fixed"/>
        <w:tblLook w:firstColumn="1" w:firstRow="1" w:lastColumn="0" w:lastRow="0" w:noHBand="0" w:noVBand="1" w:val="04A0"/>
      </w:tblPr>
      <w:tblGrid>
        <w:gridCol w:w="2076"/>
        <w:gridCol w:w="2076"/>
        <w:gridCol w:w="2076"/>
        <w:gridCol w:w="2076"/>
      </w:tblGrid>
      <w:tr>
        <w:tc>
          <w:tcPr>
            <w:tcW w:type="dxa" w:w="1247"/>
          </w:tcPr>
          <w:p>
            <w:pPr>
              <w:jc w:val="center"/>
            </w:pPr>
            <w:r>
              <w:rPr>
                <w:b/>
                <w:sz w:val="18"/>
              </w:rPr>
              <w:t>数据类型</w:t>
            </w:r>
          </w:p>
        </w:tc>
        <w:tc>
          <w:tcPr>
            <w:tcW w:type="dxa" w:w="1701"/>
          </w:tcPr>
          <w:p>
            <w:pPr>
              <w:jc w:val="center"/>
            </w:pPr>
            <w:r>
              <w:rPr>
                <w:b/>
                <w:sz w:val="18"/>
              </w:rPr>
              <w:t>数据来源</w:t>
            </w:r>
          </w:p>
        </w:tc>
        <w:tc>
          <w:tcPr>
            <w:tcW w:type="dxa" w:w="2494"/>
          </w:tcPr>
          <w:p>
            <w:pPr>
              <w:jc w:val="center"/>
            </w:pPr>
            <w:r>
              <w:rPr>
                <w:b/>
                <w:sz w:val="18"/>
              </w:rPr>
              <w:t>核心字段</w:t>
            </w:r>
          </w:p>
        </w:tc>
        <w:tc>
          <w:tcPr>
            <w:tcW w:type="dxa" w:w="2494"/>
          </w:tcPr>
          <w:p>
            <w:pPr>
              <w:jc w:val="center"/>
            </w:pPr>
            <w:r>
              <w:rPr>
                <w:b/>
                <w:sz w:val="18"/>
              </w:rPr>
              <w:t>用途与规模</w:t>
            </w:r>
          </w:p>
        </w:tc>
      </w:tr>
      <w:tr>
        <w:tc>
          <w:tcPr>
            <w:tcW w:type="dxa" w:w="1247"/>
          </w:tcPr>
          <w:p>
            <w:pPr>
              <w:jc w:val="left"/>
            </w:pPr>
            <w:r>
              <w:rPr>
                <w:sz w:val="18"/>
              </w:rPr>
              <w:t>疾病死亡</w:t>
            </w:r>
          </w:p>
        </w:tc>
        <w:tc>
          <w:tcPr>
            <w:tcW w:type="dxa" w:w="1701"/>
          </w:tcPr>
          <w:p>
            <w:pPr>
              <w:jc w:val="left"/>
            </w:pPr>
            <w:r>
              <w:rPr>
                <w:sz w:val="18"/>
              </w:rPr>
              <w:t>IHMEGBD</w:t>
            </w:r>
          </w:p>
        </w:tc>
        <w:tc>
          <w:tcPr>
            <w:tcW w:type="dxa" w:w="2494"/>
          </w:tcPr>
          <w:p>
            <w:pPr>
              <w:jc w:val="left"/>
            </w:pPr>
            <w:r>
              <w:rPr>
                <w:sz w:val="18"/>
              </w:rPr>
              <w:t>死因、死亡人数、上下界</w:t>
            </w:r>
          </w:p>
        </w:tc>
        <w:tc>
          <w:tcPr>
            <w:tcW w:type="dxa" w:w="2494"/>
          </w:tcPr>
          <w:p>
            <w:pPr>
              <w:jc w:val="left"/>
            </w:pPr>
            <w:r>
              <w:rPr>
                <w:sz w:val="18"/>
              </w:rPr>
              <w:t>构造疾病负担与传染病占比；2000—2023年</w:t>
            </w:r>
          </w:p>
        </w:tc>
      </w:tr>
      <w:tr>
        <w:tc>
          <w:tcPr>
            <w:tcW w:type="dxa" w:w="1247"/>
          </w:tcPr>
          <w:p>
            <w:pPr>
              <w:jc w:val="left"/>
            </w:pPr>
            <w:r>
              <w:rPr>
                <w:sz w:val="18"/>
              </w:rPr>
              <w:t>风险因素</w:t>
            </w:r>
          </w:p>
        </w:tc>
        <w:tc>
          <w:tcPr>
            <w:tcW w:type="dxa" w:w="1701"/>
          </w:tcPr>
          <w:p>
            <w:pPr>
              <w:jc w:val="left"/>
            </w:pPr>
            <w:r>
              <w:rPr>
                <w:sz w:val="18"/>
              </w:rPr>
              <w:t>IHMEGBD</w:t>
            </w:r>
          </w:p>
        </w:tc>
        <w:tc>
          <w:tcPr>
            <w:tcW w:type="dxa" w:w="2494"/>
          </w:tcPr>
          <w:p>
            <w:pPr>
              <w:jc w:val="left"/>
            </w:pPr>
            <w:r>
              <w:rPr>
                <w:sz w:val="18"/>
              </w:rPr>
              <w:t>风险因素、归因死亡</w:t>
            </w:r>
          </w:p>
        </w:tc>
        <w:tc>
          <w:tcPr>
            <w:tcW w:type="dxa" w:w="2494"/>
          </w:tcPr>
          <w:p>
            <w:pPr>
              <w:jc w:val="left"/>
            </w:pPr>
            <w:r>
              <w:rPr>
                <w:sz w:val="18"/>
              </w:rPr>
              <w:t>辅助解释健康风险；2000—2023年</w:t>
            </w:r>
          </w:p>
        </w:tc>
      </w:tr>
      <w:tr>
        <w:tc>
          <w:tcPr>
            <w:tcW w:type="dxa" w:w="1247"/>
          </w:tcPr>
          <w:p>
            <w:pPr>
              <w:jc w:val="left"/>
            </w:pPr>
            <w:r>
              <w:rPr>
                <w:sz w:val="18"/>
              </w:rPr>
              <w:t>全球卫生人口</w:t>
            </w:r>
          </w:p>
        </w:tc>
        <w:tc>
          <w:tcPr>
            <w:tcW w:type="dxa" w:w="1701"/>
          </w:tcPr>
          <w:p>
            <w:pPr>
              <w:jc w:val="left"/>
            </w:pPr>
            <w:r>
              <w:rPr>
                <w:sz w:val="18"/>
              </w:rPr>
              <w:t>WorldBankHNP/WDI</w:t>
            </w:r>
          </w:p>
        </w:tc>
        <w:tc>
          <w:tcPr>
            <w:tcW w:type="dxa" w:w="2494"/>
          </w:tcPr>
          <w:p>
            <w:pPr>
              <w:jc w:val="left"/>
            </w:pPr>
            <w:r>
              <w:rPr>
                <w:sz w:val="18"/>
              </w:rPr>
              <w:t>Phys、Beds、LE、IMR、U5MR、HExpPC</w:t>
            </w:r>
          </w:p>
        </w:tc>
        <w:tc>
          <w:tcPr>
            <w:tcW w:type="dxa" w:w="2494"/>
          </w:tcPr>
          <w:p>
            <w:pPr>
              <w:jc w:val="left"/>
            </w:pPr>
            <w:r>
              <w:rPr>
                <w:sz w:val="18"/>
              </w:rPr>
              <w:t>构造国家投入、产出和需求指数</w:t>
            </w:r>
          </w:p>
        </w:tc>
      </w:tr>
      <w:tr>
        <w:tc>
          <w:tcPr>
            <w:tcW w:type="dxa" w:w="1247"/>
          </w:tcPr>
          <w:p>
            <w:pPr>
              <w:jc w:val="left"/>
            </w:pPr>
            <w:r>
              <w:rPr>
                <w:sz w:val="18"/>
              </w:rPr>
              <w:t>国家分组</w:t>
            </w:r>
          </w:p>
        </w:tc>
        <w:tc>
          <w:tcPr>
            <w:tcW w:type="dxa" w:w="1701"/>
          </w:tcPr>
          <w:p>
            <w:pPr>
              <w:jc w:val="left"/>
            </w:pPr>
            <w:r>
              <w:rPr>
                <w:sz w:val="18"/>
              </w:rPr>
              <w:t>WDICountry</w:t>
            </w:r>
          </w:p>
        </w:tc>
        <w:tc>
          <w:tcPr>
            <w:tcW w:type="dxa" w:w="2494"/>
          </w:tcPr>
          <w:p>
            <w:pPr>
              <w:jc w:val="left"/>
            </w:pPr>
            <w:r>
              <w:rPr>
                <w:sz w:val="18"/>
              </w:rPr>
              <w:t>IncomeGroup、地区信息</w:t>
            </w:r>
          </w:p>
        </w:tc>
        <w:tc>
          <w:tcPr>
            <w:tcW w:type="dxa" w:w="2494"/>
          </w:tcPr>
          <w:p>
            <w:pPr>
              <w:jc w:val="left"/>
            </w:pPr>
            <w:r>
              <w:rPr>
                <w:sz w:val="18"/>
              </w:rPr>
              <w:t>用于收入组和WHO地区分组</w:t>
            </w:r>
          </w:p>
        </w:tc>
      </w:tr>
      <w:tr>
        <w:tc>
          <w:tcPr>
            <w:tcW w:type="dxa" w:w="1247"/>
          </w:tcPr>
          <w:p>
            <w:pPr>
              <w:jc w:val="left"/>
            </w:pPr>
            <w:r>
              <w:rPr>
                <w:sz w:val="18"/>
              </w:rPr>
              <w:t>中国省级</w:t>
            </w:r>
          </w:p>
        </w:tc>
        <w:tc>
          <w:tcPr>
            <w:tcW w:type="dxa" w:w="1701"/>
          </w:tcPr>
          <w:p>
            <w:pPr>
              <w:jc w:val="left"/>
            </w:pPr>
            <w:r>
              <w:rPr>
                <w:sz w:val="18"/>
              </w:rPr>
              <w:t>国家统计局</w:t>
            </w:r>
          </w:p>
        </w:tc>
        <w:tc>
          <w:tcPr>
            <w:tcW w:type="dxa" w:w="2494"/>
          </w:tcPr>
          <w:p>
            <w:pPr>
              <w:jc w:val="left"/>
            </w:pPr>
            <w:r>
              <w:rPr>
                <w:sz w:val="18"/>
              </w:rPr>
              <w:t>卫生人员、机构、寿命、出生率</w:t>
            </w:r>
          </w:p>
        </w:tc>
        <w:tc>
          <w:tcPr>
            <w:tcW w:type="dxa" w:w="2494"/>
          </w:tcPr>
          <w:p>
            <w:pPr>
              <w:jc w:val="left"/>
            </w:pPr>
            <w:r>
              <w:rPr>
                <w:sz w:val="18"/>
              </w:rPr>
              <w:t>31省×20年，用于省级再分配</w:t>
            </w:r>
          </w:p>
        </w:tc>
      </w:tr>
    </w:tbl>
    <w:p>
      <w:pPr>
        <w:pStyle w:val="3"/>
      </w:pPr>
      <w:r>
        <w:t xml:space="preserve">本文使用的数据可以分为全球国家数据和中国省级数据两类。全球层面，IHMEGBD数据提供疾病死亡和风险因素信息，WorldBankHNP与WDI提供卫生投入、人口健康和收入分组信息；中国层面，国家统计局数据提供31个省级行政区2005—2024年的卫生人员、医疗机构、出生率、死亡率和预期寿命等指标。多源数据共同支撑全球—中国两级分析，使模型既能识别国际差异，也能落到一国内部资源再配置场景。</w:t>
      </w:r>
    </w:p>
    <w:bookmarkEnd w:id="26"/>
    <w:bookmarkStart w:id="37" w:name="数据预处理流程"/>
    <w:p>
      <w:pPr>
        <w:pStyle w:val="4"/>
      </w:pPr>
      <w:r>
        <w:t xml:space="preserve">数据预处理流程</w:t>
      </w:r>
    </w:p>
    <w:p>
      <w:pPr>
        <w:pStyle w:val="3"/>
      </w:pPr>
      <w:r>
        <w:t xml:space="preserve">表3-2一级指标提取与定义</w:t>
      </w:r>
    </w:p>
    <w:tbl>
      <w:tblPr>
        <w:tblStyle w:val="21"/>
        <w:tblW w:type="auto" w:w="0"/>
        <w:jc w:val="center"/>
        <w:tblLayout w:type="fixed"/>
        <w:tblLook w:firstColumn="1" w:firstRow="1" w:lastColumn="0" w:lastRow="0" w:noHBand="0" w:noVBand="1" w:val="04A0"/>
      </w:tblPr>
      <w:tblGrid>
        <w:gridCol w:w="2076"/>
        <w:gridCol w:w="2076"/>
        <w:gridCol w:w="2076"/>
        <w:gridCol w:w="2076"/>
      </w:tblGrid>
      <w:tr>
        <w:tc>
          <w:tcPr>
            <w:tcW w:type="dxa" w:w="1417"/>
          </w:tcPr>
          <w:p>
            <w:pPr>
              <w:jc w:val="center"/>
            </w:pPr>
            <w:r>
              <w:rPr>
                <w:b/>
                <w:sz w:val="20"/>
              </w:rPr>
              <w:t>指标名称</w:t>
            </w:r>
          </w:p>
        </w:tc>
        <w:tc>
          <w:tcPr>
            <w:tcW w:type="dxa" w:w="737"/>
          </w:tcPr>
          <w:p>
            <w:pPr>
              <w:jc w:val="center"/>
            </w:pPr>
            <w:r>
              <w:rPr>
                <w:b/>
                <w:sz w:val="20"/>
              </w:rPr>
              <w:t>代号</w:t>
            </w:r>
          </w:p>
        </w:tc>
        <w:tc>
          <w:tcPr>
            <w:tcW w:type="dxa" w:w="1757"/>
          </w:tcPr>
          <w:p>
            <w:pPr>
              <w:jc w:val="center"/>
            </w:pPr>
            <w:r>
              <w:rPr>
                <w:b/>
                <w:sz w:val="20"/>
              </w:rPr>
              <w:t>来源指标码</w:t>
            </w:r>
          </w:p>
        </w:tc>
        <w:tc>
          <w:tcPr>
            <w:tcW w:type="dxa" w:w="3969"/>
          </w:tcPr>
          <w:p>
            <w:pPr>
              <w:jc w:val="center"/>
            </w:pPr>
            <w:r>
              <w:rPr>
                <w:b/>
                <w:sz w:val="20"/>
              </w:rPr>
              <w:t>说明</w:t>
            </w:r>
          </w:p>
        </w:tc>
      </w:tr>
      <w:tr>
        <w:tc>
          <w:tcPr>
            <w:tcW w:type="dxa" w:w="1417"/>
          </w:tcPr>
          <w:p>
            <w:pPr>
              <w:jc w:val="left"/>
            </w:pPr>
            <w:r>
              <w:rPr>
                <w:sz w:val="20"/>
              </w:rPr>
              <w:t>医生密度</w:t>
            </w:r>
          </w:p>
        </w:tc>
        <w:tc>
          <w:tcPr>
            <w:tcW w:type="dxa" w:w="737"/>
          </w:tcPr>
          <w:p>
            <w:pPr>
              <w:jc w:val="left"/>
            </w:pPr>
            <w:r>
              <w:rPr>
                <w:sz w:val="20"/>
              </w:rPr>
              <w:t>Phys</w:t>
            </w:r>
          </w:p>
        </w:tc>
        <w:tc>
          <w:tcPr>
            <w:tcW w:type="dxa" w:w="1757"/>
          </w:tcPr>
          <w:p>
            <w:pPr>
              <w:jc w:val="left"/>
            </w:pPr>
            <w:r>
              <w:rPr>
                <w:sz w:val="20"/>
              </w:rPr>
              <w:t>SH.MED.PHYS.ZS</w:t>
            </w:r>
          </w:p>
        </w:tc>
        <w:tc>
          <w:tcPr>
            <w:tcW w:type="dxa" w:w="3969"/>
          </w:tcPr>
          <w:p>
            <w:pPr>
              <w:jc w:val="left"/>
            </w:pPr>
            <w:r>
              <w:rPr>
                <w:sz w:val="20"/>
              </w:rPr>
              <w:t>每千人医生数，03优先，缺失回退04</w:t>
            </w:r>
          </w:p>
        </w:tc>
      </w:tr>
      <w:tr>
        <w:tc>
          <w:tcPr>
            <w:tcW w:type="dxa" w:w="1417"/>
          </w:tcPr>
          <w:p>
            <w:pPr>
              <w:jc w:val="left"/>
            </w:pPr>
            <w:r>
              <w:rPr>
                <w:sz w:val="20"/>
              </w:rPr>
              <w:t>床位密度</w:t>
            </w:r>
          </w:p>
        </w:tc>
        <w:tc>
          <w:tcPr>
            <w:tcW w:type="dxa" w:w="737"/>
          </w:tcPr>
          <w:p>
            <w:pPr>
              <w:jc w:val="left"/>
            </w:pPr>
            <w:r>
              <w:rPr>
                <w:sz w:val="20"/>
              </w:rPr>
              <w:t>Beds</w:t>
            </w:r>
          </w:p>
        </w:tc>
        <w:tc>
          <w:tcPr>
            <w:tcW w:type="dxa" w:w="1757"/>
          </w:tcPr>
          <w:p>
            <w:pPr>
              <w:jc w:val="left"/>
            </w:pPr>
            <w:r>
              <w:rPr>
                <w:sz w:val="20"/>
              </w:rPr>
              <w:t>SH.MED.BEDS.ZS</w:t>
            </w:r>
          </w:p>
        </w:tc>
        <w:tc>
          <w:tcPr>
            <w:tcW w:type="dxa" w:w="3969"/>
          </w:tcPr>
          <w:p>
            <w:pPr>
              <w:jc w:val="left"/>
            </w:pPr>
            <w:r>
              <w:rPr>
                <w:sz w:val="20"/>
              </w:rPr>
              <w:t>每千人床位数，03优先，缺失回退04</w:t>
            </w:r>
          </w:p>
        </w:tc>
      </w:tr>
      <w:tr>
        <w:tc>
          <w:tcPr>
            <w:tcW w:type="dxa" w:w="1417"/>
          </w:tcPr>
          <w:p>
            <w:pPr>
              <w:jc w:val="left"/>
            </w:pPr>
            <w:r>
              <w:rPr>
                <w:sz w:val="20"/>
              </w:rPr>
              <w:t>卫生支出占GDP</w:t>
            </w:r>
          </w:p>
        </w:tc>
        <w:tc>
          <w:tcPr>
            <w:tcW w:type="dxa" w:w="737"/>
          </w:tcPr>
          <w:p>
            <w:pPr>
              <w:jc w:val="left"/>
            </w:pPr>
            <w:r>
              <w:rPr>
                <w:sz w:val="20"/>
              </w:rPr>
              <w:t>HExp</w:t>
            </w:r>
          </w:p>
        </w:tc>
        <w:tc>
          <w:tcPr>
            <w:tcW w:type="dxa" w:w="1757"/>
          </w:tcPr>
          <w:p>
            <w:pPr>
              <w:jc w:val="left"/>
            </w:pPr>
            <w:r>
              <w:rPr>
                <w:sz w:val="20"/>
              </w:rPr>
              <w:t>SH.XPD.CHEX.GD.ZS</w:t>
            </w:r>
          </w:p>
        </w:tc>
        <w:tc>
          <w:tcPr>
            <w:tcW w:type="dxa" w:w="3969"/>
          </w:tcPr>
          <w:p>
            <w:pPr>
              <w:jc w:val="left"/>
            </w:pPr>
            <w:r>
              <w:rPr>
                <w:sz w:val="20"/>
              </w:rPr>
              <w:t>世界银行指标，单位为百分比</w:t>
            </w:r>
          </w:p>
        </w:tc>
      </w:tr>
      <w:tr>
        <w:tc>
          <w:tcPr>
            <w:tcW w:type="dxa" w:w="1417"/>
          </w:tcPr>
          <w:p>
            <w:pPr>
              <w:jc w:val="left"/>
            </w:pPr>
            <w:r>
              <w:rPr>
                <w:sz w:val="20"/>
              </w:rPr>
              <w:t>人均卫生支出</w:t>
            </w:r>
          </w:p>
        </w:tc>
        <w:tc>
          <w:tcPr>
            <w:tcW w:type="dxa" w:w="737"/>
          </w:tcPr>
          <w:p>
            <w:pPr>
              <w:jc w:val="left"/>
            </w:pPr>
            <w:r>
              <w:rPr>
                <w:sz w:val="20"/>
              </w:rPr>
              <w:t>HExpPC</w:t>
            </w:r>
          </w:p>
        </w:tc>
        <w:tc>
          <w:tcPr>
            <w:tcW w:type="dxa" w:w="1757"/>
          </w:tcPr>
          <w:p>
            <w:pPr>
              <w:jc w:val="left"/>
            </w:pPr>
            <w:r>
              <w:rPr>
                <w:sz w:val="20"/>
              </w:rPr>
              <w:t>SH.XPD.CHEX.PC.CD</w:t>
            </w:r>
          </w:p>
        </w:tc>
        <w:tc>
          <w:tcPr>
            <w:tcW w:type="dxa" w:w="3969"/>
          </w:tcPr>
          <w:p>
            <w:pPr>
              <w:jc w:val="left"/>
            </w:pPr>
            <w:r>
              <w:rPr>
                <w:sz w:val="20"/>
              </w:rPr>
              <w:t>当前美元口径</w:t>
            </w:r>
          </w:p>
        </w:tc>
      </w:tr>
      <w:tr>
        <w:tc>
          <w:tcPr>
            <w:tcW w:type="dxa" w:w="1417"/>
          </w:tcPr>
          <w:p>
            <w:pPr>
              <w:jc w:val="left"/>
            </w:pPr>
            <w:r>
              <w:rPr>
                <w:sz w:val="20"/>
              </w:rPr>
              <w:t>传染性疾病占比</w:t>
            </w:r>
          </w:p>
        </w:tc>
        <w:tc>
          <w:tcPr>
            <w:tcW w:type="dxa" w:w="737"/>
          </w:tcPr>
          <w:p>
            <w:pPr>
              <w:jc w:val="left"/>
            </w:pPr>
            <w:r>
              <w:rPr>
                <w:sz w:val="20"/>
              </w:rPr>
              <w:t>CommSh</w:t>
            </w:r>
          </w:p>
        </w:tc>
        <w:tc>
          <w:tcPr>
            <w:tcW w:type="dxa" w:w="1757"/>
          </w:tcPr>
          <w:p>
            <w:pPr>
              <w:jc w:val="left"/>
            </w:pPr>
            <w:r>
              <w:rPr>
                <w:sz w:val="20"/>
              </w:rPr>
              <w:t>数据集01聚合</w:t>
            </w:r>
          </w:p>
        </w:tc>
        <w:tc>
          <w:tcPr>
            <w:tcW w:type="dxa" w:w="3969"/>
          </w:tcPr>
          <w:p>
            <w:pPr>
              <w:jc w:val="left"/>
            </w:pPr>
            <w:r>
              <w:rPr>
                <w:sz w:val="20"/>
              </w:rPr>
              <w:t>传染病死亡占全因死亡比例</w:t>
            </w:r>
          </w:p>
        </w:tc>
      </w:tr>
      <w:tr>
        <w:tc>
          <w:tcPr>
            <w:tcW w:type="dxa" w:w="1417"/>
          </w:tcPr>
          <w:p>
            <w:pPr>
              <w:jc w:val="left"/>
            </w:pPr>
            <w:r>
              <w:rPr>
                <w:sz w:val="20"/>
              </w:rPr>
              <w:t>婴儿死亡率</w:t>
            </w:r>
          </w:p>
        </w:tc>
        <w:tc>
          <w:tcPr>
            <w:tcW w:type="dxa" w:w="737"/>
          </w:tcPr>
          <w:p>
            <w:pPr>
              <w:jc w:val="left"/>
            </w:pPr>
            <w:r>
              <w:rPr>
                <w:sz w:val="20"/>
              </w:rPr>
              <w:t>IMR</w:t>
            </w:r>
          </w:p>
        </w:tc>
        <w:tc>
          <w:tcPr>
            <w:tcW w:type="dxa" w:w="1757"/>
          </w:tcPr>
          <w:p>
            <w:pPr>
              <w:jc w:val="left"/>
            </w:pPr>
            <w:r>
              <w:rPr>
                <w:sz w:val="20"/>
              </w:rPr>
              <w:t>SP.DYN.IMRT.IN</w:t>
            </w:r>
          </w:p>
        </w:tc>
        <w:tc>
          <w:tcPr>
            <w:tcW w:type="dxa" w:w="3969"/>
          </w:tcPr>
          <w:p>
            <w:pPr>
              <w:jc w:val="left"/>
            </w:pPr>
            <w:r>
              <w:rPr>
                <w:sz w:val="20"/>
              </w:rPr>
              <w:t>每千活产儿死亡数</w:t>
            </w:r>
          </w:p>
        </w:tc>
      </w:tr>
      <w:tr>
        <w:tc>
          <w:tcPr>
            <w:tcW w:type="dxa" w:w="1417"/>
          </w:tcPr>
          <w:p>
            <w:pPr>
              <w:jc w:val="left"/>
            </w:pPr>
            <w:r>
              <w:rPr>
                <w:sz w:val="20"/>
              </w:rPr>
              <w:t>5岁以下死亡率</w:t>
            </w:r>
          </w:p>
        </w:tc>
        <w:tc>
          <w:tcPr>
            <w:tcW w:type="dxa" w:w="737"/>
          </w:tcPr>
          <w:p>
            <w:pPr>
              <w:jc w:val="left"/>
            </w:pPr>
            <w:r>
              <w:rPr>
                <w:sz w:val="20"/>
              </w:rPr>
              <w:t>U5MR</w:t>
            </w:r>
          </w:p>
        </w:tc>
        <w:tc>
          <w:tcPr>
            <w:tcW w:type="dxa" w:w="1757"/>
          </w:tcPr>
          <w:p>
            <w:pPr>
              <w:jc w:val="left"/>
            </w:pPr>
            <w:r>
              <w:rPr>
                <w:sz w:val="20"/>
              </w:rPr>
              <w:t>SH.DYN.MORT</w:t>
            </w:r>
          </w:p>
        </w:tc>
        <w:tc>
          <w:tcPr>
            <w:tcW w:type="dxa" w:w="3969"/>
          </w:tcPr>
          <w:p>
            <w:pPr>
              <w:jc w:val="left"/>
            </w:pPr>
            <w:r>
              <w:rPr>
                <w:sz w:val="20"/>
              </w:rPr>
              <w:t>每千活产儿死亡数</w:t>
            </w:r>
          </w:p>
        </w:tc>
      </w:tr>
      <w:tr>
        <w:tc>
          <w:tcPr>
            <w:tcW w:type="dxa" w:w="1417"/>
          </w:tcPr>
          <w:p>
            <w:pPr>
              <w:jc w:val="left"/>
            </w:pPr>
            <w:r>
              <w:rPr>
                <w:sz w:val="20"/>
              </w:rPr>
              <w:t>预期寿命</w:t>
            </w:r>
          </w:p>
        </w:tc>
        <w:tc>
          <w:tcPr>
            <w:tcW w:type="dxa" w:w="737"/>
          </w:tcPr>
          <w:p>
            <w:pPr>
              <w:jc w:val="left"/>
            </w:pPr>
            <w:r>
              <w:rPr>
                <w:sz w:val="20"/>
              </w:rPr>
              <w:t>LE</w:t>
            </w:r>
          </w:p>
        </w:tc>
        <w:tc>
          <w:tcPr>
            <w:tcW w:type="dxa" w:w="1757"/>
          </w:tcPr>
          <w:p>
            <w:pPr>
              <w:jc w:val="left"/>
            </w:pPr>
            <w:r>
              <w:rPr>
                <w:sz w:val="20"/>
              </w:rPr>
              <w:t>SP.DYN.LE00.IN</w:t>
            </w:r>
          </w:p>
        </w:tc>
        <w:tc>
          <w:tcPr>
            <w:tcW w:type="dxa" w:w="3969"/>
          </w:tcPr>
          <w:p>
            <w:pPr>
              <w:jc w:val="left"/>
            </w:pPr>
            <w:r>
              <w:rPr>
                <w:sz w:val="20"/>
              </w:rPr>
              <w:t>出生时预期寿命，单位为岁</w:t>
            </w:r>
          </w:p>
        </w:tc>
      </w:tr>
    </w:tbl>
    <w:p>
      <w:pPr>
        <w:pStyle w:val="3"/>
      </w:pPr>
      <w:r>
        <w:t xml:space="preserve">预处理首先统一国家名称、年份字段和指标单位。对于世界银行HNP和WDI中重复出现的指标，本文采用</w:t>
      </w:r>
      <w:r>
        <w:t xml:space="preserve">“</w:t>
      </w:r>
      <w:r>
        <w:t xml:space="preserve">03优先、04回退</w:t>
      </w:r>
      <w:r>
        <w:t xml:space="preserve">”</w:t>
      </w:r>
      <w:r>
        <w:t xml:space="preserve">的规则：若HNP中有有效值，则优先使用HNP；若缺失，则用WDI补齐。随后，本文从GBD死亡数据中聚合传染性疾病死亡占比，并将其作为理论需求指数的重要组成部分。中国省级部分则以31个省级行政区为横截面单位，结合最新年份人均卫生支出、预期寿命和婴儿死亡率构造省级投入—产出样本。</w:t>
      </w:r>
    </w:p>
    <w:p>
      <w:pPr>
        <w:pStyle w:val="3"/>
      </w:pPr>
      <w:r>
        <w:t xml:space="preserve">在指标合成上，本文将一级指标转化为三类二级指数。投入指数反映实际资源供给，产出指数反映健康结果，需求指数反映由疾病负担决定的理论资源需求：</w:t>
      </w:r>
    </w:p>
    <w:p>
      <w:pPr>
        <w:pStyle w:val="3"/>
        <w:jc w:val="center"/>
      </w:pPr>
      <m:oMathPara>
        <m:oMathParaPr>
          <m:jc m:val="center"/>
        </m:oMathParaPr>
        <m:oMath>
          <m:sSubSup>
            <m:e>
              <m:r>
                <m:t>I</m:t>
              </m:r>
            </m:e>
            <m:sub>
              <m:r>
                <m:t>i</m:t>
              </m:r>
            </m:sub>
            <m:sup>
              <m:r>
                <m:t>i</m:t>
              </m:r>
              <m:r>
                <m:t>n</m:t>
              </m:r>
              <m:r>
                <m:t>p</m:t>
              </m:r>
              <m:r>
                <m:t>u</m:t>
              </m:r>
              <m:r>
                <m:t>t</m:t>
              </m:r>
            </m:sup>
          </m:sSubSup>
          <m:r>
            <m:rPr>
              <m:sty m:val="p"/>
            </m:rPr>
            <m:t>=</m:t>
          </m:r>
          <m:f>
            <m:fPr>
              <m:type m:val="bar"/>
            </m:fPr>
            <m:num>
              <m:r>
                <m:t>1</m:t>
              </m:r>
            </m:num>
            <m:den>
              <m:r>
                <m:t>4</m:t>
              </m:r>
            </m:den>
          </m:f>
          <m:d>
            <m:dPr>
              <m:begChr m:val="["/>
              <m:endChr m:val="]"/>
              <m:grow/>
            </m:dPr>
            <m:e>
              <m:r>
                <m:t>z</m:t>
              </m:r>
              <m:r>
                <m:rPr>
                  <m:sty m:val="p"/>
                </m:rPr>
                <m:t>(</m:t>
              </m:r>
              <m:r>
                <m:t>P</m:t>
              </m:r>
              <m:r>
                <m:t>h</m:t>
              </m:r>
              <m:r>
                <m:t>y</m:t>
              </m:r>
              <m:sSub>
                <m:e>
                  <m:r>
                    <m:t>s</m:t>
                  </m:r>
                </m:e>
                <m:sub>
                  <m:r>
                    <m:t>i</m:t>
                  </m:r>
                </m:sub>
              </m:sSub>
              <m:r>
                <m:rPr>
                  <m:sty m:val="p"/>
                </m:rPr>
                <m:t>)</m:t>
              </m:r>
              <m:r>
                <m:rPr>
                  <m:sty m:val="p"/>
                </m:rPr>
                <m:t>+</m:t>
              </m:r>
              <m:r>
                <m:t>z</m:t>
              </m:r>
              <m:r>
                <m:rPr>
                  <m:sty m:val="p"/>
                </m:rPr>
                <m:t>(</m:t>
              </m:r>
              <m:r>
                <m:t>B</m:t>
              </m:r>
              <m:r>
                <m:t>e</m:t>
              </m:r>
              <m:r>
                <m:t>d</m:t>
              </m:r>
              <m:sSub>
                <m:e>
                  <m:r>
                    <m:t>s</m:t>
                  </m:r>
                </m:e>
                <m:sub>
                  <m:r>
                    <m:t>i</m:t>
                  </m:r>
                </m:sub>
              </m:sSub>
              <m:r>
                <m:rPr>
                  <m:sty m:val="p"/>
                </m:rPr>
                <m:t>)</m:t>
              </m:r>
              <m:r>
                <m:rPr>
                  <m:sty m:val="p"/>
                </m:rPr>
                <m:t>+</m:t>
              </m:r>
              <m:r>
                <m:t>z</m:t>
              </m:r>
              <m:r>
                <m:rPr>
                  <m:sty m:val="p"/>
                </m:rPr>
                <m:t>(</m:t>
              </m:r>
              <m:r>
                <m:t>H</m:t>
              </m:r>
              <m:r>
                <m:t>E</m:t>
              </m:r>
              <m:r>
                <m:t>x</m:t>
              </m:r>
              <m:sSub>
                <m:e>
                  <m:r>
                    <m:t>p</m:t>
                  </m:r>
                </m:e>
                <m:sub>
                  <m:r>
                    <m:t>i</m:t>
                  </m:r>
                </m:sub>
              </m:sSub>
              <m:r>
                <m:rPr>
                  <m:sty m:val="p"/>
                </m:rPr>
                <m:t>)</m:t>
              </m:r>
              <m:r>
                <m:rPr>
                  <m:sty m:val="p"/>
                </m:rPr>
                <m:t>+</m:t>
              </m:r>
              <m:r>
                <m:t>z</m:t>
              </m:r>
              <m:r>
                <m:rPr>
                  <m:sty m:val="p"/>
                </m:rPr>
                <m:t>(</m:t>
              </m:r>
              <m:r>
                <m:t>H</m:t>
              </m:r>
              <m:r>
                <m:t>E</m:t>
              </m:r>
              <m:r>
                <m:t>x</m:t>
              </m:r>
              <m:r>
                <m:t>p</m:t>
              </m:r>
              <m:r>
                <m:t>P</m:t>
              </m:r>
              <m:sSub>
                <m:e>
                  <m:r>
                    <m:t>C</m:t>
                  </m:r>
                </m:e>
                <m:sub>
                  <m:r>
                    <m:t>i</m:t>
                  </m:r>
                </m:sub>
              </m:sSub>
              <m:r>
                <m:rPr>
                  <m:sty m:val="p"/>
                </m:rPr>
                <m:t>)</m:t>
              </m:r>
            </m:e>
          </m:d>
        </m:oMath>
      </m:oMathPara>
    </w:p>
    <w:p>
      <w:pPr>
        <w:pStyle w:val="3"/>
        <w:jc w:val="center"/>
      </w:pPr>
      <m:oMathPara>
        <m:oMathParaPr>
          <m:jc m:val="center"/>
        </m:oMathParaPr>
        <m:oMath>
          <m:sSubSup>
            <m:e>
              <m:r>
                <m:t>I</m:t>
              </m:r>
            </m:e>
            <m:sub>
              <m:r>
                <m:t>i</m:t>
              </m:r>
            </m:sub>
            <m:sup>
              <m:r>
                <m:t>o</m:t>
              </m:r>
              <m:r>
                <m:t>u</m:t>
              </m:r>
              <m:r>
                <m:t>t</m:t>
              </m:r>
              <m:r>
                <m:t>p</m:t>
              </m:r>
              <m:r>
                <m:t>u</m:t>
              </m:r>
              <m:r>
                <m:t>t</m:t>
              </m:r>
            </m:sup>
          </m:sSubSup>
          <m:r>
            <m:rPr>
              <m:sty m:val="p"/>
            </m:rPr>
            <m:t>=</m:t>
          </m:r>
          <m:f>
            <m:fPr>
              <m:type m:val="bar"/>
            </m:fPr>
            <m:num>
              <m:r>
                <m:t>1</m:t>
              </m:r>
            </m:num>
            <m:den>
              <m:r>
                <m:t>3</m:t>
              </m:r>
            </m:den>
          </m:f>
          <m:d>
            <m:dPr>
              <m:begChr m:val="["/>
              <m:endChr m:val="]"/>
              <m:grow/>
            </m:dPr>
            <m:e>
              <m:r>
                <m:t>z</m:t>
              </m:r>
              <m:r>
                <m:rPr>
                  <m:sty m:val="p"/>
                </m:rPr>
                <m:t>(</m:t>
              </m:r>
              <m:r>
                <m:t>L</m:t>
              </m:r>
              <m:sSub>
                <m:e>
                  <m:r>
                    <m:t>E</m:t>
                  </m:r>
                </m:e>
                <m:sub>
                  <m:r>
                    <m:t>i</m:t>
                  </m:r>
                </m:sub>
              </m:sSub>
              <m:r>
                <m:rPr>
                  <m:sty m:val="p"/>
                </m:rPr>
                <m:t>)</m:t>
              </m:r>
              <m:r>
                <m:rPr>
                  <m:sty m:val="p"/>
                </m:rPr>
                <m:t>+</m:t>
              </m:r>
              <m:sSup>
                <m:e>
                  <m:r>
                    <m:t>z</m:t>
                  </m:r>
                </m:e>
                <m:sup>
                  <m:r>
                    <m:rPr>
                      <m:sty m:val="p"/>
                    </m:rPr>
                    <m:t>−</m:t>
                  </m:r>
                </m:sup>
              </m:sSup>
              <m:r>
                <m:rPr>
                  <m:sty m:val="p"/>
                </m:rPr>
                <m:t>(</m:t>
              </m:r>
              <m:r>
                <m:t>I</m:t>
              </m:r>
              <m:r>
                <m:t>M</m:t>
              </m:r>
              <m:sSub>
                <m:e>
                  <m:r>
                    <m:t>R</m:t>
                  </m:r>
                </m:e>
                <m:sub>
                  <m:r>
                    <m:t>i</m:t>
                  </m:r>
                </m:sub>
              </m:sSub>
              <m:r>
                <m:rPr>
                  <m:sty m:val="p"/>
                </m:rPr>
                <m:t>)</m:t>
              </m:r>
              <m:r>
                <m:rPr>
                  <m:sty m:val="p"/>
                </m:rPr>
                <m:t>+</m:t>
              </m:r>
              <m:sSup>
                <m:e>
                  <m:r>
                    <m:t>z</m:t>
                  </m:r>
                </m:e>
                <m:sup>
                  <m:r>
                    <m:rPr>
                      <m:sty m:val="p"/>
                    </m:rPr>
                    <m:t>−</m:t>
                  </m:r>
                </m:sup>
              </m:sSup>
              <m:r>
                <m:rPr>
                  <m:sty m:val="p"/>
                </m:rPr>
                <m:t>(</m:t>
              </m:r>
              <m:r>
                <m:t>U</m:t>
              </m:r>
              <m:r>
                <m:t>5</m:t>
              </m:r>
              <m:r>
                <m:t>M</m:t>
              </m:r>
              <m:sSub>
                <m:e>
                  <m:r>
                    <m:t>R</m:t>
                  </m:r>
                </m:e>
                <m:sub>
                  <m:r>
                    <m:t>i</m:t>
                  </m:r>
                </m:sub>
              </m:sSub>
              <m:r>
                <m:rPr>
                  <m:sty m:val="p"/>
                </m:rPr>
                <m:t>)</m:t>
              </m:r>
            </m:e>
          </m:d>
        </m:oMath>
      </m:oMathPara>
    </w:p>
    <w:p>
      <w:pPr>
        <w:pStyle w:val="3"/>
        <w:jc w:val="center"/>
      </w:pPr>
      <m:oMathPara>
        <m:oMathParaPr>
          <m:jc m:val="center"/>
        </m:oMathParaPr>
        <m:oMath>
          <m:sSubSup>
            <m:e>
              <m:r>
                <m:t>I</m:t>
              </m:r>
            </m:e>
            <m:sub>
              <m:r>
                <m:t>i</m:t>
              </m:r>
            </m:sub>
            <m:sup>
              <m:r>
                <m:t>n</m:t>
              </m:r>
              <m:r>
                <m:t>e</m:t>
              </m:r>
              <m:r>
                <m:t>e</m:t>
              </m:r>
              <m:r>
                <m:t>d</m:t>
              </m:r>
            </m:sup>
          </m:sSubSup>
          <m:r>
            <m:rPr>
              <m:sty m:val="p"/>
            </m:rPr>
            <m:t>=</m:t>
          </m:r>
          <m:f>
            <m:fPr>
              <m:type m:val="bar"/>
            </m:fPr>
            <m:num>
              <m:r>
                <m:t>1</m:t>
              </m:r>
            </m:num>
            <m:den>
              <m:r>
                <m:t>4</m:t>
              </m:r>
            </m:den>
          </m:f>
          <m:d>
            <m:dPr>
              <m:begChr m:val="["/>
              <m:endChr m:val="]"/>
              <m:grow/>
            </m:dPr>
            <m:e>
              <m:r>
                <m:t>z</m:t>
              </m:r>
              <m:r>
                <m:rPr>
                  <m:sty m:val="p"/>
                </m:rPr>
                <m:t>(</m:t>
              </m:r>
              <m:r>
                <m:t>C</m:t>
              </m:r>
              <m:r>
                <m:t>o</m:t>
              </m:r>
              <m:r>
                <m:t>m</m:t>
              </m:r>
              <m:r>
                <m:t>m</m:t>
              </m:r>
              <m:r>
                <m:t>S</m:t>
              </m:r>
              <m:sSub>
                <m:e>
                  <m:r>
                    <m:t>h</m:t>
                  </m:r>
                </m:e>
                <m:sub>
                  <m:r>
                    <m:t>i</m:t>
                  </m:r>
                </m:sub>
              </m:sSub>
              <m:r>
                <m:rPr>
                  <m:sty m:val="p"/>
                </m:rPr>
                <m:t>)</m:t>
              </m:r>
              <m:r>
                <m:rPr>
                  <m:sty m:val="p"/>
                </m:rPr>
                <m:t>+</m:t>
              </m:r>
              <m:r>
                <m:t>z</m:t>
              </m:r>
              <m:r>
                <m:rPr>
                  <m:sty m:val="p"/>
                </m:rPr>
                <m:t>(</m:t>
              </m:r>
              <m:r>
                <m:t>I</m:t>
              </m:r>
              <m:r>
                <m:t>M</m:t>
              </m:r>
              <m:sSub>
                <m:e>
                  <m:r>
                    <m:t>R</m:t>
                  </m:r>
                </m:e>
                <m:sub>
                  <m:r>
                    <m:t>i</m:t>
                  </m:r>
                </m:sub>
              </m:sSub>
              <m:r>
                <m:rPr>
                  <m:sty m:val="p"/>
                </m:rPr>
                <m:t>)</m:t>
              </m:r>
              <m:r>
                <m:rPr>
                  <m:sty m:val="p"/>
                </m:rPr>
                <m:t>+</m:t>
              </m:r>
              <m:r>
                <m:t>z</m:t>
              </m:r>
              <m:r>
                <m:rPr>
                  <m:sty m:val="p"/>
                </m:rPr>
                <m:t>(</m:t>
              </m:r>
              <m:r>
                <m:t>U</m:t>
              </m:r>
              <m:r>
                <m:t>5</m:t>
              </m:r>
              <m:r>
                <m:t>M</m:t>
              </m:r>
              <m:sSub>
                <m:e>
                  <m:r>
                    <m:t>R</m:t>
                  </m:r>
                </m:e>
                <m:sub>
                  <m:r>
                    <m:t>i</m:t>
                  </m:r>
                </m:sub>
              </m:sSub>
              <m:r>
                <m:rPr>
                  <m:sty m:val="p"/>
                </m:rPr>
                <m:t>)</m:t>
              </m:r>
              <m:r>
                <m:rPr>
                  <m:sty m:val="p"/>
                </m:rPr>
                <m:t>+</m:t>
              </m:r>
              <m:sSup>
                <m:e>
                  <m:r>
                    <m:t>z</m:t>
                  </m:r>
                </m:e>
                <m:sup>
                  <m:r>
                    <m:rPr>
                      <m:sty m:val="p"/>
                    </m:rPr>
                    <m:t>−</m:t>
                  </m:r>
                </m:sup>
              </m:sSup>
              <m:r>
                <m:rPr>
                  <m:sty m:val="p"/>
                </m:rPr>
                <m:t>(</m:t>
              </m:r>
              <m:r>
                <m:t>L</m:t>
              </m:r>
              <m:sSub>
                <m:e>
                  <m:r>
                    <m:t>E</m:t>
                  </m:r>
                </m:e>
                <m:sub>
                  <m:r>
                    <m:t>i</m:t>
                  </m:r>
                </m:sub>
              </m:sSub>
              <m:r>
                <m:rPr>
                  <m:sty m:val="p"/>
                </m:rPr>
                <m:t>)</m:t>
              </m:r>
            </m:e>
          </m:d>
        </m:oMath>
      </m:oMathPara>
    </w:p>
    <w:p>
      <w:pPr>
        <w:pStyle w:val="3"/>
      </w:pPr>
      <w:r>
        <w:t xml:space="preserve">其中，</w:t>
      </w:r>
      <m:oMath>
        <m:r>
          <m:t>z</m:t>
        </m:r>
        <m:r>
          <m:rPr>
            <m:sty m:val="p"/>
          </m:rPr>
          <m:t>(</m:t>
        </m:r>
        <m:r>
          <m:rPr>
            <m:sty m:val="p"/>
          </m:rPr>
          <m:t>⋅</m:t>
        </m:r>
        <m:r>
          <m:rPr>
            <m:sty m:val="p"/>
          </m:rPr>
          <m:t>)</m:t>
        </m:r>
      </m:oMath>
      <w:r>
        <w:t xml:space="preserve">表示正向标准化，</w:t>
      </w:r>
      <m:oMath>
        <m:sSup>
          <m:e>
            <m:r>
              <m:t>z</m:t>
            </m:r>
          </m:e>
          <m:sup>
            <m:r>
              <m:rPr>
                <m:sty m:val="p"/>
              </m:rPr>
              <m:t>−</m:t>
            </m:r>
          </m:sup>
        </m:sSup>
        <m:r>
          <m:rPr>
            <m:sty m:val="p"/>
          </m:rPr>
          <m:t>(</m:t>
        </m:r>
        <m:r>
          <m:rPr>
            <m:sty m:val="p"/>
          </m:rPr>
          <m:t>⋅</m:t>
        </m:r>
        <m:r>
          <m:rPr>
            <m:sty m:val="p"/>
          </m:rPr>
          <m:t>)</m:t>
        </m:r>
      </m:oMath>
      <w:r>
        <w:t xml:space="preserve">表示逆向标准化。通过这一处理，医生密度、床位密度、支出水平、寿命和死亡率等不同量纲指标被转化到可比较的统一尺度上，为第6章的缺口识别和优化建模提供基础。</w:t>
      </w:r>
    </w:p>
    <w:p>
      <w:pPr>
        <w:pStyle w:val="3"/>
        <w:spacing w:before="240" w:after="120"/>
        <w:jc w:val="left"/>
      </w:pPr>
      <w:r>
        <w:rPr>
          <w:b/>
          <w:sz w:val="32"/>
          <w:rFonts w:eastAsia="黑体"/>
        </w:rPr>
        <w:t xml:space="preserve">6 卫生资源配置的缺口识别、类型评估与优化调配</w:t>
      </w:r>
    </w:p>
    <w:p>
      <w:pPr>
        <w:pStyle w:val="3"/>
        <w:spacing w:before="120" w:after="120"/>
        <w:jc w:val="left"/>
      </w:pPr>
      <w:r>
        <w:rPr>
          <w:b/>
          <w:sz w:val="28"/>
          <w:rFonts w:eastAsia="黑体"/>
        </w:rPr>
        <w:t xml:space="preserve">6.1 理论需求导向的卫生资源缺口识别</w:t>
      </w:r>
    </w:p>
    <w:p>
      <w:pPr>
        <w:pStyle w:val="3"/>
        <w:spacing w:before="120" w:after="120"/>
        <w:jc w:val="left"/>
      </w:pPr>
      <w:r>
        <w:rPr>
          <w:b/>
          <w:sz w:val="24"/>
          <w:rFonts w:eastAsia="黑体"/>
        </w:rPr>
        <w:t xml:space="preserve">6.1.1 指数构建与缺口定义</w:t>
      </w:r>
    </w:p>
    <w:p>
      <w:pPr>
        <w:pStyle w:val="3"/>
      </w:pPr>
      <w:r>
        <w:t xml:space="preserve">问题三的第一步是判断哪些地区</w:t>
      </w:r>
      <w:r>
        <w:t xml:space="preserve">“</w:t>
      </w:r>
      <w:r>
        <w:t xml:space="preserve">资源配置不足</w:t>
      </w:r>
      <w:r>
        <w:t xml:space="preserve">”</w:t>
      </w:r>
      <w:r>
        <w:t xml:space="preserve">。如果只看医生密度或人均卫生支出，低收入国家很容易被识别为资源不足，但这种判断没有充分考虑疾病负担差异。本文因此将投入指数与理论需求指数相减，构造资源缺口指标：</w:t>
      </w:r>
    </w:p>
    <w:p>
      <w:pPr>
        <w:pStyle w:val="3"/>
        <w:jc w:val="center"/>
      </w:pPr>
      <m:oMathPara>
        <m:oMathParaPr>
          <m:jc m:val="center"/>
        </m:oMathParaPr>
        <m:oMath>
          <m:r>
            <m:t>G</m:t>
          </m:r>
          <m:r>
            <m:t>a</m:t>
          </m:r>
          <m:sSub>
            <m:e>
              <m:r>
                <m:t>p</m:t>
              </m:r>
            </m:e>
            <m:sub>
              <m:r>
                <m:t>i</m:t>
              </m:r>
            </m:sub>
          </m:sSub>
          <m:r>
            <m:rPr>
              <m:sty m:val="p"/>
            </m:rPr>
            <m:t>=</m:t>
          </m:r>
          <m:sSubSup>
            <m:e>
              <m:r>
                <m:t>I</m:t>
              </m:r>
            </m:e>
            <m:sub>
              <m:r>
                <m:t>i</m:t>
              </m:r>
            </m:sub>
            <m:sup>
              <m:r>
                <m:t>i</m:t>
              </m:r>
              <m:r>
                <m:t>n</m:t>
              </m:r>
              <m:r>
                <m:t>p</m:t>
              </m:r>
              <m:r>
                <m:t>u</m:t>
              </m:r>
              <m:r>
                <m:t>t</m:t>
              </m:r>
            </m:sup>
          </m:sSubSup>
          <m:r>
            <m:rPr>
              <m:sty m:val="p"/>
            </m:rPr>
            <m:t>−</m:t>
          </m:r>
          <m:sSubSup>
            <m:e>
              <m:r>
                <m:t>I</m:t>
              </m:r>
            </m:e>
            <m:sub>
              <m:r>
                <m:t>i</m:t>
              </m:r>
            </m:sub>
            <m:sup>
              <m:r>
                <m:t>n</m:t>
              </m:r>
              <m:r>
                <m:t>e</m:t>
              </m:r>
              <m:r>
                <m:t>e</m:t>
              </m:r>
              <m:r>
                <m:t>d</m:t>
              </m:r>
            </m:sup>
          </m:sSubSup>
        </m:oMath>
      </m:oMathPara>
    </w:p>
    <w:p>
      <w:pPr>
        <w:pStyle w:val="3"/>
      </w:pPr>
      <w:r>
        <w:t xml:space="preserve">当</w:t>
      </w:r>
      <m:oMath>
        <m:r>
          <m:t>G</m:t>
        </m:r>
        <m:r>
          <m:t>a</m:t>
        </m:r>
        <m:sSub>
          <m:e>
            <m:r>
              <m:t>p</m:t>
            </m:r>
          </m:e>
          <m:sub>
            <m:r>
              <m:t>i</m:t>
            </m:r>
          </m:sub>
        </m:sSub>
        <m:r>
          <m:rPr>
            <m:sty m:val="p"/>
          </m:rPr>
          <m:t>&lt;</m:t>
        </m:r>
        <m:r>
          <m:t>0</m:t>
        </m:r>
      </m:oMath>
      <w:r>
        <w:t xml:space="preserve">时，说明国家</w:t>
      </w:r>
      <m:oMath>
        <m:r>
          <m:t>i</m:t>
        </m:r>
      </m:oMath>
      <w:r>
        <w:t xml:space="preserve">的实际投入低于由疾病负担推导出的理论需求；当</w:t>
      </w:r>
      <m:oMath>
        <m:r>
          <m:t>G</m:t>
        </m:r>
        <m:r>
          <m:t>a</m:t>
        </m:r>
        <m:sSub>
          <m:e>
            <m:r>
              <m:t>p</m:t>
            </m:r>
          </m:e>
          <m:sub>
            <m:r>
              <m:t>i</m:t>
            </m:r>
          </m:sub>
        </m:sSub>
        <m:r>
          <m:rPr>
            <m:sty m:val="p"/>
          </m:rPr>
          <m:t>&gt;</m:t>
        </m:r>
        <m:r>
          <m:t>0</m:t>
        </m:r>
      </m:oMath>
      <w:r>
        <w:t xml:space="preserve">时，说明该国在当前截面上相对富余。本文按2023年截面五分位数将各国划分为A至E五级，其中A级表示相对富余，E级表示严重不足。</w:t>
      </w:r>
    </w:p>
    <w:p>
      <w:pPr>
        <w:pStyle w:val="3"/>
        <w:spacing w:before="120" w:after="120"/>
        <w:jc w:val="left"/>
      </w:pPr>
      <w:r>
        <w:rPr>
          <w:b/>
          <w:sz w:val="24"/>
          <w:rFonts w:eastAsia="黑体"/>
        </w:rPr>
        <w:t xml:space="preserve">6.1.2 全球缺口空间格局</w:t>
      </w:r>
    </w:p>
    <w:p xmlns:a="http://schemas.openxmlformats.org/drawingml/2006/main" xmlns:pic="http://schemas.openxmlformats.org/drawingml/2006/picture">
      <w:pPr>
        <w:pStyle w:val="40"/>
        <w:jc w:val="center"/>
      </w:pPr>
      <w:r>
        <w:drawing>
          <wp:inline>
            <wp:extent cx="5270500" cy="3062587"/>
            <wp:effectExtent b="0" l="0" r="0" t="0"/>
            <wp:docPr descr="图6-12023年全球卫生资源缺口五级分布" title="" id="1" name="Picture"/>
            <a:graphic>
              <a:graphicData uri="http://schemas.openxmlformats.org/drawingml/2006/picture">
                <pic:pic>
                  <pic:nvPicPr>
                    <pic:cNvPr descr="reports/paper/assets/p3_01_global_gap_map.png" id="0" name="Picture"/>
                    <pic:cNvPicPr>
                      <a:picLocks noChangeArrowheads="1" noChangeAspect="1"/>
                    </pic:cNvPicPr>
                  </pic:nvPicPr>
                  <pic:blipFill>
                    <a:blip r:embed="rId12"/>
                    <a:stretch>
                      <a:fillRect/>
                    </a:stretch>
                  </pic:blipFill>
                  <pic:spPr bwMode="auto">
                    <a:xfrm>
                      <a:off x="0" y="0"/>
                      <a:ext cx="5270500" cy="3062587"/>
                    </a:xfrm>
                    <a:prstGeom prst="rect">
                      <a:avLst/>
                    </a:prstGeom>
                    <a:noFill/>
                    <a:ln w="9525">
                      <a:noFill/>
                      <a:headEnd/>
                      <a:tailEnd/>
                    </a:ln>
                  </pic:spPr>
                </pic:pic>
              </a:graphicData>
            </a:graphic>
          </wp:inline>
        </w:drawing>
      </w:r>
    </w:p>
    <w:p>
      <w:pPr>
        <w:pStyle w:val="3"/>
      </w:pPr>
      <w:r>
        <w:t xml:space="preserve">图6-12023年全球卫生资源缺口五级分布</w:t>
      </w:r>
    </w:p>
    <w:p>
      <w:pPr>
        <w:pStyle w:val="3"/>
      </w:pPr>
      <w:r>
        <w:t xml:space="preserve">图6-1表明，全球卫生资源缺口呈现明显的空间集聚。北美、西欧、大洋洲和东亚高收入经济体多处于资源富余或基本平衡状态，而撒哈拉以南非洲、部分南亚和脆弱国家集中落入D级或E级。这说明全球卫生资源不足并不是均匀扩散的</w:t>
      </w:r>
      <w:r>
        <w:t xml:space="preserve">“</w:t>
      </w:r>
      <w:r>
        <w:t xml:space="preserve">平均问题</w:t>
      </w:r>
      <w:r>
        <w:t xml:space="preserve">”</w:t>
      </w:r>
      <w:r>
        <w:t xml:space="preserve">，而是高度集中在基础卫生体系薄弱、传染病负担较重且财政能力有限的地区。</w:t>
      </w:r>
    </w:p>
    <w:p xmlns:a="http://schemas.openxmlformats.org/drawingml/2006/main" xmlns:pic="http://schemas.openxmlformats.org/drawingml/2006/picture">
      <w:pPr>
        <w:pStyle w:val="40"/>
        <w:jc w:val="center"/>
      </w:pPr>
      <w:r>
        <w:drawing>
          <wp:inline>
            <wp:extent cx="4937760" cy="3662646"/>
            <wp:effectExtent b="0" l="0" r="0" t="0"/>
            <wp:docPr descr="图6-22023年资源缺口最严重的前15个国家" title="" id="1" name="Picture"/>
            <a:graphic>
              <a:graphicData uri="http://schemas.openxmlformats.org/drawingml/2006/picture">
                <pic:pic>
                  <pic:nvPicPr>
                    <pic:cNvPr descr="reports/paper/assets/p3_02_global_gap_top15.png" id="0" name="Picture"/>
                    <pic:cNvPicPr>
                      <a:picLocks noChangeArrowheads="1" noChangeAspect="1"/>
                    </pic:cNvPicPr>
                  </pic:nvPicPr>
                  <pic:blipFill>
                    <a:blip r:embed="rId13"/>
                    <a:stretch>
                      <a:fillRect/>
                    </a:stretch>
                  </pic:blipFill>
                  <pic:spPr bwMode="auto">
                    <a:xfrm>
                      <a:off x="0" y="0"/>
                      <a:ext cx="4937760" cy="3662646"/>
                    </a:xfrm>
                    <a:prstGeom prst="rect">
                      <a:avLst/>
                    </a:prstGeom>
                    <a:noFill/>
                    <a:ln w="9525">
                      <a:noFill/>
                      <a:headEnd/>
                      <a:tailEnd/>
                    </a:ln>
                  </pic:spPr>
                </pic:pic>
              </a:graphicData>
            </a:graphic>
          </wp:inline>
        </w:drawing>
      </w:r>
    </w:p>
    <w:p>
      <w:pPr>
        <w:pStyle w:val="3"/>
      </w:pPr>
      <w:r>
        <w:t xml:space="preserve">图6-22023年资源缺口最严重的前15个国家</w:t>
      </w:r>
    </w:p>
    <w:p>
      <w:pPr>
        <w:pStyle w:val="3"/>
      </w:pPr>
      <w:r>
        <w:t xml:space="preserve">图6-2进一步展示缺口最严重的前15个国家。结果显示，这15个国家全部位于AFRO地区，其中前五位依次为乍得、尼日利亚、索马里、中非共和国和南苏丹。该结果与地图结论相互印证：问题三中的资源缺口不是简单的全球南北差异，而是在非洲部分国家形成了高度集中的卫生脆弱带。</w:t>
      </w:r>
    </w:p>
    <w:p>
      <w:pPr>
        <w:pStyle w:val="3"/>
        <w:spacing w:before="120" w:after="120"/>
        <w:jc w:val="left"/>
      </w:pPr>
      <w:r>
        <w:rPr>
          <w:b/>
          <w:sz w:val="28"/>
          <w:rFonts w:eastAsia="黑体"/>
        </w:rPr>
        <w:t xml:space="preserve">6.2 投入产出矩阵与健康公平性检验</w:t>
      </w:r>
    </w:p>
    <w:p>
      <w:pPr>
        <w:pStyle w:val="3"/>
        <w:spacing w:before="120" w:after="120"/>
        <w:jc w:val="left"/>
      </w:pPr>
      <w:r>
        <w:rPr>
          <w:b/>
          <w:sz w:val="24"/>
          <w:rFonts w:eastAsia="黑体"/>
        </w:rPr>
        <w:t xml:space="preserve">6.2.1 四象限矩阵识别不同治理类型</w:t>
      </w:r>
    </w:p>
    <w:p>
      <w:pPr>
        <w:pStyle w:val="3"/>
      </w:pPr>
      <w:r>
        <w:t xml:space="preserve">仅识别资源缺口仍不足以解释卫生系统表现。部分国家虽然投入较高，但产出并不理想；也有国家投入有限，却获得了较好的健康结果。因此，本文以投入指数中位数</w:t>
      </w:r>
      <m:oMath>
        <m:sSup>
          <m:e>
            <m:r>
              <m:t>M</m:t>
            </m:r>
          </m:e>
          <m:sup>
            <m:r>
              <m:t>i</m:t>
            </m:r>
            <m:r>
              <m:t>n</m:t>
            </m:r>
            <m:r>
              <m:t>p</m:t>
            </m:r>
            <m:r>
              <m:t>u</m:t>
            </m:r>
            <m:r>
              <m:t>t</m:t>
            </m:r>
          </m:sup>
        </m:sSup>
      </m:oMath>
      <w:r>
        <w:t xml:space="preserve">和产出指数中位数</w:t>
      </w:r>
      <m:oMath>
        <m:sSup>
          <m:e>
            <m:r>
              <m:t>M</m:t>
            </m:r>
          </m:e>
          <m:sup>
            <m:r>
              <m:t>o</m:t>
            </m:r>
            <m:r>
              <m:t>u</m:t>
            </m:r>
            <m:r>
              <m:t>t</m:t>
            </m:r>
            <m:r>
              <m:t>p</m:t>
            </m:r>
            <m:r>
              <m:t>u</m:t>
            </m:r>
            <m:r>
              <m:t>t</m:t>
            </m:r>
          </m:sup>
        </m:sSup>
      </m:oMath>
      <w:r>
        <w:t xml:space="preserve">为阈值，构建投入—产出四象限矩阵：</w:t>
      </w:r>
    </w:p>
    <w:p>
      <w:pPr>
        <w:pStyle w:val="3"/>
        <w:jc w:val="center"/>
      </w:pPr>
      <m:oMathPara>
        <m:oMathParaPr>
          <m:jc m:val="center"/>
        </m:oMathParaPr>
        <m:oMath>
          <m:sSub>
            <m:e>
              <m:r>
                <m:t>Q</m:t>
              </m:r>
            </m:e>
            <m:sub>
              <m:r>
                <m:t>i</m:t>
              </m:r>
            </m:sub>
          </m:sSub>
          <m:r>
            <m:rPr>
              <m:sty m:val="p"/>
            </m:rPr>
            <m:t>=</m:t>
          </m:r>
          <m:d>
            <m:dPr>
              <m:begChr m:val="{"/>
              <m:endChr m:val=""/>
              <m:grow/>
            </m:dPr>
            <m:e>
              <m:m>
                <m:mPr>
                  <m:baseJc m:val="center"/>
                  <m:plcHide m:val="1"/>
                  <m:mcs>
                    <m:mc>
                      <m:mcPr>
                        <m:mcJc m:val="left"/>
                        <m:count m:val="1"/>
                      </m:mcPr>
                    </m:mc>
                    <m:mc>
                      <m:mcPr>
                        <m:mcJc m:val="left"/>
                        <m:count m:val="1"/>
                      </m:mcPr>
                    </m:mc>
                  </m:mcs>
                </m:mPr>
                <m:mr>
                  <m:e>
                    <m:r>
                      <m:t>Q</m:t>
                    </m:r>
                    <m:r>
                      <m:t>1</m:t>
                    </m:r>
                    <m:r>
                      <m:rPr>
                        <m:sty m:val="p"/>
                      </m:rPr>
                      <m:t>,</m:t>
                    </m:r>
                  </m:e>
                  <m:e>
                    <m:sSubSup>
                      <m:e>
                        <m:r>
                          <m:t>I</m:t>
                        </m:r>
                      </m:e>
                      <m:sub>
                        <m:r>
                          <m:t>i</m:t>
                        </m:r>
                      </m:sub>
                      <m:sup>
                        <m:r>
                          <m:t>i</m:t>
                        </m:r>
                        <m:r>
                          <m:t>n</m:t>
                        </m:r>
                        <m:r>
                          <m:t>p</m:t>
                        </m:r>
                        <m:r>
                          <m:t>u</m:t>
                        </m:r>
                        <m:r>
                          <m:t>t</m:t>
                        </m:r>
                      </m:sup>
                    </m:sSubSup>
                    <m:r>
                      <m:rPr>
                        <m:sty m:val="p"/>
                      </m:rPr>
                      <m:t>≥</m:t>
                    </m:r>
                    <m:sSup>
                      <m:e>
                        <m:r>
                          <m:t>M</m:t>
                        </m:r>
                      </m:e>
                      <m:sup>
                        <m:r>
                          <m:t>i</m:t>
                        </m:r>
                        <m:r>
                          <m:t>n</m:t>
                        </m:r>
                        <m:r>
                          <m:t>p</m:t>
                        </m:r>
                        <m:r>
                          <m:t>u</m:t>
                        </m:r>
                        <m:r>
                          <m:t>t</m:t>
                        </m:r>
                      </m:sup>
                    </m:sSup>
                    <m:r>
                      <m:rPr>
                        <m:sty m:val="p"/>
                      </m:rPr>
                      <m:t>∧</m:t>
                    </m:r>
                    <m:sSubSup>
                      <m:e>
                        <m:r>
                          <m:t>I</m:t>
                        </m:r>
                      </m:e>
                      <m:sub>
                        <m:r>
                          <m:t>i</m:t>
                        </m:r>
                      </m:sub>
                      <m:sup>
                        <m:r>
                          <m:t>o</m:t>
                        </m:r>
                        <m:r>
                          <m:t>u</m:t>
                        </m:r>
                        <m:r>
                          <m:t>t</m:t>
                        </m:r>
                        <m:r>
                          <m:t>p</m:t>
                        </m:r>
                        <m:r>
                          <m:t>u</m:t>
                        </m:r>
                        <m:r>
                          <m:t>t</m:t>
                        </m:r>
                      </m:sup>
                    </m:sSubSup>
                    <m:r>
                      <m:rPr>
                        <m:sty m:val="p"/>
                      </m:rPr>
                      <m:t>≥</m:t>
                    </m:r>
                    <m:sSup>
                      <m:e>
                        <m:r>
                          <m:t>M</m:t>
                        </m:r>
                      </m:e>
                      <m:sup>
                        <m:r>
                          <m:t>o</m:t>
                        </m:r>
                        <m:r>
                          <m:t>u</m:t>
                        </m:r>
                        <m:r>
                          <m:t>t</m:t>
                        </m:r>
                        <m:r>
                          <m:t>p</m:t>
                        </m:r>
                        <m:r>
                          <m:t>u</m:t>
                        </m:r>
                        <m:r>
                          <m:t>t</m:t>
                        </m:r>
                      </m:sup>
                    </m:sSup>
                  </m:e>
                </m:mr>
                <m:mr>
                  <m:e>
                    <m:r>
                      <m:t>Q</m:t>
                    </m:r>
                    <m:r>
                      <m:t>2</m:t>
                    </m:r>
                    <m:r>
                      <m:rPr>
                        <m:sty m:val="p"/>
                      </m:rPr>
                      <m:t>,</m:t>
                    </m:r>
                  </m:e>
                  <m:e>
                    <m:sSubSup>
                      <m:e>
                        <m:r>
                          <m:t>I</m:t>
                        </m:r>
                      </m:e>
                      <m:sub>
                        <m:r>
                          <m:t>i</m:t>
                        </m:r>
                      </m:sub>
                      <m:sup>
                        <m:r>
                          <m:t>i</m:t>
                        </m:r>
                        <m:r>
                          <m:t>n</m:t>
                        </m:r>
                        <m:r>
                          <m:t>p</m:t>
                        </m:r>
                        <m:r>
                          <m:t>u</m:t>
                        </m:r>
                        <m:r>
                          <m:t>t</m:t>
                        </m:r>
                      </m:sup>
                    </m:sSubSup>
                    <m:r>
                      <m:rPr>
                        <m:sty m:val="p"/>
                      </m:rPr>
                      <m:t>&lt;</m:t>
                    </m:r>
                    <m:sSup>
                      <m:e>
                        <m:r>
                          <m:t>M</m:t>
                        </m:r>
                      </m:e>
                      <m:sup>
                        <m:r>
                          <m:t>i</m:t>
                        </m:r>
                        <m:r>
                          <m:t>n</m:t>
                        </m:r>
                        <m:r>
                          <m:t>p</m:t>
                        </m:r>
                        <m:r>
                          <m:t>u</m:t>
                        </m:r>
                        <m:r>
                          <m:t>t</m:t>
                        </m:r>
                      </m:sup>
                    </m:sSup>
                    <m:r>
                      <m:rPr>
                        <m:sty m:val="p"/>
                      </m:rPr>
                      <m:t>∧</m:t>
                    </m:r>
                    <m:sSubSup>
                      <m:e>
                        <m:r>
                          <m:t>I</m:t>
                        </m:r>
                      </m:e>
                      <m:sub>
                        <m:r>
                          <m:t>i</m:t>
                        </m:r>
                      </m:sub>
                      <m:sup>
                        <m:r>
                          <m:t>o</m:t>
                        </m:r>
                        <m:r>
                          <m:t>u</m:t>
                        </m:r>
                        <m:r>
                          <m:t>t</m:t>
                        </m:r>
                        <m:r>
                          <m:t>p</m:t>
                        </m:r>
                        <m:r>
                          <m:t>u</m:t>
                        </m:r>
                        <m:r>
                          <m:t>t</m:t>
                        </m:r>
                      </m:sup>
                    </m:sSubSup>
                    <m:r>
                      <m:rPr>
                        <m:sty m:val="p"/>
                      </m:rPr>
                      <m:t>≥</m:t>
                    </m:r>
                    <m:sSup>
                      <m:e>
                        <m:r>
                          <m:t>M</m:t>
                        </m:r>
                      </m:e>
                      <m:sup>
                        <m:r>
                          <m:t>o</m:t>
                        </m:r>
                        <m:r>
                          <m:t>u</m:t>
                        </m:r>
                        <m:r>
                          <m:t>t</m:t>
                        </m:r>
                        <m:r>
                          <m:t>p</m:t>
                        </m:r>
                        <m:r>
                          <m:t>u</m:t>
                        </m:r>
                        <m:r>
                          <m:t>t</m:t>
                        </m:r>
                      </m:sup>
                    </m:sSup>
                  </m:e>
                </m:mr>
                <m:mr>
                  <m:e>
                    <m:r>
                      <m:t>Q</m:t>
                    </m:r>
                    <m:r>
                      <m:t>3</m:t>
                    </m:r>
                    <m:r>
                      <m:rPr>
                        <m:sty m:val="p"/>
                      </m:rPr>
                      <m:t>,</m:t>
                    </m:r>
                  </m:e>
                  <m:e>
                    <m:sSubSup>
                      <m:e>
                        <m:r>
                          <m:t>I</m:t>
                        </m:r>
                      </m:e>
                      <m:sub>
                        <m:r>
                          <m:t>i</m:t>
                        </m:r>
                      </m:sub>
                      <m:sup>
                        <m:r>
                          <m:t>i</m:t>
                        </m:r>
                        <m:r>
                          <m:t>n</m:t>
                        </m:r>
                        <m:r>
                          <m:t>p</m:t>
                        </m:r>
                        <m:r>
                          <m:t>u</m:t>
                        </m:r>
                        <m:r>
                          <m:t>t</m:t>
                        </m:r>
                      </m:sup>
                    </m:sSubSup>
                    <m:r>
                      <m:rPr>
                        <m:sty m:val="p"/>
                      </m:rPr>
                      <m:t>≥</m:t>
                    </m:r>
                    <m:sSup>
                      <m:e>
                        <m:r>
                          <m:t>M</m:t>
                        </m:r>
                      </m:e>
                      <m:sup>
                        <m:r>
                          <m:t>i</m:t>
                        </m:r>
                        <m:r>
                          <m:t>n</m:t>
                        </m:r>
                        <m:r>
                          <m:t>p</m:t>
                        </m:r>
                        <m:r>
                          <m:t>u</m:t>
                        </m:r>
                        <m:r>
                          <m:t>t</m:t>
                        </m:r>
                      </m:sup>
                    </m:sSup>
                    <m:r>
                      <m:rPr>
                        <m:sty m:val="p"/>
                      </m:rPr>
                      <m:t>∧</m:t>
                    </m:r>
                    <m:sSubSup>
                      <m:e>
                        <m:r>
                          <m:t>I</m:t>
                        </m:r>
                      </m:e>
                      <m:sub>
                        <m:r>
                          <m:t>i</m:t>
                        </m:r>
                      </m:sub>
                      <m:sup>
                        <m:r>
                          <m:t>o</m:t>
                        </m:r>
                        <m:r>
                          <m:t>u</m:t>
                        </m:r>
                        <m:r>
                          <m:t>t</m:t>
                        </m:r>
                        <m:r>
                          <m:t>p</m:t>
                        </m:r>
                        <m:r>
                          <m:t>u</m:t>
                        </m:r>
                        <m:r>
                          <m:t>t</m:t>
                        </m:r>
                      </m:sup>
                    </m:sSubSup>
                    <m:r>
                      <m:rPr>
                        <m:sty m:val="p"/>
                      </m:rPr>
                      <m:t>&lt;</m:t>
                    </m:r>
                    <m:sSup>
                      <m:e>
                        <m:r>
                          <m:t>M</m:t>
                        </m:r>
                      </m:e>
                      <m:sup>
                        <m:r>
                          <m:t>o</m:t>
                        </m:r>
                        <m:r>
                          <m:t>u</m:t>
                        </m:r>
                        <m:r>
                          <m:t>t</m:t>
                        </m:r>
                        <m:r>
                          <m:t>p</m:t>
                        </m:r>
                        <m:r>
                          <m:t>u</m:t>
                        </m:r>
                        <m:r>
                          <m:t>t</m:t>
                        </m:r>
                      </m:sup>
                    </m:sSup>
                  </m:e>
                </m:mr>
                <m:mr>
                  <m:e>
                    <m:r>
                      <m:t>Q</m:t>
                    </m:r>
                    <m:r>
                      <m:t>4</m:t>
                    </m:r>
                    <m:r>
                      <m:rPr>
                        <m:sty m:val="p"/>
                      </m:rPr>
                      <m:t>,</m:t>
                    </m:r>
                  </m:e>
                  <m:e>
                    <m:sSubSup>
                      <m:e>
                        <m:r>
                          <m:t>I</m:t>
                        </m:r>
                      </m:e>
                      <m:sub>
                        <m:r>
                          <m:t>i</m:t>
                        </m:r>
                      </m:sub>
                      <m:sup>
                        <m:r>
                          <m:t>i</m:t>
                        </m:r>
                        <m:r>
                          <m:t>n</m:t>
                        </m:r>
                        <m:r>
                          <m:t>p</m:t>
                        </m:r>
                        <m:r>
                          <m:t>u</m:t>
                        </m:r>
                        <m:r>
                          <m:t>t</m:t>
                        </m:r>
                      </m:sup>
                    </m:sSubSup>
                    <m:r>
                      <m:rPr>
                        <m:sty m:val="p"/>
                      </m:rPr>
                      <m:t>&lt;</m:t>
                    </m:r>
                    <m:sSup>
                      <m:e>
                        <m:r>
                          <m:t>M</m:t>
                        </m:r>
                      </m:e>
                      <m:sup>
                        <m:r>
                          <m:t>i</m:t>
                        </m:r>
                        <m:r>
                          <m:t>n</m:t>
                        </m:r>
                        <m:r>
                          <m:t>p</m:t>
                        </m:r>
                        <m:r>
                          <m:t>u</m:t>
                        </m:r>
                        <m:r>
                          <m:t>t</m:t>
                        </m:r>
                      </m:sup>
                    </m:sSup>
                    <m:r>
                      <m:rPr>
                        <m:sty m:val="p"/>
                      </m:rPr>
                      <m:t>∧</m:t>
                    </m:r>
                    <m:sSubSup>
                      <m:e>
                        <m:r>
                          <m:t>I</m:t>
                        </m:r>
                      </m:e>
                      <m:sub>
                        <m:r>
                          <m:t>i</m:t>
                        </m:r>
                      </m:sub>
                      <m:sup>
                        <m:r>
                          <m:t>o</m:t>
                        </m:r>
                        <m:r>
                          <m:t>u</m:t>
                        </m:r>
                        <m:r>
                          <m:t>t</m:t>
                        </m:r>
                        <m:r>
                          <m:t>p</m:t>
                        </m:r>
                        <m:r>
                          <m:t>u</m:t>
                        </m:r>
                        <m:r>
                          <m:t>t</m:t>
                        </m:r>
                      </m:sup>
                    </m:sSubSup>
                    <m:r>
                      <m:rPr>
                        <m:sty m:val="p"/>
                      </m:rPr>
                      <m:t>&lt;</m:t>
                    </m:r>
                    <m:sSup>
                      <m:e>
                        <m:r>
                          <m:t>M</m:t>
                        </m:r>
                      </m:e>
                      <m:sup>
                        <m:r>
                          <m:t>o</m:t>
                        </m:r>
                        <m:r>
                          <m:t>u</m:t>
                        </m:r>
                        <m:r>
                          <m:t>t</m:t>
                        </m:r>
                        <m:r>
                          <m:t>p</m:t>
                        </m:r>
                        <m:r>
                          <m:t>u</m:t>
                        </m:r>
                        <m:r>
                          <m:t>t</m:t>
                        </m:r>
                      </m:sup>
                    </m:sSup>
                  </m:e>
                </m:mr>
              </m:m>
            </m:e>
          </m:d>
        </m:oMath>
      </m:oMathPara>
    </w:p>
    <w:p>
      <w:pPr>
        <w:pStyle w:val="3"/>
      </w:pPr>
      <w:r>
        <w:t xml:space="preserve">其中，Q1为高投入高产出，Q2为低投入高产出，Q3为高投入低产出，Q4为低投入低产出。2023年可完成分类的国家中，Q1、Q2、Q3、Q4分别有71、24、26和72个，另有10个国家因关键指标缺失未纳入统计。</w:t>
      </w:r>
    </w:p>
    <w:p xmlns:a="http://schemas.openxmlformats.org/drawingml/2006/main" xmlns:pic="http://schemas.openxmlformats.org/drawingml/2006/picture">
      <w:pPr>
        <w:pStyle w:val="40"/>
        <w:jc w:val="center"/>
      </w:pPr>
      <w:r>
        <w:drawing>
          <wp:inline>
            <wp:extent cx="5120640" cy="4280431"/>
            <wp:effectExtent b="0" l="0" r="0" t="0"/>
            <wp:docPr descr="图6-32023年全球卫生资源投入产出四象限" title="" id="1" name="Picture"/>
            <a:graphic>
              <a:graphicData uri="http://schemas.openxmlformats.org/drawingml/2006/picture">
                <pic:pic>
                  <pic:nvPicPr>
                    <pic:cNvPr descr="reports/paper/assets/p3_03_global_quadrant.png" id="0" name="Picture"/>
                    <pic:cNvPicPr>
                      <a:picLocks noChangeArrowheads="1" noChangeAspect="1"/>
                    </pic:cNvPicPr>
                  </pic:nvPicPr>
                  <pic:blipFill>
                    <a:blip r:embed="rId14"/>
                    <a:stretch>
                      <a:fillRect/>
                    </a:stretch>
                  </pic:blipFill>
                  <pic:spPr bwMode="auto">
                    <a:xfrm>
                      <a:off x="0" y="0"/>
                      <a:ext cx="5120640" cy="4280431"/>
                    </a:xfrm>
                    <a:prstGeom prst="rect">
                      <a:avLst/>
                    </a:prstGeom>
                    <a:noFill/>
                    <a:ln w="9525">
                      <a:noFill/>
                      <a:headEnd/>
                      <a:tailEnd/>
                    </a:ln>
                  </pic:spPr>
                </pic:pic>
              </a:graphicData>
            </a:graphic>
          </wp:inline>
        </w:drawing>
      </w:r>
    </w:p>
    <w:p>
      <w:pPr>
        <w:pStyle w:val="3"/>
      </w:pPr>
      <w:r>
        <w:t xml:space="preserve">图6-32023年全球卫生资源投入产出四象限</w:t>
      </w:r>
    </w:p>
    <w:p>
      <w:pPr>
        <w:pStyle w:val="3"/>
      </w:pPr>
      <w:r>
        <w:t xml:space="preserve">图6-3显示，Q1多为日本、瑞士、澳大利亚等高收入国家，说明较高卫生投入转化为了较好健康结果。Q2包括土耳其、斯里兰卡、马来西亚等国家，体现了</w:t>
      </w:r>
      <w:r>
        <w:t xml:space="preserve">“</w:t>
      </w:r>
      <w:r>
        <w:t xml:space="preserve">低投入高产出</w:t>
      </w:r>
      <w:r>
        <w:t xml:space="preserve">”</w:t>
      </w:r>
      <w:r>
        <w:t xml:space="preserve">的效率特征。Q3代表</w:t>
      </w:r>
      <w:r>
        <w:t xml:space="preserve">“</w:t>
      </w:r>
      <w:r>
        <w:t xml:space="preserve">资源并不少但产出偏低</w:t>
      </w:r>
      <w:r>
        <w:t xml:space="preserve">”</w:t>
      </w:r>
      <w:r>
        <w:t xml:space="preserve">的治理短板，提示卫生支出结构、基层体系和服务效率可能存在问题。Q4则集中包含乍得、索马里、尼日尔、马里等国家，是资源不足与健康产出不足叠加的脆弱区域。</w:t>
      </w:r>
    </w:p>
    <w:p>
      <w:pPr>
        <w:pStyle w:val="3"/>
        <w:spacing w:before="120" w:after="120"/>
        <w:jc w:val="left"/>
      </w:pPr>
      <w:r>
        <w:rPr>
          <w:b/>
          <w:sz w:val="24"/>
          <w:rFonts w:eastAsia="黑体"/>
        </w:rPr>
        <w:t xml:space="preserve">6.2.2 健康公平性从平均水平转向分布结构</w:t>
      </w:r>
    </w:p>
    <w:p>
      <w:pPr>
        <w:pStyle w:val="3"/>
      </w:pPr>
      <w:r>
        <w:t xml:space="preserve">如果只看平均寿命或平均产出，容易掩盖国家间差异。本文因此从时间演化和分组差异两个角度考察健康公平性。寿命Gini系数用于衡量国家间预期寿命不平等：</w:t>
      </w:r>
    </w:p>
    <w:p>
      <w:pPr>
        <w:pStyle w:val="3"/>
        <w:jc w:val="center"/>
      </w:pPr>
      <m:oMathPara>
        <m:oMathParaPr>
          <m:jc m:val="center"/>
        </m:oMathParaPr>
        <m:oMath>
          <m:r>
            <m:t>G</m:t>
          </m:r>
          <m:r>
            <m:rPr>
              <m:sty m:val="p"/>
            </m:rPr>
            <m:t>=</m:t>
          </m:r>
          <m:f>
            <m:fPr>
              <m:type m:val="bar"/>
            </m:fPr>
            <m:num>
              <m:r>
                <m:t>2</m:t>
              </m:r>
              <m:nary>
                <m:naryPr>
                  <m:chr m:val="∑"/>
                  <m:limLoc m:val="undOvr"/>
                  <m:subHide m:val="0"/>
                  <m:supHide m:val="0"/>
                </m:naryPr>
                <m:sub>
                  <m:r>
                    <m:t>i</m:t>
                  </m:r>
                  <m:r>
                    <m:rPr>
                      <m:sty m:val="p"/>
                    </m:rPr>
                    <m:t>=</m:t>
                  </m:r>
                  <m:r>
                    <m:t>1</m:t>
                  </m:r>
                </m:sub>
                <m:sup>
                  <m:r>
                    <m:t>n</m:t>
                  </m:r>
                </m:sup>
                <m:e>
                  <m:r>
                    <m:t>i</m:t>
                  </m:r>
                </m:e>
              </m:nary>
              <m:r>
                <m:rPr>
                  <m:sty m:val="p"/>
                </m:rPr>
                <m:t>⋅</m:t>
              </m:r>
              <m:sSub>
                <m:e>
                  <m:r>
                    <m:t>y</m:t>
                  </m:r>
                </m:e>
                <m:sub>
                  <m:r>
                    <m:t>i</m:t>
                  </m:r>
                </m:sub>
              </m:sSub>
            </m:num>
            <m:den>
              <m:r>
                <m:t>n</m:t>
              </m:r>
              <m:nary>
                <m:naryPr>
                  <m:chr m:val="∑"/>
                  <m:limLoc m:val="undOvr"/>
                  <m:subHide m:val="0"/>
                  <m:supHide m:val="0"/>
                </m:naryPr>
                <m:sub>
                  <m:r>
                    <m:t>i</m:t>
                  </m:r>
                  <m:r>
                    <m:rPr>
                      <m:sty m:val="p"/>
                    </m:rPr>
                    <m:t>=</m:t>
                  </m:r>
                  <m:r>
                    <m:t>1</m:t>
                  </m:r>
                </m:sub>
                <m:sup>
                  <m:r>
                    <m:t>n</m:t>
                  </m:r>
                </m:sup>
                <m:e>
                  <m:sSub>
                    <m:e>
                      <m:r>
                        <m:t>y</m:t>
                      </m:r>
                    </m:e>
                    <m:sub>
                      <m:r>
                        <m:t>i</m:t>
                      </m:r>
                    </m:sub>
                  </m:sSub>
                </m:e>
              </m:nary>
            </m:den>
          </m:f>
          <m:r>
            <m:rPr>
              <m:sty m:val="p"/>
            </m:rPr>
            <m:t>−</m:t>
          </m:r>
          <m:f>
            <m:fPr>
              <m:type m:val="bar"/>
            </m:fPr>
            <m:num>
              <m:r>
                <m:t>n</m:t>
              </m:r>
              <m:r>
                <m:rPr>
                  <m:sty m:val="p"/>
                </m:rPr>
                <m:t>+</m:t>
              </m:r>
              <m:r>
                <m:t>1</m:t>
              </m:r>
            </m:num>
            <m:den>
              <m:r>
                <m:t>n</m:t>
              </m:r>
            </m:den>
          </m:f>
        </m:oMath>
      </m:oMathPara>
    </w:p>
    <w:p>
      <w:pPr>
        <w:pStyle w:val="3"/>
      </w:pPr>
      <w:r>
        <w:t xml:space="preserve">Theil指数用于刻画总体不平等，并可拆分为组间与组内差异：</w:t>
      </w:r>
    </w:p>
    <w:p>
      <w:pPr>
        <w:pStyle w:val="3"/>
        <w:jc w:val="center"/>
      </w:pPr>
      <m:oMathPara>
        <m:oMathParaPr>
          <m:jc m:val="center"/>
        </m:oMathParaPr>
        <m:oMath>
          <m:r>
            <m:t>T</m:t>
          </m:r>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f>
                <m:fPr>
                  <m:type m:val="bar"/>
                </m:fPr>
                <m:num>
                  <m:sSub>
                    <m:e>
                      <m:r>
                        <m:t>y</m:t>
                      </m:r>
                    </m:e>
                    <m:sub>
                      <m:r>
                        <m:t>i</m:t>
                      </m:r>
                    </m:sub>
                  </m:sSub>
                </m:num>
                <m:den>
                  <m:acc>
                    <m:accPr>
                      <m:chr m:val="‾"/>
                    </m:accPr>
                    <m:e>
                      <m:r>
                        <m:t>y</m:t>
                      </m:r>
                    </m:e>
                  </m:acc>
                </m:den>
              </m:f>
            </m:e>
          </m:nary>
          <m:r>
            <m:rPr>
              <m:nor/>
              <m:sty m:val="p"/>
            </m:rPr>
            <m:t>ln</m:t>
          </m:r>
          <m:f>
            <m:fPr>
              <m:type m:val="bar"/>
            </m:fPr>
            <m:num>
              <m:sSub>
                <m:e>
                  <m:r>
                    <m:t>y</m:t>
                  </m:r>
                </m:e>
                <m:sub>
                  <m:r>
                    <m:t>i</m:t>
                  </m:r>
                </m:sub>
              </m:sSub>
            </m:num>
            <m:den>
              <m:acc>
                <m:accPr>
                  <m:chr m:val="‾"/>
                </m:accPr>
                <m:e>
                  <m:r>
                    <m:t>y</m:t>
                  </m:r>
                </m:e>
              </m:acc>
            </m:den>
          </m:f>
        </m:oMath>
      </m:oMathPara>
    </w:p>
    <w:p>
      <w:pPr>
        <w:pStyle w:val="3"/>
        <w:jc w:val="center"/>
      </w:pPr>
      <m:oMathPara>
        <m:oMathParaPr>
          <m:jc m:val="center"/>
        </m:oMathParaPr>
        <m:oMath>
          <m:r>
            <m:t>T</m:t>
          </m:r>
          <m:r>
            <m:rPr>
              <m:sty m:val="p"/>
            </m:rPr>
            <m:t>=</m:t>
          </m:r>
          <m:sSub>
            <m:e>
              <m:r>
                <m:t>T</m:t>
              </m:r>
            </m:e>
            <m:sub>
              <m:r>
                <m:t>b</m:t>
              </m:r>
              <m:r>
                <m:t>e</m:t>
              </m:r>
              <m:r>
                <m:t>t</m:t>
              </m:r>
              <m:r>
                <m:t>w</m:t>
              </m:r>
              <m:r>
                <m:t>e</m:t>
              </m:r>
              <m:r>
                <m:t>e</m:t>
              </m:r>
              <m:r>
                <m:t>n</m:t>
              </m:r>
            </m:sub>
          </m:sSub>
          <m:r>
            <m:rPr>
              <m:sty m:val="p"/>
            </m:rPr>
            <m:t>+</m:t>
          </m:r>
          <m:sSub>
            <m:e>
              <m:r>
                <m:t>T</m:t>
              </m:r>
            </m:e>
            <m:sub>
              <m:r>
                <m:t>w</m:t>
              </m:r>
              <m:r>
                <m:t>i</m:t>
              </m:r>
              <m:r>
                <m:t>t</m:t>
              </m:r>
              <m:r>
                <m:t>h</m:t>
              </m:r>
              <m:r>
                <m:t>i</m:t>
              </m:r>
              <m:r>
                <m:t>n</m:t>
              </m:r>
            </m:sub>
          </m:sSub>
          <m:r>
            <m:rPr>
              <m:sty m:val="p"/>
            </m:rPr>
            <m:t>=</m:t>
          </m:r>
          <m:nary>
            <m:naryPr>
              <m:chr m:val="∑"/>
              <m:limLoc m:val="undOvr"/>
              <m:subHide m:val="0"/>
              <m:supHide m:val="1"/>
            </m:naryPr>
            <m:sub>
              <m:r>
                <m:t>g</m:t>
              </m:r>
            </m:sub>
            <m:sup>
              <m:r>
                <m:t>​</m:t>
              </m:r>
            </m:sup>
            <m:e>
              <m:sSub>
                <m:e>
                  <m:r>
                    <m:t>s</m:t>
                  </m:r>
                </m:e>
                <m:sub>
                  <m:r>
                    <m:t>g</m:t>
                  </m:r>
                </m:sub>
              </m:sSub>
            </m:e>
          </m:nary>
          <m:r>
            <m:rPr>
              <m:nor/>
              <m:sty m:val="p"/>
            </m:rPr>
            <m:t>ln</m:t>
          </m:r>
          <m:f>
            <m:fPr>
              <m:type m:val="bar"/>
            </m:fPr>
            <m:num>
              <m:sSub>
                <m:e>
                  <m:r>
                    <m:t>s</m:t>
                  </m:r>
                </m:e>
                <m:sub>
                  <m:r>
                    <m:t>g</m:t>
                  </m:r>
                </m:sub>
              </m:sSub>
            </m:num>
            <m:den>
              <m:sSub>
                <m:e>
                  <m:r>
                    <m:t>f</m:t>
                  </m:r>
                </m:e>
                <m:sub>
                  <m:r>
                    <m:t>g</m:t>
                  </m:r>
                </m:sub>
              </m:sSub>
            </m:den>
          </m:f>
          <m:r>
            <m:rPr>
              <m:sty m:val="p"/>
            </m:rPr>
            <m:t>+</m:t>
          </m:r>
          <m:nary>
            <m:naryPr>
              <m:chr m:val="∑"/>
              <m:limLoc m:val="undOvr"/>
              <m:subHide m:val="0"/>
              <m:supHide m:val="1"/>
            </m:naryPr>
            <m:sub>
              <m:r>
                <m:t>g</m:t>
              </m:r>
            </m:sub>
            <m:sup>
              <m:r>
                <m:t>​</m:t>
              </m:r>
            </m:sup>
            <m:e>
              <m:sSub>
                <m:e>
                  <m:r>
                    <m:t>s</m:t>
                  </m:r>
                </m:e>
                <m:sub>
                  <m:r>
                    <m:t>g</m:t>
                  </m:r>
                </m:sub>
              </m:sSub>
            </m:e>
          </m:nary>
          <m:sSub>
            <m:e>
              <m:r>
                <m:t>T</m:t>
              </m:r>
            </m:e>
            <m:sub>
              <m:r>
                <m:t>g</m:t>
              </m:r>
            </m:sub>
          </m:sSub>
        </m:oMath>
      </m:oMathPara>
    </w:p>
    <w:p>
      <w:pPr>
        <w:pStyle w:val="3"/>
      </w:pPr>
      <w:r>
        <w:t xml:space="preserve">σ收敛指标则用于观察各国预期寿命是否随时间趋同：</w:t>
      </w:r>
    </w:p>
    <w:p>
      <w:pPr>
        <w:pStyle w:val="3"/>
        <w:jc w:val="center"/>
      </w:pPr>
      <m:oMathPara>
        <m:oMathParaPr>
          <m:jc m:val="center"/>
        </m:oMathParaPr>
        <m:oMath>
          <m:sSub>
            <m:e>
              <m:r>
                <m:t>σ</m:t>
              </m:r>
            </m:e>
            <m:sub>
              <m:r>
                <m:t>t</m:t>
              </m:r>
            </m:sub>
          </m:sSub>
          <m:r>
            <m:rPr>
              <m:sty m:val="p"/>
            </m:rPr>
            <m:t>=</m:t>
          </m:r>
          <m:rad>
            <m:radPr>
              <m:degHide m:val="1"/>
            </m:radPr>
            <m:deg/>
            <m:e>
              <m:f>
                <m:fPr>
                  <m:type m:val="bar"/>
                </m:fPr>
                <m:num>
                  <m:r>
                    <m:t>1</m:t>
                  </m:r>
                </m:num>
                <m:den>
                  <m:r>
                    <m:t>n</m:t>
                  </m:r>
                </m:den>
              </m:f>
              <m:nary>
                <m:naryPr>
                  <m:chr m:val="∑"/>
                  <m:limLoc m:val="undOvr"/>
                  <m:subHide m:val="0"/>
                  <m:supHide m:val="0"/>
                </m:naryPr>
                <m:sub>
                  <m:r>
                    <m:t>i</m:t>
                  </m:r>
                  <m:r>
                    <m:rPr>
                      <m:sty m:val="p"/>
                    </m:rPr>
                    <m:t>=</m:t>
                  </m:r>
                  <m:r>
                    <m:t>1</m:t>
                  </m:r>
                </m:sub>
                <m:sup>
                  <m:r>
                    <m:t>n</m:t>
                  </m:r>
                </m:sup>
                <m:e>
                  <m:sSup>
                    <m:e>
                      <m:d>
                        <m:dPr>
                          <m:begChr m:val="["/>
                          <m:endChr m:val="]"/>
                          <m:grow/>
                        </m:dPr>
                        <m:e>
                          <m:r>
                            <m:rPr>
                              <m:nor/>
                              <m:sty m:val="p"/>
                            </m:rPr>
                            <m:t>ln</m:t>
                          </m:r>
                          <m:r>
                            <m:rPr>
                              <m:sty m:val="p"/>
                            </m:rPr>
                            <m:t>(</m:t>
                          </m:r>
                          <m:sSub>
                            <m:e>
                              <m:r>
                                <m:t>y</m:t>
                              </m:r>
                            </m:e>
                            <m:sub>
                              <m:r>
                                <m:t>i</m:t>
                              </m:r>
                              <m:r>
                                <m:t>t</m:t>
                              </m:r>
                            </m:sub>
                          </m:sSub>
                          <m:r>
                            <m:rPr>
                              <m:sty m:val="p"/>
                            </m:rPr>
                            <m:t>)</m:t>
                          </m:r>
                          <m:r>
                            <m:rPr>
                              <m:sty m:val="p"/>
                            </m:rPr>
                            <m:t>−</m:t>
                          </m:r>
                          <m:bar>
                            <m:barPr>
                              <m:pos m:val="top"/>
                            </m:barPr>
                            <m:e>
                              <m:r>
                                <m:rPr>
                                  <m:nor/>
                                  <m:sty m:val="p"/>
                                </m:rPr>
                                <m:t>ln</m:t>
                              </m:r>
                              <m:r>
                                <m:rPr>
                                  <m:sty m:val="p"/>
                                </m:rPr>
                                <m:t>(</m:t>
                              </m:r>
                              <m:sSub>
                                <m:e>
                                  <m:r>
                                    <m:t>y</m:t>
                                  </m:r>
                                </m:e>
                                <m:sub>
                                  <m:r>
                                    <m:t>t</m:t>
                                  </m:r>
                                </m:sub>
                              </m:sSub>
                              <m:r>
                                <m:rPr>
                                  <m:sty m:val="p"/>
                                </m:rPr>
                                <m:t>)</m:t>
                              </m:r>
                            </m:e>
                          </m:bar>
                        </m:e>
                      </m:d>
                    </m:e>
                    <m:sup>
                      <m:r>
                        <m:t>2</m:t>
                      </m:r>
                    </m:sup>
                  </m:sSup>
                </m:e>
              </m:nary>
            </m:e>
          </m:rad>
        </m:oMath>
      </m:oMathPara>
    </w:p>
    <w:p xmlns:a="http://schemas.openxmlformats.org/drawingml/2006/main" xmlns:pic="http://schemas.openxmlformats.org/drawingml/2006/picture">
      <w:pPr>
        <w:pStyle w:val="40"/>
        <w:jc w:val="center"/>
      </w:pPr>
      <w:r>
        <w:drawing>
          <wp:inline>
            <wp:extent cx="5270500" cy="1675330"/>
            <wp:effectExtent b="0" l="0" r="0" t="0"/>
            <wp:docPr descr="图6-42000—2023年全球健康公平性趋势" title="" id="1" name="Picture"/>
            <a:graphic>
              <a:graphicData uri="http://schemas.openxmlformats.org/drawingml/2006/picture">
                <pic:pic>
                  <pic:nvPicPr>
                    <pic:cNvPr descr="reports/paper/assets/p3_04_global_equity_trends.png" id="0" name="Picture"/>
                    <pic:cNvPicPr>
                      <a:picLocks noChangeArrowheads="1" noChangeAspect="1"/>
                    </pic:cNvPicPr>
                  </pic:nvPicPr>
                  <pic:blipFill>
                    <a:blip r:embed="rId15"/>
                    <a:stretch>
                      <a:fillRect/>
                    </a:stretch>
                  </pic:blipFill>
                  <pic:spPr bwMode="auto">
                    <a:xfrm>
                      <a:off x="0" y="0"/>
                      <a:ext cx="5270500" cy="1675330"/>
                    </a:xfrm>
                    <a:prstGeom prst="rect">
                      <a:avLst/>
                    </a:prstGeom>
                    <a:noFill/>
                    <a:ln w="9525">
                      <a:noFill/>
                      <a:headEnd/>
                      <a:tailEnd/>
                    </a:ln>
                  </pic:spPr>
                </pic:pic>
              </a:graphicData>
            </a:graphic>
          </wp:inline>
        </w:drawing>
      </w:r>
    </w:p>
    <w:p>
      <w:pPr>
        <w:pStyle w:val="3"/>
      </w:pPr>
      <w:r>
        <w:t xml:space="preserve">图6-42000—2023年全球健康公平性趋势</w:t>
      </w:r>
    </w:p>
    <w:p>
      <w:pPr>
        <w:pStyle w:val="3"/>
      </w:pPr>
      <w:r>
        <w:t xml:space="preserve">图6-4表明，2000—2023年全球健康不平等总体呈下降趋势：预期寿命Gini系数由0.0816下降至0.0600，Theil指数由0.0112下降至0.0057，σ收敛指标由0.1577下降至0.1093。这说明全球平均寿命提高的同时，国家间健康结果差距也在缩小。</w:t>
      </w:r>
    </w:p>
    <w:p xmlns:a="http://schemas.openxmlformats.org/drawingml/2006/main" xmlns:pic="http://schemas.openxmlformats.org/drawingml/2006/picture">
      <w:pPr>
        <w:pStyle w:val="40"/>
        <w:jc w:val="center"/>
      </w:pPr>
      <w:r>
        <w:drawing>
          <wp:inline>
            <wp:extent cx="5270500" cy="1957768"/>
            <wp:effectExtent b="0" l="0" r="0" t="0"/>
            <wp:docPr descr="图6-5全球分组公平性对比" title="" id="1" name="Picture"/>
            <a:graphic>
              <a:graphicData uri="http://schemas.openxmlformats.org/drawingml/2006/picture">
                <pic:pic>
                  <pic:nvPicPr>
                    <pic:cNvPr descr="reports/paper/assets/p3_05_global_group_fairness.png" id="0" name="Picture"/>
                    <pic:cNvPicPr>
                      <a:picLocks noChangeArrowheads="1" noChangeAspect="1"/>
                    </pic:cNvPicPr>
                  </pic:nvPicPr>
                  <pic:blipFill>
                    <a:blip r:embed="rId16"/>
                    <a:stretch>
                      <a:fillRect/>
                    </a:stretch>
                  </pic:blipFill>
                  <pic:spPr bwMode="auto">
                    <a:xfrm>
                      <a:off x="0" y="0"/>
                      <a:ext cx="5270500" cy="1957768"/>
                    </a:xfrm>
                    <a:prstGeom prst="rect">
                      <a:avLst/>
                    </a:prstGeom>
                    <a:noFill/>
                    <a:ln w="9525">
                      <a:noFill/>
                      <a:headEnd/>
                      <a:tailEnd/>
                    </a:ln>
                  </pic:spPr>
                </pic:pic>
              </a:graphicData>
            </a:graphic>
          </wp:inline>
        </w:drawing>
      </w:r>
    </w:p>
    <w:p>
      <w:pPr>
        <w:pStyle w:val="3"/>
      </w:pPr>
      <w:r>
        <w:t xml:space="preserve">图6-5全球分组公平性对比</w:t>
      </w:r>
    </w:p>
    <w:p>
      <w:pPr>
        <w:pStyle w:val="3"/>
      </w:pPr>
      <w:r>
        <w:t xml:space="preserve">图6-5进一步说明，收敛并不意味着差距消失。从收入组看，HIC国家平均预期寿命为78.90岁，平均人均卫生支出为3472.17美元，而LIC国家分别仅为62.05岁和43.38美元，收入层级仍然决定健康资源和健康结果的基本梯度。从四象限内部看，Q2组内寿命Gini最低，为0.0173，说明低投入高产出国家不仅平均表现较好，内部差异也较小；Q4组内卫生支出Gini最高，为0.5119，说明弱势国家之间也存在明显资源分化。</w:t>
      </w:r>
    </w:p>
    <w:p>
      <w:pPr>
        <w:pStyle w:val="3"/>
        <w:spacing w:before="120" w:after="120"/>
        <w:jc w:val="left"/>
      </w:pPr>
      <w:r>
        <w:rPr>
          <w:b/>
          <w:sz w:val="28"/>
          <w:rFonts w:eastAsia="黑体"/>
        </w:rPr>
        <w:t xml:space="preserve">6.3 卫生资源再分配模拟</w:t>
      </w:r>
    </w:p>
    <w:p>
      <w:pPr>
        <w:pStyle w:val="3"/>
        <w:spacing w:before="120" w:after="120"/>
        <w:jc w:val="left"/>
      </w:pPr>
      <w:r>
        <w:rPr>
          <w:b/>
          <w:sz w:val="24"/>
          <w:rFonts w:eastAsia="黑体"/>
        </w:rPr>
        <w:t xml:space="preserve">6.3.1 分象限生产函数拟合</w:t>
      </w:r>
    </w:p>
    <w:p>
      <w:pPr>
        <w:pStyle w:val="3"/>
      </w:pPr>
      <w:r>
        <w:t xml:space="preserve">在完成缺口识别和类型划分后，本文进一步将问题转化为资源配置优化。这里选取人均卫生支出</w:t>
      </w:r>
      <m:oMath>
        <m:sSub>
          <m:e>
            <m:r>
              <m:t>x</m:t>
            </m:r>
          </m:e>
          <m:sub>
            <m:r>
              <m:t>i</m:t>
            </m:r>
          </m:sub>
        </m:sSub>
      </m:oMath>
      <w:r>
        <w:t xml:space="preserve">作为可调配资源代理，以健康产出指数</w:t>
      </w:r>
      <m:oMath>
        <m:sSub>
          <m:e>
            <m:r>
              <m:t>y</m:t>
            </m:r>
          </m:e>
          <m:sub>
            <m:r>
              <m:t>i</m:t>
            </m:r>
          </m:sub>
        </m:sSub>
      </m:oMath>
      <w:r>
        <w:t xml:space="preserve">为目标变量。考虑不同象限国家的边际收益并不相同，本文为Q1—Q4分别拟合对数生产函数：</w:t>
      </w:r>
    </w:p>
    <w:p>
      <w:pPr>
        <w:pStyle w:val="3"/>
        <w:jc w:val="center"/>
      </w:pPr>
      <m:oMathPara>
        <m:oMathParaPr>
          <m:jc m:val="center"/>
        </m:oMathParaPr>
        <m:oMath>
          <m:sSub>
            <m:e>
              <m:r>
                <m:t>f</m:t>
              </m:r>
            </m:e>
            <m:sub>
              <m:r>
                <m:t>k</m:t>
              </m:r>
            </m:sub>
          </m:sSub>
          <m:r>
            <m:rPr>
              <m:sty m:val="p"/>
            </m:rPr>
            <m:t>(</m:t>
          </m:r>
          <m:r>
            <m:t>x</m:t>
          </m:r>
          <m:r>
            <m:rPr>
              <m:sty m:val="p"/>
            </m:rPr>
            <m:t>)</m:t>
          </m:r>
          <m:r>
            <m:rPr>
              <m:sty m:val="p"/>
            </m:rPr>
            <m:t>=</m:t>
          </m:r>
          <m:sSub>
            <m:e>
              <m:r>
                <m:t>a</m:t>
              </m:r>
            </m:e>
            <m:sub>
              <m:r>
                <m:t>k</m:t>
              </m:r>
            </m:sub>
          </m:sSub>
          <m:r>
            <m:rPr>
              <m:nor/>
              <m:sty m:val="p"/>
            </m:rPr>
            <m:t>ln</m:t>
          </m:r>
          <m:r>
            <m:rPr>
              <m:sty m:val="p"/>
            </m:rPr>
            <m:t>(</m:t>
          </m:r>
          <m:r>
            <m:t>x</m:t>
          </m:r>
          <m:r>
            <m:rPr>
              <m:sty m:val="p"/>
            </m:rPr>
            <m:t>+</m:t>
          </m:r>
          <m:r>
            <m:t>1</m:t>
          </m:r>
          <m:r>
            <m:rPr>
              <m:sty m:val="p"/>
            </m:rPr>
            <m:t>)</m:t>
          </m:r>
          <m:r>
            <m:rPr>
              <m:sty m:val="p"/>
            </m:rPr>
            <m:t>+</m:t>
          </m:r>
          <m:sSub>
            <m:e>
              <m:r>
                <m:t>b</m:t>
              </m:r>
            </m:e>
            <m:sub>
              <m:r>
                <m:t>k</m:t>
              </m:r>
            </m:sub>
          </m:sSub>
          <m:r>
            <m:rPr>
              <m:sty m:val="p"/>
            </m:rPr>
            <m:t>,</m:t>
          </m:r>
          <m:r>
            <m:t> </m:t>
          </m:r>
          <m:r>
            <m:t>k</m:t>
          </m:r>
          <m:r>
            <m:rPr>
              <m:sty m:val="p"/>
            </m:rPr>
            <m:t>∈</m:t>
          </m:r>
          <m:r>
            <m:rPr>
              <m:sty m:val="p"/>
            </m:rPr>
            <m:t>{</m:t>
          </m:r>
          <m:r>
            <m:t>Q</m:t>
          </m:r>
          <m:r>
            <m:t>1</m:t>
          </m:r>
          <m:r>
            <m:rPr>
              <m:sty m:val="p"/>
            </m:rPr>
            <m:t>,</m:t>
          </m:r>
          <m:r>
            <m:t>Q</m:t>
          </m:r>
          <m:r>
            <m:t>2</m:t>
          </m:r>
          <m:r>
            <m:rPr>
              <m:sty m:val="p"/>
            </m:rPr>
            <m:t>,</m:t>
          </m:r>
          <m:r>
            <m:t>Q</m:t>
          </m:r>
          <m:r>
            <m:t>3</m:t>
          </m:r>
          <m:r>
            <m:rPr>
              <m:sty m:val="p"/>
            </m:rPr>
            <m:t>,</m:t>
          </m:r>
          <m:r>
            <m:t>Q</m:t>
          </m:r>
          <m:r>
            <m:t>4</m:t>
          </m:r>
          <m:r>
            <m:rPr>
              <m:sty m:val="p"/>
            </m:rPr>
            <m:t>}</m:t>
          </m:r>
        </m:oMath>
      </m:oMathPara>
    </w:p>
    <w:p>
      <w:pPr>
        <w:pStyle w:val="3"/>
      </w:pPr>
      <w:r>
        <w:t xml:space="preserve">表6-1四象限生产函数拟合参数</w:t>
      </w:r>
    </w:p>
    <w:tbl>
      <w:tblPr>
        <w:tblStyle w:val="21"/>
        <w:tblW w:type="auto" w:w="0"/>
        <w:jc w:val="center"/>
        <w:tblLayout w:type="fixed"/>
        <w:tblLook w:firstColumn="1" w:firstRow="1" w:lastColumn="0" w:lastRow="0" w:noHBand="0" w:noVBand="1" w:val="04A0"/>
      </w:tblPr>
      <w:tblGrid>
        <w:gridCol w:w="2769"/>
        <w:gridCol w:w="2769"/>
        <w:gridCol w:w="2769"/>
      </w:tblGrid>
      <w:tr>
        <w:tc>
          <w:tcPr>
            <w:tcW w:type="dxa" w:w="3685"/>
          </w:tcPr>
          <w:p>
            <w:pPr>
              <w:jc w:val="center"/>
            </w:pPr>
            <w:r>
              <w:rPr>
                <w:b/>
                <w:sz w:val="20"/>
              </w:rPr>
              <w:t>象限</w:t>
            </w:r>
          </w:p>
        </w:tc>
        <w:tc>
          <w:tcPr>
            <w:tcW w:type="dxa" w:w="1587"/>
          </w:tcPr>
          <w:p>
            <w:pPr>
              <w:jc w:val="center"/>
            </w:pPr>
            <w:r>
              <w:rPr>
                <w:b/>
                <w:sz w:val="20"/>
              </w:rPr>
              <w:t>a_k</w:t>
            </w:r>
          </w:p>
        </w:tc>
        <w:tc>
          <w:tcPr>
            <w:tcW w:type="dxa" w:w="1587"/>
          </w:tcPr>
          <w:p>
            <w:pPr>
              <w:jc w:val="center"/>
            </w:pPr>
            <w:r>
              <w:rPr>
                <w:b/>
                <w:sz w:val="20"/>
              </w:rPr>
              <w:t>b_k</w:t>
            </w:r>
          </w:p>
        </w:tc>
      </w:tr>
      <w:tr>
        <w:tc>
          <w:tcPr>
            <w:tcW w:type="dxa" w:w="3685"/>
          </w:tcPr>
          <w:p>
            <w:pPr>
              <w:jc w:val="left"/>
            </w:pPr>
            <w:r>
              <w:rPr>
                <w:sz w:val="20"/>
              </w:rPr>
              <w:t>Q1（高投入高产出）</w:t>
            </w:r>
          </w:p>
        </w:tc>
        <w:tc>
          <w:tcPr>
            <w:tcW w:type="dxa" w:w="1587"/>
          </w:tcPr>
          <w:p>
            <w:pPr>
              <w:jc w:val="left"/>
            </w:pPr>
            <w:r>
              <w:rPr>
                <w:sz w:val="20"/>
              </w:rPr>
              <w:t>0.2416</w:t>
            </w:r>
          </w:p>
        </w:tc>
        <w:tc>
          <w:tcPr>
            <w:tcW w:type="dxa" w:w="1587"/>
          </w:tcPr>
          <w:p>
            <w:pPr>
              <w:jc w:val="left"/>
            </w:pPr>
            <w:r>
              <w:rPr>
                <w:sz w:val="20"/>
              </w:rPr>
              <w:t>-1.0029</w:t>
            </w:r>
          </w:p>
        </w:tc>
      </w:tr>
      <w:tr>
        <w:tc>
          <w:tcPr>
            <w:tcW w:type="dxa" w:w="3685"/>
          </w:tcPr>
          <w:p>
            <w:pPr>
              <w:jc w:val="left"/>
            </w:pPr>
            <w:r>
              <w:rPr>
                <w:sz w:val="20"/>
              </w:rPr>
              <w:t>Q2（低投入高产出）</w:t>
            </w:r>
          </w:p>
        </w:tc>
        <w:tc>
          <w:tcPr>
            <w:tcW w:type="dxa" w:w="1587"/>
          </w:tcPr>
          <w:p>
            <w:pPr>
              <w:jc w:val="left"/>
            </w:pPr>
            <w:r>
              <w:rPr>
                <w:sz w:val="20"/>
              </w:rPr>
              <w:t>0.2231</w:t>
            </w:r>
          </w:p>
        </w:tc>
        <w:tc>
          <w:tcPr>
            <w:tcW w:type="dxa" w:w="1587"/>
          </w:tcPr>
          <w:p>
            <w:pPr>
              <w:jc w:val="left"/>
            </w:pPr>
            <w:r>
              <w:rPr>
                <w:sz w:val="20"/>
              </w:rPr>
              <w:t>-0.7705</w:t>
            </w:r>
          </w:p>
        </w:tc>
      </w:tr>
      <w:tr>
        <w:tc>
          <w:tcPr>
            <w:tcW w:type="dxa" w:w="3685"/>
          </w:tcPr>
          <w:p>
            <w:pPr>
              <w:jc w:val="left"/>
            </w:pPr>
            <w:r>
              <w:rPr>
                <w:sz w:val="20"/>
              </w:rPr>
              <w:t>Q3（高投入低产出）</w:t>
            </w:r>
          </w:p>
        </w:tc>
        <w:tc>
          <w:tcPr>
            <w:tcW w:type="dxa" w:w="1587"/>
          </w:tcPr>
          <w:p>
            <w:pPr>
              <w:jc w:val="left"/>
            </w:pPr>
            <w:r>
              <w:rPr>
                <w:sz w:val="20"/>
              </w:rPr>
              <w:t>0.1446</w:t>
            </w:r>
          </w:p>
        </w:tc>
        <w:tc>
          <w:tcPr>
            <w:tcW w:type="dxa" w:w="1587"/>
          </w:tcPr>
          <w:p>
            <w:pPr>
              <w:jc w:val="left"/>
            </w:pPr>
            <w:r>
              <w:rPr>
                <w:sz w:val="20"/>
              </w:rPr>
              <w:t>-1.2631</w:t>
            </w:r>
          </w:p>
        </w:tc>
      </w:tr>
      <w:tr>
        <w:tc>
          <w:tcPr>
            <w:tcW w:type="dxa" w:w="3685"/>
          </w:tcPr>
          <w:p>
            <w:pPr>
              <w:jc w:val="left"/>
            </w:pPr>
            <w:r>
              <w:rPr>
                <w:sz w:val="20"/>
              </w:rPr>
              <w:t>Q4（低投入低产出）</w:t>
            </w:r>
          </w:p>
        </w:tc>
        <w:tc>
          <w:tcPr>
            <w:tcW w:type="dxa" w:w="1587"/>
          </w:tcPr>
          <w:p>
            <w:pPr>
              <w:jc w:val="left"/>
            </w:pPr>
            <w:r>
              <w:rPr>
                <w:sz w:val="20"/>
              </w:rPr>
              <w:t>0.4086</w:t>
            </w:r>
          </w:p>
        </w:tc>
        <w:tc>
          <w:tcPr>
            <w:tcW w:type="dxa" w:w="1587"/>
          </w:tcPr>
          <w:p>
            <w:pPr>
              <w:jc w:val="left"/>
            </w:pPr>
            <w:r>
              <w:rPr>
                <w:sz w:val="20"/>
              </w:rPr>
              <w:t>-2.6890</w:t>
            </w:r>
          </w:p>
        </w:tc>
      </w:tr>
    </w:tbl>
    <w:p xmlns:a="http://schemas.openxmlformats.org/drawingml/2006/main" xmlns:pic="http://schemas.openxmlformats.org/drawingml/2006/picture">
      <w:pPr>
        <w:pStyle w:val="40"/>
        <w:jc w:val="center"/>
      </w:pPr>
      <w:r>
        <w:drawing>
          <wp:inline>
            <wp:extent cx="5270500" cy="2058871"/>
            <wp:effectExtent b="0" l="0" r="0" t="0"/>
            <wp:docPr descr="图6-6人均卫生支出与健康产出的对数生产函数拟合" title="" id="1" name="Picture"/>
            <a:graphic>
              <a:graphicData uri="http://schemas.openxmlformats.org/drawingml/2006/picture">
                <pic:pic>
                  <pic:nvPicPr>
                    <pic:cNvPr descr="reports/paper/assets/p3_06_production_fit.png" id="0" name="Picture"/>
                    <pic:cNvPicPr>
                      <a:picLocks noChangeArrowheads="1" noChangeAspect="1"/>
                    </pic:cNvPicPr>
                  </pic:nvPicPr>
                  <pic:blipFill>
                    <a:blip r:embed="rId17"/>
                    <a:stretch>
                      <a:fillRect/>
                    </a:stretch>
                  </pic:blipFill>
                  <pic:spPr bwMode="auto">
                    <a:xfrm>
                      <a:off x="0" y="0"/>
                      <a:ext cx="5270500" cy="2058871"/>
                    </a:xfrm>
                    <a:prstGeom prst="rect">
                      <a:avLst/>
                    </a:prstGeom>
                    <a:noFill/>
                    <a:ln w="9525">
                      <a:noFill/>
                      <a:headEnd/>
                      <a:tailEnd/>
                    </a:ln>
                  </pic:spPr>
                </pic:pic>
              </a:graphicData>
            </a:graphic>
          </wp:inline>
        </w:drawing>
      </w:r>
    </w:p>
    <w:p>
      <w:pPr>
        <w:pStyle w:val="3"/>
      </w:pPr>
      <w:r>
        <w:t xml:space="preserve">图6-6人均卫生支出与健康产出的对数生产函数拟合</w:t>
      </w:r>
    </w:p>
    <w:p>
      <w:pPr>
        <w:pStyle w:val="3"/>
      </w:pPr>
      <w:r>
        <w:t xml:space="preserve">图6-6和表6-1显示，不同象限的投入产出关系存在明显差异。Q4的斜率参数最大，说明资源不足地区的边际投入回报更高；Q3的斜率最小，说明这类地区即便投入较高，新增资源也较难自动转化为健康产出。因此，优化模型不能简单按当前投入比例平均调整，而应根据边际收益和公平目标进行再分配。</w:t>
      </w:r>
    </w:p>
    <w:p>
      <w:pPr>
        <w:pStyle w:val="3"/>
        <w:spacing w:before="120" w:after="120"/>
        <w:jc w:val="left"/>
      </w:pPr>
      <w:r>
        <w:rPr>
          <w:b/>
          <w:sz w:val="24"/>
          <w:rFonts w:eastAsia="黑体"/>
        </w:rPr>
        <w:t xml:space="preserve">6.3.2 效率优先与公平优先的双目标优化</w:t>
      </w:r>
    </w:p>
    <w:p>
      <w:pPr>
        <w:pStyle w:val="3"/>
      </w:pPr>
      <w:r>
        <w:t xml:space="preserve">效率优先目标对应总健康产出最大化：</w:t>
      </w:r>
    </w:p>
    <w:p>
      <w:pPr>
        <w:pStyle w:val="3"/>
        <w:jc w:val="center"/>
      </w:pPr>
      <m:oMathPara>
        <m:oMathParaPr>
          <m:jc m:val="center"/>
        </m:oMathParaPr>
        <m:oMath>
          <m:m>
            <m:mPr>
              <m:baseJc m:val="center"/>
              <m:plcHide m:val="1"/>
              <m:mcs>
                <m:mc>
                  <m:mcPr>
                    <m:mcJc m:val="right"/>
                    <m:count m:val="1"/>
                  </m:mcPr>
                </m:mc>
                <m:mc>
                  <m:mcPr>
                    <m:mcJc m:val="left"/>
                    <m:count m:val="1"/>
                  </m:mcPr>
                </m:mc>
              </m:mcs>
            </m:mPr>
            <m:mr>
              <m:e>
                <m:limLow>
                  <m:e>
                    <m:r>
                      <m:rPr>
                        <m:nor/>
                        <m:sty m:val="p"/>
                      </m:rPr>
                      <m:t>max</m:t>
                    </m:r>
                  </m:e>
                  <m:lim>
                    <m:r>
                      <m:rPr>
                        <m:sty m:val="b"/>
                      </m:rPr>
                      <m:t>x</m:t>
                    </m:r>
                  </m:lim>
                </m:limLow>
                <m:r>
                  <m:t> </m:t>
                </m:r>
              </m:e>
              <m:e>
                <m:nary>
                  <m:naryPr>
                    <m:chr m:val="∑"/>
                    <m:limLoc m:val="undOvr"/>
                    <m:subHide m:val="0"/>
                    <m:supHide m:val="0"/>
                  </m:naryPr>
                  <m:sub>
                    <m:r>
                      <m:t>i</m:t>
                    </m:r>
                    <m:r>
                      <m:rPr>
                        <m:sty m:val="p"/>
                      </m:rPr>
                      <m:t>=</m:t>
                    </m:r>
                    <m:r>
                      <m:t>1</m:t>
                    </m:r>
                  </m:sub>
                  <m:sup>
                    <m:r>
                      <m:t>n</m:t>
                    </m:r>
                  </m:sup>
                  <m:e>
                    <m:sSub>
                      <m:e>
                        <m:r>
                          <m:t>f</m:t>
                        </m:r>
                      </m:e>
                      <m:sub>
                        <m:r>
                          <m:t>k</m:t>
                        </m:r>
                        <m:r>
                          <m:rPr>
                            <m:sty m:val="p"/>
                          </m:rPr>
                          <m:t>(</m:t>
                        </m:r>
                        <m:r>
                          <m:t>i</m:t>
                        </m:r>
                        <m:r>
                          <m:rPr>
                            <m:sty m:val="p"/>
                          </m:rPr>
                          <m:t>)</m:t>
                        </m:r>
                      </m:sub>
                    </m:sSub>
                  </m:e>
                </m:nary>
                <m:r>
                  <m:rPr>
                    <m:sty m:val="p"/>
                  </m:rPr>
                  <m:t>(</m:t>
                </m:r>
                <m:sSub>
                  <m:e>
                    <m:r>
                      <m:t>x</m:t>
                    </m:r>
                  </m:e>
                  <m:sub>
                    <m:r>
                      <m:t>i</m:t>
                    </m:r>
                  </m:sub>
                </m:sSub>
                <m:r>
                  <m:rPr>
                    <m:sty m:val="p"/>
                  </m:rPr>
                  <m:t>)</m:t>
                </m:r>
              </m:e>
            </m:mr>
            <m:mr>
              <m:e>
                <m:r>
                  <m:t>s</m:t>
                </m:r>
                <m:r>
                  <m:rPr>
                    <m:sty m:val="p"/>
                  </m:rPr>
                  <m:t>.</m:t>
                </m:r>
                <m:r>
                  <m:t>t</m:t>
                </m:r>
                <m:r>
                  <m:rPr>
                    <m:sty m:val="p"/>
                  </m:rPr>
                  <m:t>.</m:t>
                </m:r>
                <m:r>
                  <m:t> </m:t>
                </m:r>
              </m:e>
              <m:e>
                <m:nary>
                  <m:naryPr>
                    <m:chr m:val="∑"/>
                    <m:limLoc m:val="undOvr"/>
                    <m:subHide m:val="0"/>
                    <m:supHide m:val="0"/>
                  </m:naryPr>
                  <m:sub>
                    <m:r>
                      <m:t>i</m:t>
                    </m:r>
                    <m:r>
                      <m:rPr>
                        <m:sty m:val="p"/>
                      </m:rPr>
                      <m:t>=</m:t>
                    </m:r>
                    <m:r>
                      <m:t>1</m:t>
                    </m:r>
                  </m:sub>
                  <m:sup>
                    <m:r>
                      <m:t>n</m:t>
                    </m:r>
                  </m:sup>
                  <m:e>
                    <m:sSub>
                      <m:e>
                        <m:r>
                          <m:t>x</m:t>
                        </m:r>
                      </m:e>
                      <m:sub>
                        <m:r>
                          <m:t>i</m:t>
                        </m:r>
                      </m:sub>
                    </m:sSub>
                  </m:e>
                </m:nary>
                <m:r>
                  <m:rPr>
                    <m:sty m:val="p"/>
                  </m:rPr>
                  <m:t>≤</m:t>
                </m:r>
                <m:r>
                  <m:t>B</m:t>
                </m:r>
              </m:e>
            </m:mr>
            <m:mr>
              <m:e/>
              <m:e>
                <m:sSubSup>
                  <m:e>
                    <m:r>
                      <m:t>x</m:t>
                    </m:r>
                  </m:e>
                  <m:sub>
                    <m:r>
                      <m:t>i</m:t>
                    </m:r>
                  </m:sub>
                  <m:sup>
                    <m:r>
                      <m:t>m</m:t>
                    </m:r>
                    <m:r>
                      <m:t>i</m:t>
                    </m:r>
                    <m:r>
                      <m:t>n</m:t>
                    </m:r>
                  </m:sup>
                </m:sSubSup>
                <m:r>
                  <m:rPr>
                    <m:sty m:val="p"/>
                  </m:rPr>
                  <m:t>≤</m:t>
                </m:r>
                <m:sSub>
                  <m:e>
                    <m:r>
                      <m:t>x</m:t>
                    </m:r>
                  </m:e>
                  <m:sub>
                    <m:r>
                      <m:t>i</m:t>
                    </m:r>
                  </m:sub>
                </m:sSub>
                <m:r>
                  <m:rPr>
                    <m:sty m:val="p"/>
                  </m:rPr>
                  <m:t>≤</m:t>
                </m:r>
                <m:sSubSup>
                  <m:e>
                    <m:r>
                      <m:t>x</m:t>
                    </m:r>
                  </m:e>
                  <m:sub>
                    <m:r>
                      <m:t>i</m:t>
                    </m:r>
                  </m:sub>
                  <m:sup>
                    <m:r>
                      <m:t>m</m:t>
                    </m:r>
                    <m:r>
                      <m:t>a</m:t>
                    </m:r>
                    <m:r>
                      <m:t>x</m:t>
                    </m:r>
                  </m:sup>
                </m:sSubSup>
              </m:e>
            </m:mr>
          </m:m>
        </m:oMath>
      </m:oMathPara>
    </w:p>
    <w:p>
      <w:pPr>
        <w:pStyle w:val="3"/>
      </w:pPr>
      <w:r>
        <w:t xml:space="preserve">其中，</w:t>
      </w:r>
      <m:oMath>
        <m:r>
          <m:t>B</m:t>
        </m:r>
        <m:r>
          <m:rPr>
            <m:sty m:val="p"/>
          </m:rPr>
          <m:t>=</m:t>
        </m:r>
        <m:r>
          <m:t>α</m:t>
        </m:r>
        <m:nary>
          <m:naryPr>
            <m:chr m:val="∑"/>
            <m:limLoc m:val="undOvr"/>
            <m:subHide m:val="0"/>
            <m:supHide m:val="1"/>
          </m:naryPr>
          <m:sub>
            <m:r>
              <m:t>i</m:t>
            </m:r>
          </m:sub>
          <m:sup>
            <m:r>
              <m:t>​</m:t>
            </m:r>
          </m:sup>
          <m:e>
            <m:sSubSup>
              <m:e>
                <m:r>
                  <m:t>x</m:t>
                </m:r>
              </m:e>
              <m:sub>
                <m:r>
                  <m:t>i</m:t>
                </m:r>
              </m:sub>
              <m:sup>
                <m:r>
                  <m:t>c</m:t>
                </m:r>
                <m:r>
                  <m:t>u</m:t>
                </m:r>
                <m:r>
                  <m:t>r</m:t>
                </m:r>
                <m:r>
                  <m:t>r</m:t>
                </m:r>
                <m:r>
                  <m:t>e</m:t>
                </m:r>
                <m:r>
                  <m:t>n</m:t>
                </m:r>
                <m:r>
                  <m:t>t</m:t>
                </m:r>
              </m:sup>
            </m:sSubSup>
          </m:e>
        </m:nary>
      </m:oMath>
      <w:r>
        <w:t xml:space="preserve">表示预算总量，</w:t>
      </w:r>
      <m:oMath>
        <m:r>
          <m:t>α</m:t>
        </m:r>
        <m:r>
          <m:rPr>
            <m:sty m:val="p"/>
          </m:rPr>
          <m:t>∈</m:t>
        </m:r>
        <m:r>
          <m:rPr>
            <m:sty m:val="p"/>
          </m:rPr>
          <m:t>{</m:t>
        </m:r>
        <m:r>
          <m:t>0.9</m:t>
        </m:r>
        <m:r>
          <m:rPr>
            <m:sty m:val="p"/>
          </m:rPr>
          <m:t>,</m:t>
        </m:r>
        <m:r>
          <m:t>1.0</m:t>
        </m:r>
        <m:r>
          <m:rPr>
            <m:sty m:val="p"/>
          </m:rPr>
          <m:t>,</m:t>
        </m:r>
        <m:r>
          <m:t>1.1</m:t>
        </m:r>
        <m:r>
          <m:rPr>
            <m:sty m:val="p"/>
          </m:rPr>
          <m:t>}</m:t>
        </m:r>
      </m:oMath>
      <w:r>
        <w:t xml:space="preserve">分别对应预算缩减、预算持平和预算增加三种情景。在效率优先目标下，约束区间设置为</w:t>
      </w:r>
      <m:oMath>
        <m:r>
          <m:rPr>
            <m:sty m:val="p"/>
          </m:rPr>
          <m:t>[</m:t>
        </m:r>
        <m:r>
          <m:t>0.5</m:t>
        </m:r>
        <m:sSubSup>
          <m:e>
            <m:r>
              <m:t>x</m:t>
            </m:r>
          </m:e>
          <m:sub>
            <m:r>
              <m:t>i</m:t>
            </m:r>
          </m:sub>
          <m:sup>
            <m:r>
              <m:t>c</m:t>
            </m:r>
            <m:r>
              <m:t>u</m:t>
            </m:r>
            <m:r>
              <m:t>r</m:t>
            </m:r>
            <m:r>
              <m:t>r</m:t>
            </m:r>
            <m:r>
              <m:t>e</m:t>
            </m:r>
            <m:r>
              <m:t>n</m:t>
            </m:r>
            <m:r>
              <m:t>t</m:t>
            </m:r>
          </m:sup>
        </m:sSubSup>
        <m:r>
          <m:rPr>
            <m:sty m:val="p"/>
          </m:rPr>
          <m:t>,</m:t>
        </m:r>
        <m:r>
          <m:t>2.0</m:t>
        </m:r>
        <m:sSubSup>
          <m:e>
            <m:r>
              <m:t>x</m:t>
            </m:r>
          </m:e>
          <m:sub>
            <m:r>
              <m:t>i</m:t>
            </m:r>
          </m:sub>
          <m:sup>
            <m:r>
              <m:t>c</m:t>
            </m:r>
            <m:r>
              <m:t>u</m:t>
            </m:r>
            <m:r>
              <m:t>r</m:t>
            </m:r>
            <m:r>
              <m:t>r</m:t>
            </m:r>
            <m:r>
              <m:t>e</m:t>
            </m:r>
            <m:r>
              <m:t>n</m:t>
            </m:r>
            <m:r>
              <m:t>t</m:t>
            </m:r>
          </m:sup>
        </m:sSubSup>
        <m:r>
          <m:rPr>
            <m:sty m:val="p"/>
          </m:rPr>
          <m:t>]</m:t>
        </m:r>
      </m:oMath>
      <w:r>
        <w:t xml:space="preserve">。由于目标函数具有可分离凹性，最优解具有广义注水结构：</w:t>
      </w:r>
    </w:p>
    <w:p>
      <w:pPr>
        <w:pStyle w:val="3"/>
        <w:jc w:val="center"/>
      </w:pPr>
      <m:oMathPara>
        <m:oMathParaPr>
          <m:jc m:val="center"/>
        </m:oMathParaPr>
        <m:oMath>
          <m:sSubSup>
            <m:e>
              <m:r>
                <m:t>x</m:t>
              </m:r>
            </m:e>
            <m:sub>
              <m:r>
                <m:t>i</m:t>
              </m:r>
            </m:sub>
            <m:sup>
              <m:r>
                <m:rPr>
                  <m:sty m:val="p"/>
                </m:rPr>
                <m:t>*</m:t>
              </m:r>
            </m:sup>
          </m:sSubSup>
          <m:r>
            <m:rPr>
              <m:sty m:val="p"/>
            </m:rPr>
            <m:t>=</m:t>
          </m:r>
          <m:r>
            <m:rPr>
              <m:nor/>
              <m:sty m:val="p"/>
            </m:rPr>
            <m:t>clip</m:t>
          </m:r>
          <m:d>
            <m:dPr>
              <m:begChr m:val="("/>
              <m:endChr m:val=")"/>
              <m:grow/>
            </m:dPr>
            <m:e>
              <m:f>
                <m:fPr>
                  <m:type m:val="bar"/>
                </m:fPr>
                <m:num>
                  <m:sSub>
                    <m:e>
                      <m:r>
                        <m:t>a</m:t>
                      </m:r>
                    </m:e>
                    <m:sub>
                      <m:r>
                        <m:t>k</m:t>
                      </m:r>
                      <m:r>
                        <m:rPr>
                          <m:sty m:val="p"/>
                        </m:rPr>
                        <m:t>(</m:t>
                      </m:r>
                      <m:r>
                        <m:t>i</m:t>
                      </m:r>
                      <m:r>
                        <m:rPr>
                          <m:sty m:val="p"/>
                        </m:rPr>
                        <m:t>)</m:t>
                      </m:r>
                    </m:sub>
                  </m:sSub>
                </m:num>
                <m:den>
                  <m:r>
                    <m:t>μ</m:t>
                  </m:r>
                </m:den>
              </m:f>
              <m:r>
                <m:rPr>
                  <m:sty m:val="p"/>
                </m:rPr>
                <m:t>−</m:t>
              </m:r>
              <m:r>
                <m:t>1</m:t>
              </m:r>
              <m:r>
                <m:rPr>
                  <m:sty m:val="p"/>
                </m:rPr>
                <m:t>,</m:t>
              </m:r>
              <m:sSubSup>
                <m:e>
                  <m:r>
                    <m:t>x</m:t>
                  </m:r>
                </m:e>
                <m:sub>
                  <m:r>
                    <m:t>i</m:t>
                  </m:r>
                </m:sub>
                <m:sup>
                  <m:r>
                    <m:t>m</m:t>
                  </m:r>
                  <m:r>
                    <m:t>i</m:t>
                  </m:r>
                  <m:r>
                    <m:t>n</m:t>
                  </m:r>
                </m:sup>
              </m:sSubSup>
              <m:r>
                <m:rPr>
                  <m:sty m:val="p"/>
                </m:rPr>
                <m:t>,</m:t>
              </m:r>
              <m:sSubSup>
                <m:e>
                  <m:r>
                    <m:t>x</m:t>
                  </m:r>
                </m:e>
                <m:sub>
                  <m:r>
                    <m:t>i</m:t>
                  </m:r>
                </m:sub>
                <m:sup>
                  <m:r>
                    <m:t>m</m:t>
                  </m:r>
                  <m:r>
                    <m:t>a</m:t>
                  </m:r>
                  <m:r>
                    <m:t>x</m:t>
                  </m:r>
                </m:sup>
              </m:sSubSup>
            </m:e>
          </m:d>
        </m:oMath>
      </m:oMathPara>
    </w:p>
    <w:p>
      <w:pPr>
        <w:pStyle w:val="3"/>
      </w:pPr>
      <w:r>
        <w:t xml:space="preserve">公平优先目标对应Rawlsian最小值最大化：</w:t>
      </w:r>
    </w:p>
    <w:p>
      <w:pPr>
        <w:pStyle w:val="3"/>
        <w:jc w:val="center"/>
      </w:pPr>
      <m:oMathPara>
        <m:oMathParaPr>
          <m:jc m:val="center"/>
        </m:oMathParaPr>
        <m:oMath>
          <m:m>
            <m:mPr>
              <m:baseJc m:val="center"/>
              <m:plcHide m:val="1"/>
              <m:mcs>
                <m:mc>
                  <m:mcPr>
                    <m:mcJc m:val="right"/>
                    <m:count m:val="1"/>
                  </m:mcPr>
                </m:mc>
                <m:mc>
                  <m:mcPr>
                    <m:mcJc m:val="left"/>
                    <m:count m:val="1"/>
                  </m:mcPr>
                </m:mc>
              </m:mcs>
            </m:mPr>
            <m:mr>
              <m:e>
                <m:limLow>
                  <m:e>
                    <m:r>
                      <m:rPr>
                        <m:nor/>
                        <m:sty m:val="p"/>
                      </m:rPr>
                      <m:t>max</m:t>
                    </m:r>
                  </m:e>
                  <m:lim>
                    <m:r>
                      <m:rPr>
                        <m:sty m:val="b"/>
                      </m:rPr>
                      <m:t>x</m:t>
                    </m:r>
                    <m:r>
                      <m:rPr>
                        <m:sty m:val="p"/>
                      </m:rPr>
                      <m:t>,</m:t>
                    </m:r>
                    <m:r>
                      <m:t>τ</m:t>
                    </m:r>
                  </m:lim>
                </m:limLow>
                <m:r>
                  <m:t> </m:t>
                </m:r>
              </m:e>
              <m:e>
                <m:r>
                  <m:t>τ</m:t>
                </m:r>
              </m:e>
            </m:mr>
            <m:mr>
              <m:e>
                <m:r>
                  <m:t>s</m:t>
                </m:r>
                <m:r>
                  <m:rPr>
                    <m:sty m:val="p"/>
                  </m:rPr>
                  <m:t>.</m:t>
                </m:r>
                <m:r>
                  <m:t>t</m:t>
                </m:r>
                <m:r>
                  <m:rPr>
                    <m:sty m:val="p"/>
                  </m:rPr>
                  <m:t>.</m:t>
                </m:r>
                <m:r>
                  <m:t> </m:t>
                </m:r>
              </m:e>
              <m:e>
                <m:sSub>
                  <m:e>
                    <m:r>
                      <m:t>f</m:t>
                    </m:r>
                  </m:e>
                  <m:sub>
                    <m:r>
                      <m:t>k</m:t>
                    </m:r>
                    <m:r>
                      <m:rPr>
                        <m:sty m:val="p"/>
                      </m:rPr>
                      <m:t>(</m:t>
                    </m:r>
                    <m:r>
                      <m:t>i</m:t>
                    </m:r>
                    <m:r>
                      <m:rPr>
                        <m:sty m:val="p"/>
                      </m:rPr>
                      <m:t>)</m:t>
                    </m:r>
                  </m:sub>
                </m:sSub>
                <m:r>
                  <m:rPr>
                    <m:sty m:val="p"/>
                  </m:rPr>
                  <m:t>(</m:t>
                </m:r>
                <m:sSub>
                  <m:e>
                    <m:r>
                      <m:t>x</m:t>
                    </m:r>
                  </m:e>
                  <m:sub>
                    <m:r>
                      <m:t>i</m:t>
                    </m:r>
                  </m:sub>
                </m:sSub>
                <m:r>
                  <m:rPr>
                    <m:sty m:val="p"/>
                  </m:rPr>
                  <m:t>)</m:t>
                </m:r>
                <m:r>
                  <m:rPr>
                    <m:sty m:val="p"/>
                  </m:rPr>
                  <m:t>≥</m:t>
                </m:r>
                <m:r>
                  <m:t>τ</m:t>
                </m:r>
                <m:r>
                  <m:rPr>
                    <m:sty m:val="p"/>
                  </m:rPr>
                  <m:t>,</m:t>
                </m:r>
                <m:r>
                  <m:t> </m:t>
                </m:r>
                <m:r>
                  <m:t>i</m:t>
                </m:r>
                <m:r>
                  <m:rPr>
                    <m:sty m:val="p"/>
                  </m:rPr>
                  <m:t>=</m:t>
                </m:r>
                <m:r>
                  <m:t>1</m:t>
                </m:r>
                <m:r>
                  <m:rPr>
                    <m:sty m:val="p"/>
                  </m:rPr>
                  <m:t>,</m:t>
                </m:r>
                <m:r>
                  <m:rPr>
                    <m:sty m:val="p"/>
                  </m:rPr>
                  <m:t>…</m:t>
                </m:r>
                <m:r>
                  <m:rPr>
                    <m:sty m:val="p"/>
                  </m:rPr>
                  <m:t>,</m:t>
                </m:r>
                <m:r>
                  <m:t>n</m:t>
                </m:r>
              </m:e>
            </m:mr>
            <m:mr>
              <m:e/>
              <m:e>
                <m:nary>
                  <m:naryPr>
                    <m:chr m:val="∑"/>
                    <m:limLoc m:val="undOvr"/>
                    <m:subHide m:val="0"/>
                    <m:supHide m:val="0"/>
                  </m:naryPr>
                  <m:sub>
                    <m:r>
                      <m:t>i</m:t>
                    </m:r>
                    <m:r>
                      <m:rPr>
                        <m:sty m:val="p"/>
                      </m:rPr>
                      <m:t>=</m:t>
                    </m:r>
                    <m:r>
                      <m:t>1</m:t>
                    </m:r>
                  </m:sub>
                  <m:sup>
                    <m:r>
                      <m:t>n</m:t>
                    </m:r>
                  </m:sup>
                  <m:e>
                    <m:sSub>
                      <m:e>
                        <m:r>
                          <m:t>x</m:t>
                        </m:r>
                      </m:e>
                      <m:sub>
                        <m:r>
                          <m:t>i</m:t>
                        </m:r>
                      </m:sub>
                    </m:sSub>
                  </m:e>
                </m:nary>
                <m:r>
                  <m:rPr>
                    <m:sty m:val="p"/>
                  </m:rPr>
                  <m:t>≤</m:t>
                </m:r>
                <m:r>
                  <m:t>B</m:t>
                </m:r>
              </m:e>
            </m:mr>
            <m:mr>
              <m:e/>
              <m:e>
                <m:sSubSup>
                  <m:e>
                    <m:r>
                      <m:t>x</m:t>
                    </m:r>
                  </m:e>
                  <m:sub>
                    <m:r>
                      <m:t>i</m:t>
                    </m:r>
                  </m:sub>
                  <m:sup>
                    <m:r>
                      <m:t>m</m:t>
                    </m:r>
                    <m:r>
                      <m:t>i</m:t>
                    </m:r>
                    <m:r>
                      <m:t>n</m:t>
                    </m:r>
                  </m:sup>
                </m:sSubSup>
                <m:r>
                  <m:rPr>
                    <m:sty m:val="p"/>
                  </m:rPr>
                  <m:t>≤</m:t>
                </m:r>
                <m:sSub>
                  <m:e>
                    <m:r>
                      <m:t>x</m:t>
                    </m:r>
                  </m:e>
                  <m:sub>
                    <m:r>
                      <m:t>i</m:t>
                    </m:r>
                  </m:sub>
                </m:sSub>
                <m:r>
                  <m:rPr>
                    <m:sty m:val="p"/>
                  </m:rPr>
                  <m:t>≤</m:t>
                </m:r>
                <m:sSubSup>
                  <m:e>
                    <m:r>
                      <m:t>x</m:t>
                    </m:r>
                  </m:e>
                  <m:sub>
                    <m:r>
                      <m:t>i</m:t>
                    </m:r>
                  </m:sub>
                  <m:sup>
                    <m:r>
                      <m:t>m</m:t>
                    </m:r>
                    <m:r>
                      <m:t>a</m:t>
                    </m:r>
                    <m:r>
                      <m:t>x</m:t>
                    </m:r>
                  </m:sup>
                </m:sSubSup>
              </m:e>
            </m:mr>
          </m:m>
        </m:oMath>
      </m:oMathPara>
    </w:p>
    <w:p>
      <w:pPr>
        <w:pStyle w:val="3"/>
      </w:pPr>
      <w:r>
        <w:t xml:space="preserve">其中，</w:t>
      </w:r>
      <m:oMath>
        <m:r>
          <m:t>τ</m:t>
        </m:r>
      </m:oMath>
      <w:r>
        <w:t xml:space="preserve">表示所有地区中最低可实现的健康产出水平。该模型不是追求平均值最高，而是优先抬升最弱地区的底线，因此更接近</w:t>
      </w:r>
      <w:r>
        <w:t xml:space="preserve">“</w:t>
      </w:r>
      <w:r>
        <w:t xml:space="preserve">最小化健康不平等</w:t>
      </w:r>
      <w:r>
        <w:t xml:space="preserve">”</w:t>
      </w:r>
      <w:r>
        <w:t xml:space="preserve">的政策目标。</w:t>
      </w:r>
    </w:p>
    <w:p>
      <w:pPr>
        <w:pStyle w:val="3"/>
        <w:spacing w:before="120" w:after="120"/>
        <w:jc w:val="left"/>
      </w:pPr>
      <w:r>
        <w:rPr>
          <w:b/>
          <w:sz w:val="24"/>
          <w:rFonts w:eastAsia="黑体"/>
        </w:rPr>
        <w:t xml:space="preserve">6.3.3 全球国家间再分配结果</w:t>
      </w:r>
    </w:p>
    <w:p xmlns:a="http://schemas.openxmlformats.org/drawingml/2006/main" xmlns:pic="http://schemas.openxmlformats.org/drawingml/2006/picture">
      <w:pPr>
        <w:pStyle w:val="40"/>
        <w:jc w:val="center"/>
      </w:pPr>
      <w:r>
        <w:drawing>
          <wp:inline>
            <wp:extent cx="5270500" cy="3618063"/>
            <wp:effectExtent b="0" l="0" r="0" t="0"/>
            <wp:docPr descr="图6-7全球预算持平情景下两类优化目标的再分配对比" title="" id="1" name="Picture"/>
            <a:graphic>
              <a:graphicData uri="http://schemas.openxmlformats.org/drawingml/2006/picture">
                <pic:pic>
                  <pic:nvPicPr>
                    <pic:cNvPr descr="reports/paper/assets/p3_07_global_optimization_compare.png" id="0" name="Picture"/>
                    <pic:cNvPicPr>
                      <a:picLocks noChangeArrowheads="1" noChangeAspect="1"/>
                    </pic:cNvPicPr>
                  </pic:nvPicPr>
                  <pic:blipFill>
                    <a:blip r:embed="rId18"/>
                    <a:stretch>
                      <a:fillRect/>
                    </a:stretch>
                  </pic:blipFill>
                  <pic:spPr bwMode="auto">
                    <a:xfrm>
                      <a:off x="0" y="0"/>
                      <a:ext cx="5270500" cy="3618063"/>
                    </a:xfrm>
                    <a:prstGeom prst="rect">
                      <a:avLst/>
                    </a:prstGeom>
                    <a:noFill/>
                    <a:ln w="9525">
                      <a:noFill/>
                      <a:headEnd/>
                      <a:tailEnd/>
                    </a:ln>
                  </pic:spPr>
                </pic:pic>
              </a:graphicData>
            </a:graphic>
          </wp:inline>
        </w:drawing>
      </w:r>
    </w:p>
    <w:p>
      <w:pPr>
        <w:pStyle w:val="3"/>
      </w:pPr>
      <w:r>
        <w:t xml:space="preserve">图6-7全球预算持平情景下两类优化目标的再分配对比</w:t>
      </w:r>
    </w:p>
    <w:p>
      <w:pPr>
        <w:pStyle w:val="3"/>
      </w:pPr>
      <w:r>
        <w:t xml:space="preserve">图6-7展示了预算持平条件下两类优化目标的差异。在总产出最大化情景下，模型覆盖191个国家，形成163个净受益国和28个净转出国，总移动预算约为68883.39。前五大净受益方为阿富汗、马里、黑山、蒙古和莫桑比克，前五大净转出方为冰岛、澳大利亚、奥地利、加拿大和美国。这说明效率优先方案并不是机械地从富国转向穷国，而是优先投向边际健康产出更高的地区。</w:t>
      </w:r>
    </w:p>
    <w:p>
      <w:pPr>
        <w:pStyle w:val="3"/>
      </w:pPr>
      <w:r>
        <w:t xml:space="preserve">在maximin情景下，资源调整更加集中：仅有9个净受益国，182个国家为净转出国，总移动预算约为57.42。前五大净受益方为索马里、马达加斯加、刚果（金）、布隆迪和尼日尔，几乎全部位于AFRO地区并集中属于Q4。这说明公平优先方案不是大范围重排资源，而是以更小调整量定向抬升最弱国家的健康产出底线。</w:t>
      </w:r>
    </w:p>
    <w:p>
      <w:pPr>
        <w:pStyle w:val="3"/>
        <w:spacing w:before="120" w:after="120"/>
        <w:jc w:val="left"/>
      </w:pPr>
      <w:r>
        <w:rPr>
          <w:b/>
          <w:sz w:val="24"/>
          <w:rFonts w:eastAsia="黑体"/>
        </w:rPr>
        <w:t xml:space="preserve">6.3.4 中国省级内部再分配结果</w:t>
      </w:r>
    </w:p>
    <w:p>
      <w:pPr>
        <w:pStyle w:val="3"/>
      </w:pPr>
      <w:r>
        <w:t xml:space="preserve">为了回应赛题中</w:t>
      </w:r>
      <w:r>
        <w:t xml:space="preserve">“</w:t>
      </w:r>
      <w:r>
        <w:t xml:space="preserve">一国内部</w:t>
      </w:r>
      <w:r>
        <w:t xml:space="preserve">”</w:t>
      </w:r>
      <w:r>
        <w:t xml:space="preserve">再分配要求，本文将同一框架迁移到中国31个省级行政区。中国省级样本既能检验模型在较小空间尺度上的适用性，也能进一步说明资源缺口并不只存在于国家间，在一国内部同样存在结构差异。</w:t>
      </w:r>
    </w:p>
    <w:p xmlns:a="http://schemas.openxmlformats.org/drawingml/2006/main" xmlns:pic="http://schemas.openxmlformats.org/drawingml/2006/picture">
      <w:pPr>
        <w:pStyle w:val="40"/>
        <w:jc w:val="center"/>
      </w:pPr>
      <w:r>
        <w:drawing>
          <wp:inline>
            <wp:extent cx="5270500" cy="2101204"/>
            <wp:effectExtent b="0" l="0" r="0" t="0"/>
            <wp:docPr descr="图6-82005—2024年中国代表性省份卫生资源趋势" title="" id="1" name="Picture"/>
            <a:graphic>
              <a:graphicData uri="http://schemas.openxmlformats.org/drawingml/2006/picture">
                <pic:pic>
                  <pic:nvPicPr>
                    <pic:cNvPr descr="reports/paper/assets/p3_08_china_trends.png" id="0" name="Picture"/>
                    <pic:cNvPicPr>
                      <a:picLocks noChangeArrowheads="1" noChangeAspect="1"/>
                    </pic:cNvPicPr>
                  </pic:nvPicPr>
                  <pic:blipFill>
                    <a:blip r:embed="rId19"/>
                    <a:stretch>
                      <a:fillRect/>
                    </a:stretch>
                  </pic:blipFill>
                  <pic:spPr bwMode="auto">
                    <a:xfrm>
                      <a:off x="0" y="0"/>
                      <a:ext cx="5270500" cy="2101204"/>
                    </a:xfrm>
                    <a:prstGeom prst="rect">
                      <a:avLst/>
                    </a:prstGeom>
                    <a:noFill/>
                    <a:ln w="9525">
                      <a:noFill/>
                      <a:headEnd/>
                      <a:tailEnd/>
                    </a:ln>
                  </pic:spPr>
                </pic:pic>
              </a:graphicData>
            </a:graphic>
          </wp:inline>
        </w:drawing>
      </w:r>
    </w:p>
    <w:p>
      <w:pPr>
        <w:pStyle w:val="3"/>
      </w:pPr>
      <w:r>
        <w:t xml:space="preserve">图6-82005—2024年中国代表性省份卫生资源趋势</w:t>
      </w:r>
    </w:p>
    <w:p>
      <w:pPr>
        <w:pStyle w:val="3"/>
      </w:pPr>
      <w:r>
        <w:t xml:space="preserve">图6-8显示，广东、山东、河南、四川等人口大省在卫生人员和医疗机构绝对规模上长期领先；西藏、宁夏等西部省份虽然基数较低，但增长速度更快，体现出资源追赶趋势。也就是说，中国省级卫生资源演化同时具有</w:t>
      </w:r>
      <w:r>
        <w:t xml:space="preserve">“</w:t>
      </w:r>
      <w:r>
        <w:t xml:space="preserve">总量扩张</w:t>
      </w:r>
      <w:r>
        <w:t xml:space="preserve">”</w:t>
      </w:r>
      <w:r>
        <w:t xml:space="preserve">和</w:t>
      </w:r>
      <w:r>
        <w:t xml:space="preserve">“</w:t>
      </w:r>
      <w:r>
        <w:t xml:space="preserve">空间再平衡</w:t>
      </w:r>
      <w:r>
        <w:t xml:space="preserve">”</w:t>
      </w:r>
      <w:r>
        <w:t xml:space="preserve">两个特征。</w:t>
      </w:r>
    </w:p>
    <w:p xmlns:a="http://schemas.openxmlformats.org/drawingml/2006/main" xmlns:pic="http://schemas.openxmlformats.org/drawingml/2006/picture">
      <w:pPr>
        <w:pStyle w:val="40"/>
        <w:jc w:val="center"/>
      </w:pPr>
      <w:r>
        <w:drawing>
          <wp:inline>
            <wp:extent cx="5270500" cy="1969360"/>
            <wp:effectExtent b="0" l="0" r="0" t="0"/>
            <wp:docPr descr="图6-9中国省级资源缺口与投入产出四象限" title="" id="1" name="Picture"/>
            <a:graphic>
              <a:graphicData uri="http://schemas.openxmlformats.org/drawingml/2006/picture">
                <pic:pic>
                  <pic:nvPicPr>
                    <pic:cNvPr descr="reports/paper/assets/p3_09_china_gap_efficiency.png" id="0" name="Picture"/>
                    <pic:cNvPicPr>
                      <a:picLocks noChangeArrowheads="1" noChangeAspect="1"/>
                    </pic:cNvPicPr>
                  </pic:nvPicPr>
                  <pic:blipFill>
                    <a:blip r:embed="rId20"/>
                    <a:stretch>
                      <a:fillRect/>
                    </a:stretch>
                  </pic:blipFill>
                  <pic:spPr bwMode="auto">
                    <a:xfrm>
                      <a:off x="0" y="0"/>
                      <a:ext cx="5270500" cy="1969360"/>
                    </a:xfrm>
                    <a:prstGeom prst="rect">
                      <a:avLst/>
                    </a:prstGeom>
                    <a:noFill/>
                    <a:ln w="9525">
                      <a:noFill/>
                      <a:headEnd/>
                      <a:tailEnd/>
                    </a:ln>
                  </pic:spPr>
                </pic:pic>
              </a:graphicData>
            </a:graphic>
          </wp:inline>
        </w:drawing>
      </w:r>
    </w:p>
    <w:p>
      <w:pPr>
        <w:pStyle w:val="3"/>
      </w:pPr>
      <w:r>
        <w:t xml:space="preserve">图6-9中国省级资源缺口与投入产出四象限</w:t>
      </w:r>
    </w:p>
    <w:p>
      <w:pPr>
        <w:pStyle w:val="3"/>
      </w:pPr>
      <w:r>
        <w:t xml:space="preserve">图6-9显示，31个省级行政区在最新截面中的四象限分布为：高投入高产出9省、高投入低产出7省、低投入高产出7省、低投入低产出8省。其中，云南、新疆、贵州、西藏和甘肃资源缺口最突出。云南、贵州、安徽、宁夏等省份主要位于Q4，说明基础投入与健康产出双弱；新疆、西藏、甘肃和青海更多落在Q3，说明单纯提高投入总量并不能自动带来健康产出提升。江苏、福建、广东、湖北和重庆等省份位于Q2，可作为低投入高产出的效率样本。</w:t>
      </w:r>
    </w:p>
    <w:p xmlns:a="http://schemas.openxmlformats.org/drawingml/2006/main" xmlns:pic="http://schemas.openxmlformats.org/drawingml/2006/picture">
      <w:pPr>
        <w:pStyle w:val="40"/>
        <w:jc w:val="center"/>
      </w:pPr>
      <w:r>
        <w:drawing>
          <wp:inline>
            <wp:extent cx="5270500" cy="3618063"/>
            <wp:effectExtent b="0" l="0" r="0" t="0"/>
            <wp:docPr descr="图6-10中国预算持平情景下两类优化目标的再分配对比" title="" id="1" name="Picture"/>
            <a:graphic>
              <a:graphicData uri="http://schemas.openxmlformats.org/drawingml/2006/picture">
                <pic:pic>
                  <pic:nvPicPr>
                    <pic:cNvPr descr="reports/paper/assets/p3_10_china_optimization_compare.png" id="0" name="Picture"/>
                    <pic:cNvPicPr>
                      <a:picLocks noChangeArrowheads="1" noChangeAspect="1"/>
                    </pic:cNvPicPr>
                  </pic:nvPicPr>
                  <pic:blipFill>
                    <a:blip r:embed="rId21"/>
                    <a:stretch>
                      <a:fillRect/>
                    </a:stretch>
                  </pic:blipFill>
                  <pic:spPr bwMode="auto">
                    <a:xfrm>
                      <a:off x="0" y="0"/>
                      <a:ext cx="5270500" cy="3618063"/>
                    </a:xfrm>
                    <a:prstGeom prst="rect">
                      <a:avLst/>
                    </a:prstGeom>
                    <a:noFill/>
                    <a:ln w="9525">
                      <a:noFill/>
                      <a:headEnd/>
                      <a:tailEnd/>
                    </a:ln>
                  </pic:spPr>
                </pic:pic>
              </a:graphicData>
            </a:graphic>
          </wp:inline>
        </w:drawing>
      </w:r>
    </w:p>
    <w:p>
      <w:pPr>
        <w:pStyle w:val="3"/>
      </w:pPr>
      <w:r>
        <w:t xml:space="preserve">图6-10中国预算持平情景下两类优化目标的再分配对比</w:t>
      </w:r>
    </w:p>
    <w:p>
      <w:pPr>
        <w:pStyle w:val="3"/>
      </w:pPr>
      <w:r>
        <w:t xml:space="preserve">图6-10表明，在预算持平的省级总产出最大化情景下，22个省份成为净受益方，9个省份成为净转出方，总移动预算约为21999.21。前五大净受益省份为甘肃、广西、云南、江西和贵州，前五大净转出省份为上海、北京、天津、西藏和浙江。公平优先目标下，受益方向进一步向欠发达省份集中，前五大净受益省份为贵州、甘肃、广西、云南和江西。由此可见，在一国内部，效率优先和公平优先共同指向</w:t>
      </w:r>
      <w:r>
        <w:t xml:space="preserve">“</w:t>
      </w:r>
      <w:r>
        <w:t xml:space="preserve">中西部补短板</w:t>
      </w:r>
      <w:r>
        <w:t xml:space="preserve">”</w:t>
      </w:r>
      <w:r>
        <w:t xml:space="preserve">，但公平优先更强调对最弱省份的定向扶持。</w:t>
      </w:r>
    </w:p>
    <w:p>
      <w:pPr>
        <w:pStyle w:val="3"/>
        <w:spacing w:before="120" w:after="120"/>
        <w:jc w:val="left"/>
      </w:pPr>
      <w:r>
        <w:rPr>
          <w:b/>
          <w:sz w:val="28"/>
          <w:rFonts w:eastAsia="黑体"/>
        </w:rPr>
        <w:t xml:space="preserve">6.4 分类型治理建议</w:t>
      </w:r>
    </w:p>
    <w:p>
      <w:pPr>
        <w:pStyle w:val="3"/>
        <w:spacing w:before="120" w:after="120"/>
        <w:jc w:val="left"/>
      </w:pPr>
      <w:r>
        <w:rPr>
          <w:b/>
          <w:sz w:val="24"/>
          <w:rFonts w:eastAsia="黑体"/>
        </w:rPr>
        <w:t xml:space="preserve">6.4.1 高投入低产出地区：以效率治理为核心</w:t>
      </w:r>
    </w:p>
    <w:p>
      <w:pPr>
        <w:pStyle w:val="3"/>
      </w:pPr>
      <w:r>
        <w:t xml:space="preserve">Q3地区属于高投入低产出，问题不在于资源绝对不足，而在于资源未能有效转化为健康产出。此类地区应优先开展卫生体系效率评估，优化基层资源布局、绩效预算、医防协同和服务转化率，避免继续单纯扩张投入。对于全球样本中的Q3国家，以及中国省级样本中的新疆、西藏、甘肃、青海等地区，应重点关注基层服务组织方式和财政支出结构。</w:t>
      </w:r>
    </w:p>
    <w:p>
      <w:pPr>
        <w:pStyle w:val="3"/>
        <w:spacing w:before="120" w:after="120"/>
        <w:jc w:val="left"/>
      </w:pPr>
      <w:r>
        <w:rPr>
          <w:b/>
          <w:sz w:val="24"/>
          <w:rFonts w:eastAsia="黑体"/>
        </w:rPr>
        <w:t xml:space="preserve">6.4.2 低投入高产出地区：总结可复制经验</w:t>
      </w:r>
    </w:p>
    <w:p>
      <w:pPr>
        <w:pStyle w:val="3"/>
      </w:pPr>
      <w:r>
        <w:t xml:space="preserve">Q2地区属于低投入高产出，说明有限资源也可以形成较好健康结果。此类地区应总结其基层网络、预防优先、成本控制和分级诊疗经验，并将其转化为可复制的治理模板。全球样本中的土耳其、斯里兰卡、马来西亚等国家，以及中国省级样本中的江苏、福建、广东、湖北、重庆等省份，都可作为经验扩散对象。</w:t>
      </w:r>
    </w:p>
    <w:p>
      <w:pPr>
        <w:pStyle w:val="3"/>
        <w:spacing w:before="120" w:after="120"/>
        <w:jc w:val="left"/>
      </w:pPr>
      <w:r>
        <w:rPr>
          <w:b/>
          <w:sz w:val="24"/>
          <w:rFonts w:eastAsia="黑体"/>
        </w:rPr>
        <w:t xml:space="preserve">6.4.3 低投入低产出地区：增投与提效并行</w:t>
      </w:r>
    </w:p>
    <w:p>
      <w:pPr>
        <w:pStyle w:val="3"/>
      </w:pPr>
      <w:r>
        <w:t xml:space="preserve">Q4地区属于低投入低产出，是卫生资源再分配中最需要优先关注的短板。对于全球样本，应重点支持AFRO地区基础卫生设施、基层医生、母婴健康服务和传染病防控体系建设；对于中国省级样本，云南、贵州、安徽、宁夏等地区更适合采用</w:t>
      </w:r>
      <w:r>
        <w:t xml:space="preserve">“</w:t>
      </w:r>
      <w:r>
        <w:t xml:space="preserve">基础增投+效率改善</w:t>
      </w:r>
      <w:r>
        <w:t xml:space="preserve">”</w:t>
      </w:r>
      <w:r>
        <w:t xml:space="preserve">的双轨方案。最终目标不是追求资源平均化，而是在保障公平底线的基础上提高整体健康产出。</w:t>
      </w:r>
    </w:p>
    <w:p>
      <w:pPr>
        <w:pStyle w:val="3"/>
        <w:spacing w:before="240" w:after="120"/>
        <w:jc w:val="left"/>
      </w:pPr>
      <w:r>
        <w:rPr>
          <w:b/>
          <w:sz w:val="32"/>
          <w:rFonts w:eastAsia="黑体"/>
        </w:rPr>
        <w:t xml:space="preserve">参考文献</w:t>
      </w:r>
    </w:p>
    <w:p>
      <w:pPr>
        <w:pStyle w:val="3"/>
        <w:jc w:val="left"/>
      </w:pPr>
      <w:r>
        <w:t>[1] Institute for Health Metrics and Evaluation. Global Burden of Disease Results Tool[DB/OL]. Seattle: IHME, 2024[2026-04-21]. https://vizhub.healthdata.org/gbd-results/.</w:t>
      </w:r>
    </w:p>
    <w:p>
      <w:pPr>
        <w:pStyle w:val="3"/>
        <w:jc w:val="left"/>
      </w:pPr>
      <w:r>
        <w:t>[2] World Bank. World Development Indicators[DB/OL]. Washington, DC: World Bank, 2024[2026-04-21]. https://databank.worldbank.org/source/world-development-indicators.</w:t>
      </w:r>
    </w:p>
    <w:p>
      <w:pPr>
        <w:pStyle w:val="3"/>
        <w:jc w:val="left"/>
      </w:pPr>
      <w:r>
        <w:t>[3] World Bank. Health Nutrition and Population Statistics[DB/OL]. Washington, DC: World Bank, 2024[2026-04-21]. https://databank.worldbank.org/source/health-nutrition-and-population-statistics.</w:t>
      </w:r>
    </w:p>
    <w:p>
      <w:pPr>
        <w:pStyle w:val="3"/>
        <w:jc w:val="left"/>
      </w:pPr>
      <w:r>
        <w:t>[4] 国家统计局. 中国统计年鉴[DB/OL]. 北京: 中国统计出版社, 2024[2026-04-21]. https://www.stats.gov.cn/sj/ndsj/.</w:t>
      </w:r>
    </w:p>
    <w:p>
      <w:pPr>
        <w:pStyle w:val="3"/>
        <w:jc w:val="left"/>
      </w:pPr>
      <w:r>
        <w:t>[5] Rawls J. A Theory of Justice[M]. Cambridge, MA: Harvard University Press, 1971.</w:t>
      </w:r>
    </w:p>
    <w:bookmarkEnd w:id="37"/>
    <w:bookmarkEnd w:id="38"/>
    <w:sectPr>
      <w:footerReference r:id="rId4" w:type="default"/>
      <w:pgSz w:w="11906" w:h="16838"/>
      <w:pgMar w:top="1440" w:right="1800" w:bottom="1440" w:left="1800" w:header="851" w:footer="992" w:gutter="0"/>
      <w:pgNumType w:start="1"/>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36">
      <wne:acd wne:acdName="acd6"/>
    </wne:keymap>
    <wne:keymap wne:kcmPrimary="0237">
      <wne:acd wne:acdName="acd7"/>
    </wne:keymap>
    <wne:keymap wne:kcmPrimary="0238">
      <wne:acd wne:acdName="acd8"/>
    </wne:keymap>
    <wne:keymap wne:kcmPrimary="0239">
      <wne:acd wne:acdName="acd9"/>
    </wne:keymap>
  </wne:keymaps>
  <wne:acds>
    <wne:acd wne:argValue="AgBja4dltWs9hA==" wne:acdName="acd0" wne:fciIndexBasedOn="0065"/>
    <wne:acd wne:argValue="AQAAAAEA" wne:acdName="acd1" wne:fciIndexBasedOn="0065"/>
    <wne:acd wne:argValue="AQAAAAIA" wne:acdName="acd2" wne:fciIndexBasedOn="0065"/>
    <wne:acd wne:argValue="AQAAAAMA" wne:acdName="acd3" wne:fciIndexBasedOn="0065"/>
    <wne:acd wne:argValue="AQAAAAQA" wne:acdName="acd4" wne:fciIndexBasedOn="0065"/>
    <wne:acd wne:argValue="AQAAAAUA" wne:acdName="acd5" wne:fciIndexBasedOn="0065"/>
    <wne:acd wne:argValue="AQAAAAYA" wne:acdName="acd6" wne:fciIndexBasedOn="0065"/>
    <wne:acd wne:argValue="AQAAAAcA" wne:acdName="acd7" wne:fciIndexBasedOn="0065"/>
    <wne:acd wne:argValue="AQAAAAgA" wne:acdName="acd8" wne:fciIndexBasedOn="0065"/>
    <wne:acd wne:argValue="AQAAAAkA" wne:acdName="acd9"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华文中宋">
    <w:altName w:val="汉仪书宋二KW"/>
    <w:panose1 w:val="02010600040101010101"/>
    <w:charset w:val="86"/>
    <w:family w:val="auto"/>
    <w:pitch w:val="default"/>
    <w:sig w:usb0="00000000" w:usb1="00000000" w:usb2="00000000" w:usb3="00000000" w:csb0="0004009F" w:csb1="DFD70000"/>
  </w:font>
  <w:font w:name="华文楷体">
    <w:panose1 w:val="02010600040101010101"/>
    <w:charset w:val="86"/>
    <w:family w:val="auto"/>
    <w:pitch w:val="default"/>
    <w:sig w:usb0="80000287" w:usb1="280F3C52" w:usb2="00000016" w:usb3="00000000" w:csb0="0004001F"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等线">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等线 Light">
    <w:altName w:val="汉仪中等线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13619">
    <w:pPr>
      <w:pStyle w:val="15"/>
      <w:jc w:val="right"/>
      <w:rPr>
        <w:rFonts w:hint="eastAsia"/>
      </w:rPr>
    </w:pPr>
  </w:p>
  <w:p w14:paraId="43552949">
    <w:pPr>
      <w:pStyle w:val="15"/>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2104503"/>
      <w:docPartObj>
        <w:docPartGallery w:val="autotext"/>
      </w:docPartObj>
    </w:sdtPr>
    <w:sdtContent>
      <w:p w14:paraId="239BE417">
        <w:pPr>
          <w:pStyle w:val="15"/>
          <w:jc w:val="right"/>
          <w:rPr>
            <w:rFonts w:hint="eastAsia"/>
          </w:rPr>
        </w:pPr>
        <w:r>
          <w:rPr>
            <w:rFonts w:hint="eastAsia"/>
          </w:rPr>
          <w:t>．</w:t>
        </w:r>
        <w:r>
          <w:fldChar w:fldCharType="begin"/>
        </w:r>
        <w:r>
          <w:instrText xml:space="preserve">PAGE   \* MERGEFORMAT</w:instrText>
        </w:r>
        <w:r>
          <w:fldChar w:fldCharType="separate"/>
        </w:r>
        <w:r>
          <w:rPr>
            <w:lang w:val="zh-CN"/>
          </w:rPr>
          <w:t>2</w:t>
        </w:r>
        <w:r>
          <w:fldChar w:fldCharType="end"/>
        </w:r>
        <w:r>
          <w:rPr>
            <w:rFonts w:hint="eastAsia"/>
          </w:rPr>
          <w:t>．</w:t>
        </w:r>
      </w:p>
    </w:sdtContent>
  </w:sdt>
  <w:p w14:paraId="2E8A1A6D">
    <w:pPr>
      <w:pStyle w:val="15"/>
      <w:rPr>
        <w:rFonts w:hint="eastAsia"/>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9B0ABC"/>
    <w:multiLevelType w:val="multilevel"/>
    <w:tmpl w:val="129B0ABC"/>
    <w:lvl w:ilvl="0" w:tentative="0">
      <w:start w:val="1"/>
      <w:numFmt w:val="decimal"/>
      <w:pStyle w:val="2"/>
      <w:suff w:val="space"/>
      <w:lvlText w:val="第%1章"/>
      <w:lvlJc w:val="left"/>
      <w:pPr>
        <w:ind w:left="0" w:firstLine="0"/>
      </w:pPr>
      <w:rPr>
        <w:rFonts w:hint="eastAsia"/>
      </w:rPr>
    </w:lvl>
    <w:lvl w:ilvl="1" w:tentative="0">
      <w:start w:val="1"/>
      <w:numFmt w:val="decimal"/>
      <w:pStyle w:val="4"/>
      <w:suff w:val="space"/>
      <w:lvlText w:val="%1.%2"/>
      <w:lvlJc w:val="left"/>
      <w:pPr>
        <w:ind w:left="0" w:firstLine="0"/>
      </w:pPr>
      <w:rPr>
        <w:rFonts w:hint="eastAsia"/>
      </w:rPr>
    </w:lvl>
    <w:lvl w:ilvl="2" w:tentative="0">
      <w:start w:val="1"/>
      <w:numFmt w:val="decimal"/>
      <w:pStyle w:val="5"/>
      <w:suff w:val="space"/>
      <w:lvlText w:val="%1.%2.%3"/>
      <w:lvlJc w:val="left"/>
      <w:pPr>
        <w:ind w:left="0" w:firstLine="0"/>
      </w:pPr>
      <w:rPr>
        <w:rFonts w:hint="eastAsia"/>
      </w:rPr>
    </w:lvl>
    <w:lvl w:ilvl="3" w:tentative="0">
      <w:start w:val="1"/>
      <w:numFmt w:val="decimal"/>
      <w:pStyle w:val="6"/>
      <w:suff w:val="space"/>
      <w:lvlText w:val="%4."/>
      <w:lvlJc w:val="left"/>
      <w:pPr>
        <w:ind w:left="0" w:firstLine="0"/>
      </w:pPr>
      <w:rPr>
        <w:rFonts w:hint="eastAsia"/>
      </w:rPr>
    </w:lvl>
    <w:lvl w:ilvl="4" w:tentative="0">
      <w:start w:val="1"/>
      <w:numFmt w:val="decimal"/>
      <w:pStyle w:val="7"/>
      <w:suff w:val="space"/>
      <w:lvlText w:val="%5）"/>
      <w:lvlJc w:val="left"/>
      <w:pPr>
        <w:ind w:left="0" w:firstLine="0"/>
      </w:pPr>
      <w:rPr>
        <w:rFonts w:hint="eastAsia"/>
      </w:rPr>
    </w:lvl>
    <w:lvl w:ilvl="5" w:tentative="0">
      <w:start w:val="1"/>
      <w:numFmt w:val="upperLetter"/>
      <w:pStyle w:val="8"/>
      <w:suff w:val="space"/>
      <w:lvlText w:val="%6."/>
      <w:lvlJc w:val="left"/>
      <w:pPr>
        <w:ind w:left="0" w:firstLine="0"/>
      </w:pPr>
      <w:rPr>
        <w:rFonts w:hint="eastAsia"/>
      </w:rPr>
    </w:lvl>
    <w:lvl w:ilvl="6" w:tentative="0">
      <w:start w:val="1"/>
      <w:numFmt w:val="lowerLetter"/>
      <w:pStyle w:val="9"/>
      <w:suff w:val="space"/>
      <w:lvlText w:val="%7）"/>
      <w:lvlJc w:val="left"/>
      <w:pPr>
        <w:ind w:left="0" w:firstLine="0"/>
      </w:pPr>
      <w:rPr>
        <w:rFonts w:hint="eastAsia"/>
      </w:rPr>
    </w:lvl>
    <w:lvl w:ilvl="7" w:tentative="0">
      <w:start w:val="1"/>
      <w:numFmt w:val="upperRoman"/>
      <w:pStyle w:val="10"/>
      <w:suff w:val="space"/>
      <w:lvlText w:val="%8."/>
      <w:lvlJc w:val="left"/>
      <w:pPr>
        <w:ind w:left="0" w:firstLine="0"/>
      </w:pPr>
      <w:rPr>
        <w:rFonts w:hint="eastAsia"/>
      </w:rPr>
    </w:lvl>
    <w:lvl w:ilvl="8" w:tentative="0">
      <w:start w:val="1"/>
      <w:numFmt w:val="none"/>
      <w:pStyle w:val="18"/>
      <w:lvlText w:val=""/>
      <w:lvlJc w:val="left"/>
      <w:pPr>
        <w:ind w:left="0" w:firstLine="0"/>
      </w:pPr>
      <w:rPr>
        <w:rFonts w:hint="eastAsia"/>
      </w:rPr>
    </w:lvl>
  </w:abstractNum>
  <w:abstractNum w:abstractNumId="1">
    <w:nsid w:val="2DEE30F7"/>
    <w:multiLevelType w:val="multilevel"/>
    <w:tmpl w:val="2DEE30F7"/>
    <w:lvl w:ilvl="0" w:tentative="0">
      <w:start w:val="1"/>
      <w:numFmt w:val="decimalFullWidth"/>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7"/>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AxZDFkMDRjOWE4OWJiMGVlMTFlZjNlM2ZhMWMzMjUifQ=="/>
  </w:docVars>
  <w:rsids>
    <w:rsidRoot w:val="00865588"/>
    <w:rsid w:val="000065CB"/>
    <w:rsid w:val="00010D4B"/>
    <w:rsid w:val="00011DE8"/>
    <w:rsid w:val="00022BDA"/>
    <w:rsid w:val="000251C4"/>
    <w:rsid w:val="00045F68"/>
    <w:rsid w:val="00060ADF"/>
    <w:rsid w:val="00071039"/>
    <w:rsid w:val="000B3080"/>
    <w:rsid w:val="000B56E3"/>
    <w:rsid w:val="000B6AE2"/>
    <w:rsid w:val="000D575D"/>
    <w:rsid w:val="000D70C7"/>
    <w:rsid w:val="000D7840"/>
    <w:rsid w:val="000E11FD"/>
    <w:rsid w:val="000E2E5F"/>
    <w:rsid w:val="000E4288"/>
    <w:rsid w:val="000F2528"/>
    <w:rsid w:val="00101087"/>
    <w:rsid w:val="00114C31"/>
    <w:rsid w:val="00122B05"/>
    <w:rsid w:val="00133A38"/>
    <w:rsid w:val="00137D8F"/>
    <w:rsid w:val="001420CF"/>
    <w:rsid w:val="00153211"/>
    <w:rsid w:val="00167358"/>
    <w:rsid w:val="00167723"/>
    <w:rsid w:val="00177098"/>
    <w:rsid w:val="0018203C"/>
    <w:rsid w:val="00184039"/>
    <w:rsid w:val="001924C2"/>
    <w:rsid w:val="00192A19"/>
    <w:rsid w:val="001A10C4"/>
    <w:rsid w:val="001A297C"/>
    <w:rsid w:val="001A29BF"/>
    <w:rsid w:val="001A6DF3"/>
    <w:rsid w:val="001B5644"/>
    <w:rsid w:val="001C042E"/>
    <w:rsid w:val="001C44F8"/>
    <w:rsid w:val="001C5B2B"/>
    <w:rsid w:val="001E4999"/>
    <w:rsid w:val="001E74D3"/>
    <w:rsid w:val="00206D0B"/>
    <w:rsid w:val="00212C1A"/>
    <w:rsid w:val="00231A8B"/>
    <w:rsid w:val="00234AAD"/>
    <w:rsid w:val="0024077A"/>
    <w:rsid w:val="002408A1"/>
    <w:rsid w:val="00256E84"/>
    <w:rsid w:val="00270888"/>
    <w:rsid w:val="00275EBD"/>
    <w:rsid w:val="00281566"/>
    <w:rsid w:val="00284B39"/>
    <w:rsid w:val="00287515"/>
    <w:rsid w:val="002913D0"/>
    <w:rsid w:val="0029372A"/>
    <w:rsid w:val="00295BF8"/>
    <w:rsid w:val="002D3B9F"/>
    <w:rsid w:val="002F2928"/>
    <w:rsid w:val="00310AAE"/>
    <w:rsid w:val="00322F5B"/>
    <w:rsid w:val="003269E8"/>
    <w:rsid w:val="00327631"/>
    <w:rsid w:val="0033305D"/>
    <w:rsid w:val="00335541"/>
    <w:rsid w:val="00337302"/>
    <w:rsid w:val="003607A9"/>
    <w:rsid w:val="00364781"/>
    <w:rsid w:val="003660A0"/>
    <w:rsid w:val="003712B4"/>
    <w:rsid w:val="00377CF8"/>
    <w:rsid w:val="0038732A"/>
    <w:rsid w:val="003A1A32"/>
    <w:rsid w:val="003A5037"/>
    <w:rsid w:val="003B05D3"/>
    <w:rsid w:val="003B6CE0"/>
    <w:rsid w:val="003D3360"/>
    <w:rsid w:val="003E0ACE"/>
    <w:rsid w:val="003E239E"/>
    <w:rsid w:val="00400014"/>
    <w:rsid w:val="00400FDC"/>
    <w:rsid w:val="00410FB3"/>
    <w:rsid w:val="00420F7C"/>
    <w:rsid w:val="0043593A"/>
    <w:rsid w:val="00440D7C"/>
    <w:rsid w:val="004442E7"/>
    <w:rsid w:val="00456B82"/>
    <w:rsid w:val="004618E1"/>
    <w:rsid w:val="004754DF"/>
    <w:rsid w:val="00482289"/>
    <w:rsid w:val="00496830"/>
    <w:rsid w:val="00496DCB"/>
    <w:rsid w:val="004A0ACF"/>
    <w:rsid w:val="004B1002"/>
    <w:rsid w:val="004B190E"/>
    <w:rsid w:val="004B7A13"/>
    <w:rsid w:val="004C3382"/>
    <w:rsid w:val="004C39F2"/>
    <w:rsid w:val="004D2CB4"/>
    <w:rsid w:val="004E1CA0"/>
    <w:rsid w:val="004E2A9A"/>
    <w:rsid w:val="004E4D02"/>
    <w:rsid w:val="004F6B99"/>
    <w:rsid w:val="004F6F31"/>
    <w:rsid w:val="0050393F"/>
    <w:rsid w:val="005455EA"/>
    <w:rsid w:val="005468F7"/>
    <w:rsid w:val="00551CF4"/>
    <w:rsid w:val="00557A05"/>
    <w:rsid w:val="00582708"/>
    <w:rsid w:val="00595DE3"/>
    <w:rsid w:val="00596D03"/>
    <w:rsid w:val="005B2300"/>
    <w:rsid w:val="005D137E"/>
    <w:rsid w:val="005D628B"/>
    <w:rsid w:val="005E6E92"/>
    <w:rsid w:val="00601395"/>
    <w:rsid w:val="0060564B"/>
    <w:rsid w:val="006110E6"/>
    <w:rsid w:val="00612C48"/>
    <w:rsid w:val="00615D49"/>
    <w:rsid w:val="00623A59"/>
    <w:rsid w:val="006250BE"/>
    <w:rsid w:val="00636113"/>
    <w:rsid w:val="00640EAD"/>
    <w:rsid w:val="00644C25"/>
    <w:rsid w:val="00646090"/>
    <w:rsid w:val="006547BF"/>
    <w:rsid w:val="00664640"/>
    <w:rsid w:val="00667AA0"/>
    <w:rsid w:val="006763E5"/>
    <w:rsid w:val="00683478"/>
    <w:rsid w:val="00684E23"/>
    <w:rsid w:val="00686510"/>
    <w:rsid w:val="006920FD"/>
    <w:rsid w:val="00692118"/>
    <w:rsid w:val="006A2D77"/>
    <w:rsid w:val="006A4916"/>
    <w:rsid w:val="006B7F94"/>
    <w:rsid w:val="006C5886"/>
    <w:rsid w:val="006E19AF"/>
    <w:rsid w:val="006E2A02"/>
    <w:rsid w:val="00706CF4"/>
    <w:rsid w:val="00707E82"/>
    <w:rsid w:val="007154FB"/>
    <w:rsid w:val="00722251"/>
    <w:rsid w:val="00723EEA"/>
    <w:rsid w:val="0072412B"/>
    <w:rsid w:val="0072487B"/>
    <w:rsid w:val="00730343"/>
    <w:rsid w:val="00732015"/>
    <w:rsid w:val="00735FCC"/>
    <w:rsid w:val="00742D8C"/>
    <w:rsid w:val="00744B16"/>
    <w:rsid w:val="007462F7"/>
    <w:rsid w:val="007659A1"/>
    <w:rsid w:val="0077224A"/>
    <w:rsid w:val="00773453"/>
    <w:rsid w:val="0078216B"/>
    <w:rsid w:val="00783BA5"/>
    <w:rsid w:val="007A53D1"/>
    <w:rsid w:val="007C363B"/>
    <w:rsid w:val="007C7D7E"/>
    <w:rsid w:val="007D080D"/>
    <w:rsid w:val="007E490F"/>
    <w:rsid w:val="007F47DE"/>
    <w:rsid w:val="00800827"/>
    <w:rsid w:val="00815321"/>
    <w:rsid w:val="008259E1"/>
    <w:rsid w:val="00826637"/>
    <w:rsid w:val="00865588"/>
    <w:rsid w:val="00872563"/>
    <w:rsid w:val="008857BD"/>
    <w:rsid w:val="00893CDF"/>
    <w:rsid w:val="008A229E"/>
    <w:rsid w:val="008A4B83"/>
    <w:rsid w:val="008B2093"/>
    <w:rsid w:val="008C0EBF"/>
    <w:rsid w:val="008C6D11"/>
    <w:rsid w:val="008D2341"/>
    <w:rsid w:val="008D7333"/>
    <w:rsid w:val="008D7F63"/>
    <w:rsid w:val="008E1AD2"/>
    <w:rsid w:val="008E4598"/>
    <w:rsid w:val="008E6BA0"/>
    <w:rsid w:val="00911BA1"/>
    <w:rsid w:val="00912FB6"/>
    <w:rsid w:val="0092224D"/>
    <w:rsid w:val="009321FD"/>
    <w:rsid w:val="009366CA"/>
    <w:rsid w:val="00954A3D"/>
    <w:rsid w:val="00962A8F"/>
    <w:rsid w:val="00962F62"/>
    <w:rsid w:val="00976FAE"/>
    <w:rsid w:val="00986EAC"/>
    <w:rsid w:val="009954DF"/>
    <w:rsid w:val="009B7826"/>
    <w:rsid w:val="009D40F5"/>
    <w:rsid w:val="009E311C"/>
    <w:rsid w:val="009E4673"/>
    <w:rsid w:val="009E524F"/>
    <w:rsid w:val="009F3947"/>
    <w:rsid w:val="009F77C0"/>
    <w:rsid w:val="00A10DB2"/>
    <w:rsid w:val="00A14249"/>
    <w:rsid w:val="00A15E17"/>
    <w:rsid w:val="00A2458E"/>
    <w:rsid w:val="00A328BA"/>
    <w:rsid w:val="00A3635B"/>
    <w:rsid w:val="00A40DA9"/>
    <w:rsid w:val="00A43107"/>
    <w:rsid w:val="00A55634"/>
    <w:rsid w:val="00A55868"/>
    <w:rsid w:val="00A56731"/>
    <w:rsid w:val="00A6356E"/>
    <w:rsid w:val="00A831FF"/>
    <w:rsid w:val="00A935B2"/>
    <w:rsid w:val="00A97478"/>
    <w:rsid w:val="00AA7641"/>
    <w:rsid w:val="00AB5765"/>
    <w:rsid w:val="00AB5EB6"/>
    <w:rsid w:val="00AC4401"/>
    <w:rsid w:val="00AD2E5E"/>
    <w:rsid w:val="00AE5CBD"/>
    <w:rsid w:val="00AF1E85"/>
    <w:rsid w:val="00AF6762"/>
    <w:rsid w:val="00B014B0"/>
    <w:rsid w:val="00B04769"/>
    <w:rsid w:val="00B05A5D"/>
    <w:rsid w:val="00B077E7"/>
    <w:rsid w:val="00B40CAE"/>
    <w:rsid w:val="00B41F32"/>
    <w:rsid w:val="00B446F6"/>
    <w:rsid w:val="00B479FD"/>
    <w:rsid w:val="00B55125"/>
    <w:rsid w:val="00B55F10"/>
    <w:rsid w:val="00B56D27"/>
    <w:rsid w:val="00B82408"/>
    <w:rsid w:val="00B90A4F"/>
    <w:rsid w:val="00B92DC7"/>
    <w:rsid w:val="00BB0FFF"/>
    <w:rsid w:val="00BB2AAA"/>
    <w:rsid w:val="00BB5A70"/>
    <w:rsid w:val="00BC7CE5"/>
    <w:rsid w:val="00BD0478"/>
    <w:rsid w:val="00BD1490"/>
    <w:rsid w:val="00BE1888"/>
    <w:rsid w:val="00BF6122"/>
    <w:rsid w:val="00BF6464"/>
    <w:rsid w:val="00C13C52"/>
    <w:rsid w:val="00C16014"/>
    <w:rsid w:val="00C20945"/>
    <w:rsid w:val="00C20E72"/>
    <w:rsid w:val="00C254FC"/>
    <w:rsid w:val="00C4242C"/>
    <w:rsid w:val="00C453DE"/>
    <w:rsid w:val="00C51EBB"/>
    <w:rsid w:val="00C529C6"/>
    <w:rsid w:val="00C531E9"/>
    <w:rsid w:val="00C55514"/>
    <w:rsid w:val="00C566F5"/>
    <w:rsid w:val="00C60348"/>
    <w:rsid w:val="00C72EB9"/>
    <w:rsid w:val="00C72F2E"/>
    <w:rsid w:val="00C7506A"/>
    <w:rsid w:val="00C7539D"/>
    <w:rsid w:val="00C77EA6"/>
    <w:rsid w:val="00C817EF"/>
    <w:rsid w:val="00C84511"/>
    <w:rsid w:val="00CA45CC"/>
    <w:rsid w:val="00CA4721"/>
    <w:rsid w:val="00CB5B08"/>
    <w:rsid w:val="00CC2386"/>
    <w:rsid w:val="00CD56C8"/>
    <w:rsid w:val="00CE27E7"/>
    <w:rsid w:val="00CE518B"/>
    <w:rsid w:val="00CF43AD"/>
    <w:rsid w:val="00CF6EF8"/>
    <w:rsid w:val="00CF755D"/>
    <w:rsid w:val="00D06EE6"/>
    <w:rsid w:val="00D21E55"/>
    <w:rsid w:val="00D2569D"/>
    <w:rsid w:val="00D53A6B"/>
    <w:rsid w:val="00D6249D"/>
    <w:rsid w:val="00D6724F"/>
    <w:rsid w:val="00D67955"/>
    <w:rsid w:val="00D72A85"/>
    <w:rsid w:val="00D73A85"/>
    <w:rsid w:val="00D77143"/>
    <w:rsid w:val="00D86434"/>
    <w:rsid w:val="00D93777"/>
    <w:rsid w:val="00DA2AAD"/>
    <w:rsid w:val="00DA4D13"/>
    <w:rsid w:val="00DB2892"/>
    <w:rsid w:val="00DC170A"/>
    <w:rsid w:val="00DC5271"/>
    <w:rsid w:val="00DE53BB"/>
    <w:rsid w:val="00E1059D"/>
    <w:rsid w:val="00E36FCE"/>
    <w:rsid w:val="00E41020"/>
    <w:rsid w:val="00E430DC"/>
    <w:rsid w:val="00E43FE7"/>
    <w:rsid w:val="00E51AFE"/>
    <w:rsid w:val="00E52A82"/>
    <w:rsid w:val="00E53CD0"/>
    <w:rsid w:val="00E63AC0"/>
    <w:rsid w:val="00E764B9"/>
    <w:rsid w:val="00E90B86"/>
    <w:rsid w:val="00E913B0"/>
    <w:rsid w:val="00EA215F"/>
    <w:rsid w:val="00EA5269"/>
    <w:rsid w:val="00EC1F88"/>
    <w:rsid w:val="00EC49CC"/>
    <w:rsid w:val="00EC5A41"/>
    <w:rsid w:val="00EC7493"/>
    <w:rsid w:val="00EC79A2"/>
    <w:rsid w:val="00ED0CA0"/>
    <w:rsid w:val="00ED2717"/>
    <w:rsid w:val="00EE6573"/>
    <w:rsid w:val="00EF0CC7"/>
    <w:rsid w:val="00F14530"/>
    <w:rsid w:val="00F25B4D"/>
    <w:rsid w:val="00F3201C"/>
    <w:rsid w:val="00F43823"/>
    <w:rsid w:val="00F47375"/>
    <w:rsid w:val="00F476EE"/>
    <w:rsid w:val="00F6158D"/>
    <w:rsid w:val="00F768BA"/>
    <w:rsid w:val="00F82B76"/>
    <w:rsid w:val="00F93755"/>
    <w:rsid w:val="00F96902"/>
    <w:rsid w:val="00F96D76"/>
    <w:rsid w:val="00FC02B0"/>
    <w:rsid w:val="00FC02FB"/>
    <w:rsid w:val="00FC56B9"/>
    <w:rsid w:val="00FD18BE"/>
    <w:rsid w:val="00FD5862"/>
    <w:rsid w:val="00FD6290"/>
    <w:rsid w:val="00FF601A"/>
    <w:rsid w:val="00FF6C69"/>
    <w:rsid w:val="3FF4A18D"/>
    <w:rsid w:val="73D10C5E"/>
    <w:rsid w:val="77FF43C5"/>
    <w:rsid w:val="79EDAA3B"/>
    <w:rsid w:val="7BA7082A"/>
    <w:rsid w:val="B7EA386A"/>
    <w:rsid w:val="F72FAF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qFormat="1"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3"/>
    <w:link w:val="26"/>
    <w:qFormat/>
    <w:uiPriority w:val="9"/>
    <w:pPr>
      <w:keepNext/>
      <w:keepLines/>
      <w:numPr>
        <w:ilvl w:val="0"/>
        <w:numId w:val="1"/>
      </w:numPr>
      <w:topLinePunct/>
      <w:adjustRightInd w:val="0"/>
      <w:snapToGrid w:val="0"/>
      <w:spacing w:before="300" w:beforeLines="300" w:after="50" w:afterLines="50" w:line="360" w:lineRule="auto"/>
      <w:outlineLvl w:val="0"/>
    </w:pPr>
    <w:rPr>
      <w:rFonts w:ascii="Arial" w:hAnsi="Arial" w:eastAsia="黑体"/>
      <w:bCs/>
      <w:kern w:val="44"/>
      <w:sz w:val="36"/>
      <w:szCs w:val="44"/>
      <w:lang w:val="zh-CN"/>
    </w:rPr>
  </w:style>
  <w:style w:type="paragraph" w:styleId="4">
    <w:name w:val="heading 2"/>
    <w:basedOn w:val="1"/>
    <w:next w:val="3"/>
    <w:link w:val="31"/>
    <w:unhideWhenUsed/>
    <w:qFormat/>
    <w:uiPriority w:val="9"/>
    <w:pPr>
      <w:keepNext/>
      <w:keepLines/>
      <w:numPr>
        <w:ilvl w:val="1"/>
        <w:numId w:val="1"/>
      </w:numPr>
      <w:topLinePunct/>
      <w:adjustRightInd w:val="0"/>
      <w:snapToGrid w:val="0"/>
      <w:spacing w:before="150" w:beforeLines="150" w:after="30" w:afterLines="30" w:line="360" w:lineRule="auto"/>
      <w:outlineLvl w:val="1"/>
    </w:pPr>
    <w:rPr>
      <w:rFonts w:ascii="Arial" w:hAnsi="Arial" w:eastAsia="黑体" w:cstheme="majorBidi"/>
      <w:bCs/>
      <w:sz w:val="30"/>
      <w:szCs w:val="32"/>
    </w:rPr>
  </w:style>
  <w:style w:type="paragraph" w:styleId="5">
    <w:name w:val="heading 3"/>
    <w:basedOn w:val="1"/>
    <w:next w:val="3"/>
    <w:link w:val="32"/>
    <w:unhideWhenUsed/>
    <w:qFormat/>
    <w:uiPriority w:val="9"/>
    <w:pPr>
      <w:keepNext/>
      <w:keepLines/>
      <w:numPr>
        <w:ilvl w:val="2"/>
        <w:numId w:val="1"/>
      </w:numPr>
      <w:topLinePunct/>
      <w:adjustRightInd w:val="0"/>
      <w:snapToGrid w:val="0"/>
      <w:spacing w:before="100" w:beforeLines="100" w:after="20" w:afterLines="20" w:line="360" w:lineRule="auto"/>
      <w:outlineLvl w:val="2"/>
    </w:pPr>
    <w:rPr>
      <w:rFonts w:ascii="Arial" w:hAnsi="Arial" w:eastAsia="黑体"/>
      <w:bCs/>
      <w:sz w:val="28"/>
      <w:szCs w:val="32"/>
    </w:rPr>
  </w:style>
  <w:style w:type="paragraph" w:styleId="6">
    <w:name w:val="heading 4"/>
    <w:basedOn w:val="1"/>
    <w:next w:val="3"/>
    <w:link w:val="33"/>
    <w:unhideWhenUsed/>
    <w:qFormat/>
    <w:uiPriority w:val="9"/>
    <w:pPr>
      <w:keepNext/>
      <w:keepLines/>
      <w:numPr>
        <w:ilvl w:val="3"/>
        <w:numId w:val="1"/>
      </w:numPr>
      <w:adjustRightInd w:val="0"/>
      <w:snapToGrid w:val="0"/>
      <w:spacing w:before="70" w:beforeLines="70"/>
      <w:outlineLvl w:val="3"/>
    </w:pPr>
    <w:rPr>
      <w:rFonts w:ascii="Arial" w:hAnsi="Arial" w:eastAsia="黑体" w:cstheme="majorBidi"/>
      <w:bCs/>
      <w:sz w:val="24"/>
      <w:szCs w:val="28"/>
    </w:rPr>
  </w:style>
  <w:style w:type="paragraph" w:styleId="7">
    <w:name w:val="heading 5"/>
    <w:basedOn w:val="1"/>
    <w:next w:val="3"/>
    <w:link w:val="34"/>
    <w:unhideWhenUsed/>
    <w:qFormat/>
    <w:uiPriority w:val="9"/>
    <w:pPr>
      <w:keepNext/>
      <w:keepLines/>
      <w:numPr>
        <w:ilvl w:val="4"/>
        <w:numId w:val="1"/>
      </w:numPr>
      <w:adjustRightInd w:val="0"/>
      <w:snapToGrid w:val="0"/>
      <w:spacing w:before="50" w:beforeLines="50" w:line="360" w:lineRule="auto"/>
      <w:outlineLvl w:val="4"/>
    </w:pPr>
    <w:rPr>
      <w:rFonts w:ascii="Arial" w:hAnsi="Arial" w:eastAsia="黑体"/>
      <w:bCs/>
      <w:sz w:val="24"/>
      <w:szCs w:val="28"/>
    </w:rPr>
  </w:style>
  <w:style w:type="paragraph" w:styleId="8">
    <w:name w:val="heading 6"/>
    <w:basedOn w:val="1"/>
    <w:next w:val="3"/>
    <w:link w:val="35"/>
    <w:unhideWhenUsed/>
    <w:qFormat/>
    <w:uiPriority w:val="9"/>
    <w:pPr>
      <w:keepNext/>
      <w:keepLines/>
      <w:numPr>
        <w:ilvl w:val="5"/>
        <w:numId w:val="1"/>
      </w:numPr>
      <w:adjustRightInd w:val="0"/>
      <w:snapToGrid w:val="0"/>
      <w:spacing w:before="30" w:beforeLines="30" w:line="360" w:lineRule="auto"/>
      <w:outlineLvl w:val="5"/>
    </w:pPr>
    <w:rPr>
      <w:rFonts w:ascii="Arial" w:hAnsi="Arial" w:eastAsia="黑体" w:cstheme="majorBidi"/>
      <w:bCs/>
      <w:sz w:val="24"/>
      <w:szCs w:val="24"/>
    </w:rPr>
  </w:style>
  <w:style w:type="paragraph" w:styleId="9">
    <w:name w:val="heading 7"/>
    <w:basedOn w:val="1"/>
    <w:next w:val="3"/>
    <w:link w:val="36"/>
    <w:unhideWhenUsed/>
    <w:qFormat/>
    <w:uiPriority w:val="9"/>
    <w:pPr>
      <w:keepNext/>
      <w:keepLines/>
      <w:numPr>
        <w:ilvl w:val="6"/>
        <w:numId w:val="1"/>
      </w:numPr>
      <w:adjustRightInd w:val="0"/>
      <w:snapToGrid w:val="0"/>
      <w:spacing w:before="30" w:beforeLines="30" w:line="360" w:lineRule="auto"/>
      <w:outlineLvl w:val="6"/>
    </w:pPr>
    <w:rPr>
      <w:rFonts w:ascii="Arial" w:hAnsi="Arial" w:eastAsia="黑体"/>
      <w:bCs/>
      <w:sz w:val="24"/>
      <w:szCs w:val="24"/>
    </w:rPr>
  </w:style>
  <w:style w:type="paragraph" w:styleId="10">
    <w:name w:val="heading 8"/>
    <w:basedOn w:val="1"/>
    <w:next w:val="3"/>
    <w:link w:val="37"/>
    <w:unhideWhenUsed/>
    <w:qFormat/>
    <w:uiPriority w:val="9"/>
    <w:pPr>
      <w:keepNext/>
      <w:keepLines/>
      <w:numPr>
        <w:ilvl w:val="7"/>
        <w:numId w:val="1"/>
      </w:numPr>
      <w:adjustRightInd w:val="0"/>
      <w:snapToGrid w:val="0"/>
      <w:spacing w:before="30" w:beforeLines="30" w:line="360" w:lineRule="auto"/>
      <w:outlineLvl w:val="7"/>
    </w:pPr>
    <w:rPr>
      <w:rFonts w:ascii="Arial" w:hAnsi="Arial" w:eastAsia="黑体" w:cstheme="majorBidi"/>
      <w:sz w:val="24"/>
      <w:szCs w:val="24"/>
    </w:rPr>
  </w:style>
  <w:style w:type="paragraph" w:styleId="11">
    <w:name w:val="heading 9"/>
    <w:basedOn w:val="1"/>
    <w:next w:val="3"/>
    <w:link w:val="38"/>
    <w:unhideWhenUsed/>
    <w:qFormat/>
    <w:uiPriority w:val="9"/>
    <w:pPr>
      <w:keepNext/>
      <w:keepLines/>
      <w:adjustRightInd w:val="0"/>
      <w:snapToGrid w:val="0"/>
      <w:spacing w:before="30" w:beforeLines="30" w:line="360" w:lineRule="auto"/>
      <w:outlineLvl w:val="8"/>
    </w:pPr>
    <w:rPr>
      <w:rFonts w:ascii="Arial" w:hAnsi="Arial" w:eastAsia="黑体" w:cstheme="majorBidi"/>
      <w:sz w:val="24"/>
      <w:szCs w:val="21"/>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customStyle="1" w:styleId="3">
    <w:name w:val="正文段落"/>
    <w:basedOn w:val="1"/>
    <w:qFormat/>
    <w:uiPriority w:val="0"/>
    <w:pPr>
      <w:adjustRightInd w:val="0"/>
      <w:snapToGrid w:val="0"/>
      <w:spacing w:before="20" w:beforeLines="20" w:after="20" w:afterLines="20" w:line="336" w:lineRule="auto"/>
      <w:ind w:firstLine="200" w:firstLineChars="200"/>
    </w:pPr>
    <w:rPr>
      <w:rFonts w:ascii="Times New Roman" w:hAnsi="Times New Roman" w:eastAsia="宋体"/>
      <w:sz w:val="24"/>
    </w:rPr>
  </w:style>
  <w:style w:type="paragraph" w:styleId="12">
    <w:name w:val="caption"/>
    <w:basedOn w:val="1"/>
    <w:next w:val="3"/>
    <w:unhideWhenUsed/>
    <w:qFormat/>
    <w:uiPriority w:val="35"/>
    <w:pPr>
      <w:kinsoku w:val="0"/>
      <w:overflowPunct w:val="0"/>
      <w:autoSpaceDE w:val="0"/>
      <w:autoSpaceDN w:val="0"/>
      <w:adjustRightInd w:val="0"/>
      <w:snapToGrid w:val="0"/>
      <w:spacing w:before="30" w:beforeLines="30" w:after="30" w:afterLines="30" w:line="360" w:lineRule="auto"/>
      <w:jc w:val="center"/>
    </w:pPr>
    <w:rPr>
      <w:rFonts w:ascii="宋体" w:hAnsi="宋体" w:eastAsia="宋体" w:cstheme="majorBidi"/>
      <w:szCs w:val="20"/>
    </w:rPr>
  </w:style>
  <w:style w:type="paragraph" w:styleId="13">
    <w:name w:val="toc 3"/>
    <w:basedOn w:val="1"/>
    <w:next w:val="1"/>
    <w:unhideWhenUsed/>
    <w:qFormat/>
    <w:uiPriority w:val="39"/>
    <w:pPr>
      <w:tabs>
        <w:tab w:val="right" w:leader="dot" w:pos="8296"/>
      </w:tabs>
      <w:adjustRightInd w:val="0"/>
      <w:snapToGrid w:val="0"/>
      <w:spacing w:line="312" w:lineRule="auto"/>
      <w:ind w:left="150" w:leftChars="150"/>
    </w:pPr>
    <w:rPr>
      <w:rFonts w:ascii="Times New Roman" w:hAnsi="Times New Roman" w:eastAsia="宋体"/>
      <w:sz w:val="18"/>
    </w:rPr>
  </w:style>
  <w:style w:type="paragraph" w:styleId="14">
    <w:name w:val="Balloon Text"/>
    <w:basedOn w:val="1"/>
    <w:link w:val="30"/>
    <w:semiHidden/>
    <w:unhideWhenUsed/>
    <w:qFormat/>
    <w:uiPriority w:val="99"/>
    <w:rPr>
      <w:sz w:val="18"/>
      <w:szCs w:val="18"/>
    </w:rPr>
  </w:style>
  <w:style w:type="paragraph" w:styleId="15">
    <w:name w:val="footer"/>
    <w:basedOn w:val="1"/>
    <w:link w:val="29"/>
    <w:unhideWhenUsed/>
    <w:qFormat/>
    <w:uiPriority w:val="99"/>
    <w:pPr>
      <w:tabs>
        <w:tab w:val="center" w:pos="4153"/>
        <w:tab w:val="right" w:pos="8306"/>
      </w:tabs>
      <w:snapToGrid w:val="0"/>
      <w:jc w:val="left"/>
    </w:pPr>
    <w:rPr>
      <w:sz w:val="18"/>
      <w:szCs w:val="18"/>
    </w:rPr>
  </w:style>
  <w:style w:type="paragraph" w:styleId="16">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pPr>
      <w:tabs>
        <w:tab w:val="right" w:leader="dot" w:pos="8296"/>
      </w:tabs>
      <w:adjustRightInd w:val="0"/>
      <w:snapToGrid w:val="0"/>
      <w:spacing w:before="50" w:beforeLines="50" w:line="312" w:lineRule="auto"/>
    </w:pPr>
    <w:rPr>
      <w:rFonts w:ascii="Arial" w:hAnsi="Arial" w:eastAsia="黑体"/>
    </w:rPr>
  </w:style>
  <w:style w:type="paragraph" w:styleId="18">
    <w:name w:val="index 9"/>
    <w:basedOn w:val="1"/>
    <w:next w:val="1"/>
    <w:autoRedefine/>
    <w:semiHidden/>
    <w:unhideWhenUsed/>
    <w:qFormat/>
    <w:uiPriority w:val="99"/>
    <w:pPr>
      <w:numPr>
        <w:ilvl w:val="8"/>
        <w:numId w:val="1"/>
      </w:numPr>
    </w:pPr>
  </w:style>
  <w:style w:type="paragraph" w:styleId="19">
    <w:name w:val="toc 2"/>
    <w:basedOn w:val="1"/>
    <w:next w:val="1"/>
    <w:unhideWhenUsed/>
    <w:qFormat/>
    <w:uiPriority w:val="39"/>
    <w:pPr>
      <w:tabs>
        <w:tab w:val="right" w:leader="dot" w:pos="8296"/>
      </w:tabs>
      <w:adjustRightInd w:val="0"/>
      <w:snapToGrid w:val="0"/>
      <w:spacing w:line="312" w:lineRule="auto"/>
      <w:ind w:left="100" w:leftChars="100"/>
    </w:pPr>
    <w:rPr>
      <w:rFonts w:ascii="Times New Roman" w:hAnsi="Times New Roman" w:eastAsia="宋体"/>
      <w:sz w:val="18"/>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bCs/>
    </w:rPr>
  </w:style>
  <w:style w:type="character" w:styleId="24">
    <w:name w:val="Hyperlink"/>
    <w:basedOn w:val="22"/>
    <w:unhideWhenUsed/>
    <w:qFormat/>
    <w:uiPriority w:val="99"/>
    <w:rPr>
      <w:color w:val="0000FF"/>
      <w:u w:val="single"/>
    </w:rPr>
  </w:style>
  <w:style w:type="paragraph" w:styleId="25">
    <w:name w:val="List Paragraph"/>
    <w:basedOn w:val="1"/>
    <w:qFormat/>
    <w:uiPriority w:val="34"/>
    <w:pPr>
      <w:ind w:firstLine="420" w:firstLineChars="200"/>
    </w:pPr>
  </w:style>
  <w:style w:type="character" w:customStyle="1" w:styleId="26">
    <w:name w:val="标题 1 字符"/>
    <w:basedOn w:val="22"/>
    <w:link w:val="2"/>
    <w:qFormat/>
    <w:uiPriority w:val="9"/>
    <w:rPr>
      <w:rFonts w:ascii="Arial" w:hAnsi="Arial" w:eastAsia="黑体"/>
      <w:bCs/>
      <w:kern w:val="44"/>
      <w:sz w:val="36"/>
      <w:szCs w:val="44"/>
      <w:lang w:val="zh-CN"/>
    </w:rPr>
  </w:style>
  <w:style w:type="paragraph" w:customStyle="1" w:styleId="27">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376092" w:themeColor="accent1" w:themeShade="BF"/>
      <w:kern w:val="0"/>
      <w:sz w:val="32"/>
      <w:szCs w:val="32"/>
    </w:rPr>
  </w:style>
  <w:style w:type="character" w:customStyle="1" w:styleId="28">
    <w:name w:val="页眉 字符"/>
    <w:basedOn w:val="22"/>
    <w:link w:val="16"/>
    <w:qFormat/>
    <w:uiPriority w:val="99"/>
    <w:rPr>
      <w:sz w:val="18"/>
      <w:szCs w:val="18"/>
    </w:rPr>
  </w:style>
  <w:style w:type="character" w:customStyle="1" w:styleId="29">
    <w:name w:val="页脚 字符"/>
    <w:basedOn w:val="22"/>
    <w:link w:val="15"/>
    <w:qFormat/>
    <w:uiPriority w:val="99"/>
    <w:rPr>
      <w:sz w:val="18"/>
      <w:szCs w:val="18"/>
    </w:rPr>
  </w:style>
  <w:style w:type="character" w:customStyle="1" w:styleId="30">
    <w:name w:val="批注框文本 字符"/>
    <w:basedOn w:val="22"/>
    <w:link w:val="14"/>
    <w:semiHidden/>
    <w:qFormat/>
    <w:uiPriority w:val="99"/>
    <w:rPr>
      <w:sz w:val="18"/>
      <w:szCs w:val="18"/>
    </w:rPr>
  </w:style>
  <w:style w:type="character" w:customStyle="1" w:styleId="31">
    <w:name w:val="标题 2 字符"/>
    <w:basedOn w:val="22"/>
    <w:link w:val="4"/>
    <w:qFormat/>
    <w:uiPriority w:val="9"/>
    <w:rPr>
      <w:rFonts w:ascii="Arial" w:hAnsi="Arial" w:eastAsia="黑体" w:cstheme="majorBidi"/>
      <w:bCs/>
      <w:sz w:val="30"/>
      <w:szCs w:val="32"/>
    </w:rPr>
  </w:style>
  <w:style w:type="character" w:customStyle="1" w:styleId="32">
    <w:name w:val="标题 3 字符"/>
    <w:basedOn w:val="22"/>
    <w:link w:val="5"/>
    <w:qFormat/>
    <w:uiPriority w:val="9"/>
    <w:rPr>
      <w:rFonts w:ascii="Arial" w:hAnsi="Arial" w:eastAsia="黑体"/>
      <w:bCs/>
      <w:sz w:val="28"/>
      <w:szCs w:val="32"/>
    </w:rPr>
  </w:style>
  <w:style w:type="character" w:customStyle="1" w:styleId="33">
    <w:name w:val="标题 4 字符"/>
    <w:basedOn w:val="22"/>
    <w:link w:val="6"/>
    <w:qFormat/>
    <w:uiPriority w:val="9"/>
    <w:rPr>
      <w:rFonts w:ascii="Arial" w:hAnsi="Arial" w:eastAsia="黑体" w:cstheme="majorBidi"/>
      <w:bCs/>
      <w:sz w:val="24"/>
      <w:szCs w:val="28"/>
    </w:rPr>
  </w:style>
  <w:style w:type="character" w:customStyle="1" w:styleId="34">
    <w:name w:val="标题 5 字符"/>
    <w:basedOn w:val="22"/>
    <w:link w:val="7"/>
    <w:qFormat/>
    <w:uiPriority w:val="9"/>
    <w:rPr>
      <w:rFonts w:ascii="Arial" w:hAnsi="Arial" w:eastAsia="黑体"/>
      <w:bCs/>
      <w:sz w:val="24"/>
      <w:szCs w:val="28"/>
    </w:rPr>
  </w:style>
  <w:style w:type="character" w:customStyle="1" w:styleId="35">
    <w:name w:val="标题 6 字符"/>
    <w:basedOn w:val="22"/>
    <w:link w:val="8"/>
    <w:qFormat/>
    <w:uiPriority w:val="9"/>
    <w:rPr>
      <w:rFonts w:ascii="Arial" w:hAnsi="Arial" w:eastAsia="黑体" w:cstheme="majorBidi"/>
      <w:bCs/>
      <w:sz w:val="24"/>
      <w:szCs w:val="24"/>
    </w:rPr>
  </w:style>
  <w:style w:type="character" w:customStyle="1" w:styleId="36">
    <w:name w:val="标题 7 字符"/>
    <w:basedOn w:val="22"/>
    <w:link w:val="9"/>
    <w:qFormat/>
    <w:uiPriority w:val="9"/>
    <w:rPr>
      <w:rFonts w:ascii="Arial" w:hAnsi="Arial" w:eastAsia="黑体"/>
      <w:bCs/>
      <w:sz w:val="24"/>
      <w:szCs w:val="24"/>
    </w:rPr>
  </w:style>
  <w:style w:type="character" w:customStyle="1" w:styleId="37">
    <w:name w:val="标题 8 字符"/>
    <w:basedOn w:val="22"/>
    <w:link w:val="10"/>
    <w:qFormat/>
    <w:uiPriority w:val="9"/>
    <w:rPr>
      <w:rFonts w:ascii="Arial" w:hAnsi="Arial" w:eastAsia="黑体" w:cstheme="majorBidi"/>
      <w:sz w:val="24"/>
      <w:szCs w:val="24"/>
    </w:rPr>
  </w:style>
  <w:style w:type="character" w:customStyle="1" w:styleId="38">
    <w:name w:val="标题 9 字符"/>
    <w:basedOn w:val="22"/>
    <w:link w:val="11"/>
    <w:qFormat/>
    <w:uiPriority w:val="9"/>
    <w:rPr>
      <w:rFonts w:ascii="Arial" w:hAnsi="Arial" w:eastAsia="黑体" w:cstheme="majorBidi"/>
      <w:sz w:val="24"/>
      <w:szCs w:val="21"/>
    </w:rPr>
  </w:style>
  <w:style w:type="paragraph" w:customStyle="1" w:styleId="39">
    <w:name w:val="说明"/>
    <w:basedOn w:val="1"/>
    <w:next w:val="3"/>
    <w:qFormat/>
    <w:uiPriority w:val="0"/>
    <w:pPr>
      <w:adjustRightInd w:val="0"/>
      <w:snapToGrid w:val="0"/>
      <w:spacing w:before="50" w:beforeLines="50" w:after="100" w:afterLines="100" w:line="288" w:lineRule="auto"/>
    </w:pPr>
    <w:rPr>
      <w:rFonts w:ascii="楷体" w:hAnsi="楷体" w:eastAsia="楷体"/>
    </w:rPr>
  </w:style>
  <w:style w:type="paragraph" w:customStyle="1" w:styleId="40">
    <w:name w:val="图表段落"/>
    <w:basedOn w:val="3"/>
    <w:qFormat/>
    <w:uiPriority w:val="0"/>
    <w:pPr>
      <w:spacing w:before="30" w:beforeLines="30" w:after="30" w:afterLines="30" w:line="240" w:lineRule="auto"/>
      <w:ind w:firstLine="0" w:firstLineChars="0"/>
      <w:jc w:val="center"/>
    </w:pPr>
  </w:style>
</w:styles>
</file>

<file path=word/_rels/document.xml.rels><?xml version='1.0' encoding='UTF-8' standalone='yes'?>
<Relationships xmlns="http://schemas.openxmlformats.org/package/2006/relationships"><Relationship Id="rId9" Type="http://schemas.microsoft.com/office/2006/relationships/keyMapCustomizations" Target="customizations.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image" Target="media/rId11.png"/><Relationship Id="rId12" Type="http://schemas.openxmlformats.org/officeDocument/2006/relationships/image" Target="media/rId12.png"/><Relationship Id="rId13" Type="http://schemas.openxmlformats.org/officeDocument/2006/relationships/image" Target="media/rId13.png"/><Relationship Id="rId14" Type="http://schemas.openxmlformats.org/officeDocument/2006/relationships/image" Target="media/rId14.png"/><Relationship Id="rId15" Type="http://schemas.openxmlformats.org/officeDocument/2006/relationships/image" Target="media/rId15.png"/><Relationship Id="rId16" Type="http://schemas.openxmlformats.org/officeDocument/2006/relationships/image" Target="media/rId16.png"/><Relationship Id="rId17" Type="http://schemas.openxmlformats.org/officeDocument/2006/relationships/image" Target="media/rId17.png"/><Relationship Id="rId18" Type="http://schemas.openxmlformats.org/officeDocument/2006/relationships/image" Target="media/rId18.png"/><Relationship Id="rId19" Type="http://schemas.openxmlformats.org/officeDocument/2006/relationships/image" Target="media/rId19.png"/><Relationship Id="rId20" Type="http://schemas.openxmlformats.org/officeDocument/2006/relationships/image" Target="media/rId20.png"/><Relationship Id="rId21" Type="http://schemas.openxmlformats.org/officeDocument/2006/relationships/image" Target="media/rId21.png"/></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1127</Words>
  <Characters>1168</Characters>
  <Lines>17</Lines>
  <Paragraphs>4</Paragraphs>
  <TotalTime>177</TotalTime>
  <ScaleCrop>false</ScaleCrop>
  <LinksUpToDate>false</LinksUpToDate>
  <CharactersWithSpaces>1325</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2025-03-19T00:35:00Z</dcterms:created>
  <dc:creator>dengxifeng@pku.edu.cn</dc:creator>
  <cp:lastModifiedBy>韋大琪L</cp:lastModifiedBy>
  <cp:lastPrinted>2019-04-16T14:27:00Z</cp:lastPrinted>
  <dcterms:modified xsi:type="dcterms:W3CDTF">2026-03-17T17:25:08Z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eyJoZGlkIjoiYjk5ODM0YmMxOWJiYWQyNDU4MGIzYWRmYTA0ZmI5NDciLCJ1c2VySWQiOiI5MjcwODAwNTIifQ==</vt:lpwstr>
  </property>
  <property fmtid="{D5CDD505-2E9C-101B-9397-08002B2CF9AE}" pid="3" name="KSOProductBuildVer">
    <vt:lpwstr>2052-12.1.25205.25205</vt:lpwstr>
  </property>
  <property fmtid="{D5CDD505-2E9C-101B-9397-08002B2CF9AE}" pid="4" name="ICV">
    <vt:lpwstr>F04D6DAB00DF4F96802763B4A0B6EDDD_12</vt:lpwstr>
  </property>
</Properties>
</file>