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</w:pPr>
      <w:r>
        <w:drawing>
          <wp:inline distT="0" distB="0" distL="0" distR="0">
            <wp:extent cx="2857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rial" w:cs="Arial" w:eastAsia="Arial" w:hAnsi="Arial"/>
          <w:b/>
          <w:bCs/>
          <w:color w:val="26211A"/>
          <w:sz w:val="46"/>
          <w:szCs w:val="46"/>
        </w:rPr>
        <w:t xml:space="preserve">SGDF — Sistema de Gestão Documental do Faturamento</w:t>
      </w:r>
    </w:p>
    <w:p>
      <w:pPr>
        <w:spacing w:after="420" w:before="120"/>
      </w:pPr>
      <w:r>
        <w:rPr>
          <w:rFonts w:ascii="Arial" w:cs="Arial" w:eastAsia="Arial" w:hAnsi="Arial"/>
          <w:color w:val="9A4E00"/>
          <w:sz w:val="28"/>
          <w:szCs w:val="28"/>
        </w:rPr>
        <w:t xml:space="preserve">Documentação de Desenvolvimento — pacote consolidado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710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Versão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 1.0 — base para início do desenvolvimento (fases 0 e 1a liberadas; 1b condicionada à pendência A05)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Área demandante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Diretoria Administrativa e Financeira — Engesoftware Tecnologia S.A.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Interno — Restrito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Documentos anexos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Anexo 1: Diagnostico_Checklist_Faturamento_Engesoftware.xlsx (catálogo canônico, matriz normalizada, divergências)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Anexo 2: SGDF_Layout_Prototipo.html (protótipo navegável e tokens de design)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Base de análise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176 exigências de 8 checklists; 2 políticas de faturamento; estrutura real do OwnCloud (15 pastas de contrato); identidade visual oficial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Público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Equipe de desenvolvimento, arquitetura e segurança da informação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1. Visão geral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O SGDF automatiza a conferência documental do faturamento por medição: a cada competência, para cada contrato, o sistema materializa a lista de documentos exigidos, varre os repositórios existentes, identifica cada arquivo pelo conteúdo, valida, concilia documentos com seus comprovantes de pagamento, publica o conjunto aprovado como book de faturamento em repositório imutável e comunica as áreas — cobrando o que falta ou confirmando o fechamento.</w:t>
      </w:r>
    </w:p>
    <w:p>
      <w:pPr>
        <w:spacing w:after="110" w:before="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Princípios de projeto, em ordem de precedência: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1. O sistema nunca trava o faturamento por falta de configuração própria: tipo sem regra de reconhecimento cai em conferência manual; regra sem tolerância opera em modo alerta.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2. Todo comportamento variável é metadado editável (módulo Cadastro), nunca código.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3. Toda decisão automática é determinística, auditável e explicável — sem classificadores estatísticos na decisão de conformidade.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4. A identificação usa o conteúdo do documento; nome de arquivo e pasta são apenas reforço de confiança.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5. A varredura é somente-leitura na origem; a escrita ocorre apenas no repositório de evidências.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6. Bloqueio sempre explicado: toda ação desabilitada exibe o motivo.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7. O sistema confere completude e coerência documental; o ateste técnico da medição permanece humano.</w:t>
      </w:r>
    </w:p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1.1 Fora do escopo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Emissão de NF e escrituração fiscal; apuração de folha e encargos; julgamento da medição, SLA e penalidades; envio a portais externos de clientes (fase futura).</w:t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2. Glossário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7710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Competência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Mês de referência da prestação do serviço faturado (formato AAAA-MM).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Ciclo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Instância do processo de conferência: um contrato-serviço × uma competência.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Contrato-serviço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Unidade de faturamento: número do contrato + serviço/modalidade. Ex.: CAIXA-09705.2025; BNB-482023-OUT e BNB-482023-SUS são contratos-serviço distintos.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Exigência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Obrigação documental materializada num ciclo: tipo documental × evento × (profissional, quando individual).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Tipo documental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Entrada do catálogo canônico (51 tipos na carga inicial), com código no formato FAM.NOME.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Alias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Nomenclatura alternativa reconhecida para um tipo (69 na carga inicial, herdadas do legado).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Defasagem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Relação entre a competência do documento e a do ciclo: M, M-1, vigência na data da NF, ou data do evento.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Book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Conjunto versionado, numerado e com hash das evidências publicadas de um ciclo — o artefato entregue ao cliente.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Bloco corporativo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Documentos por CNPJ (certidões, guias e comprovantes de encargos), coletados uma vez por competência e replicados em todos os books.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Triagem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Fila de decisão humana para documentos identificados com confiança abaixo do limiar.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Modo sombra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Operação completa sem envio de notificações e sem efeito sobre o processo real, para calibragem.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Administração de Pessoas (também referida como DP nos checklists legados).</w:t>
            </w:r>
          </w:p>
        </w:tc>
      </w:tr>
    </w:tbl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3. Decisões, premissas e restrições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771"/>
        <w:gridCol w:w="4241"/>
        <w:gridCol w:w="4626"/>
      </w:tblGrid>
      <w:tr>
        <w:trPr>
          <w:tblHeader/>
        </w:trPr>
        <w:tc>
          <w:tcPr>
            <w:tcW w:type="dxa" w:w="77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4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/ premissa</w:t>
            </w:r>
          </w:p>
        </w:tc>
        <w:tc>
          <w:tcPr>
            <w:tcW w:type="dxa" w:w="4626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Efeito no desenvolvimento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D-01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Documentação de profissionais só em contratos outsourcing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Exigibilidade herdada por modalidade (bloco base + bloco outsourcing + específico)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D-02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Chave do sistema é o contrato-serviço, não o cliente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CAIXA desdobra em 3; BNB e TJCE em 2 cada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D-03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Certidões e encargos são por CNPJ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Coleta única (escopo corporativo) com replicação nos books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D-04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13º pode ser antecipado por profissional em qualquer mês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Exigências de evento derivadas da folha, nunca de calendário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D-05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PDF+XLSX ambos exigidos quando definidos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Exigência tem lista de formatos; satisfação exige todos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D-06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Operação exclusivamente on-premises, sem internet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 dependência de serviço em nuvem pública; atualizações offline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D-07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Arquivos reais não seguem a nomenclatura do checklist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Identificação por conteúdo; nome/pasta como reforço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D-08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Hierarquia contrato/ano/mês é confiável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Delimitador de varredura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D-09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FGTS, DCTFWeb, DARF, INSS e IRRF referem-se a M-1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Defasagem fixa no tipo, imutável por contrato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D-10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Checklists em planilha por pasta serão descontinuados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Matriz central é a única fonte; carga inicial a partir do Anexo 1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R-01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Certidão positiva com efeito de negativa = regular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Campo natureza extraído e aceito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R-02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 de leitura ampla ≠ conta de publicação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Duas identidades de serviço com escopos disjuntos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R-03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 recolhimento por filial (a confirmar — A07)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Escopo corporativo com 1 CNPJ; modelo já suporta N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R-04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Stack alinhada ao padrão da casa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Arquitetura de referência no cap. 4 é agnóstica de linguagem; decidir na sprint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4. Arquitetura de referência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4.1 Componentes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Tecnologia de referência (ajustar ao padrão da casa)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API de aplicação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para UI e cadastro; autorização; orquestração de comandos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Serviço web stateless (.NET 8 / Java Spring / Node — decidir sprint 0)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Worker de processamento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Varredura, extração, reconhecimento, validação, conciliação, publicação — assíncrono, idempotente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Mesmo runtime da API, processos separados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Fila de mensagens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Desacoplar varredura/extração da UI; reprocessamento; retries com dead-letter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RabbitMQ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Banco relacional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Metadados, matriz, ciclos, exigências, trilha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PostgreSQL 16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Armazenamento de objetos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Repositório de evidências e books, com trava de imutabilidade (object lock/WORM) e versionamento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MinIO on-prem, bucket com retenção em modo compliance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Extração de texto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nativo: texto + posições; planilhas: leitura direta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Poppler/pdfminer ou PDFBox, conforme stack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OCR (contingência)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Somente documentos digitalizados; resultado sempre vai a triagem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Tesseract 5 (por-BR)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Identidade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Autenticação corporativa OIDC + MFA; grupos → papéis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AD/Entra ID via ADFS ou Keycloak como broker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Cofre de segredos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Credenciais das contas de serviço, chaves, conexões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HashiCorp Vault ou equivalente corporativo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E-mail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Envio via relay interno, com templates versionados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SMTP corporativo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Observabilidade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Logs estruturados, métricas de fila e de processamento, alertas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Prometheus + Grafana + logs centralizados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Agendador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Abertura de ciclos, varreduras periódicas, réguas de notificação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Scheduler do próprio worker (cron) com registro de execução</w:t>
            </w:r>
          </w:p>
        </w:tc>
      </w:tr>
    </w:tbl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4.2 Topologia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┌─ VLAN de aplicação ─────────────────────────────────────────────────┐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│  [UI web] ⇄ [API] ⇄ [PostgreSQL]         [Vault]                    │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│               │  ⇅ RabbitMQ                                         │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│           [Workers: varredura | extração | conciliação | publicação]│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│               │ leitura WebDAV/API        │ escrita S3 (object lock)│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└───────────────┼───────────────────────────┼─────────────────────────┘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      [OwnCloud] [Jira] [Folha]      [MinIO: evidências + books]    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      (origem, somente leitura)      (VLAN de dados, sem acesso     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direto de usuário)           </w:t>
      </w:r>
    </w:p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UI e API na VLAN de aplicação; MinIO e PostgreSQL em VLAN de dados sem rota para estações.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Nenhum componente exposto à internet; DNS interno; TLS 1.2+ interno com certificados corporativos.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Duas identidades de serviço: svc-sgdf-leitura (WebDAV/Jira/folha, somente leitura) e svc-sgdf-publica (somente bucket de evidências). Segredos no cofre, rotação a cada 90 dias, uso logado.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Idempotência: todo processamento é chaveado por (origem, caminho, hash); reprocessar não duplica.</w:t>
      </w:r>
    </w:p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5. Modelo de dados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Convenções: chaves primárias UUID; timestamps UTC com timezone; soft delete apenas por campo ativo=false (nenhuma exclusão física fora do expurgo de retenção); toda tabela de negócio tem criado_em, criado_por, atualizado_em, atualizado_por.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5.1 Cadastro e matriz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349"/>
        <w:gridCol w:w="5397"/>
        <w:gridCol w:w="2891"/>
      </w:tblGrid>
      <w:tr>
        <w:trPr>
          <w:tblHeader/>
        </w:trPr>
        <w:tc>
          <w:tcPr>
            <w:tcW w:type="dxa" w:w="134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539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 principais</w:t>
            </w:r>
          </w:p>
        </w:tc>
        <w:tc>
          <w:tcPr>
            <w:tcW w:type="dxa" w:w="289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cliente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nome, cnpj, esfera(PUBLICA|PRIVADA), ativo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 único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contrato_servico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cliente_id, numero, servico, modalidade_id, vigencia_ini, vigencia_fim, pasta_origem, data_contratual_faturamento(json prazo), calendario_id, ativo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único (cliente, numero, servico); pasta_origem é o caminho raiz no OwnCloud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modalidade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codigo(OUTSOURCING|SUSTENTACAO|ENTREGA|MISTO), blocos(json)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blocos referencia blocos de exigência herdados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tipo_documental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codigo, nome, familia, escopo(CORPORATIVO|CONTRATO|PROFISSIONAL), evento(MENSAL|13O|FERIAS|RESCISAO|ADMISSAO|EVENTUAL), defasagem(M|M_MENOS_1|VIGENCIA_NF|EVENTO), formatos(json), criticidade(BLOQUEANTE|NAO_BLOQUEANTE), sigilo(PUBLICO_CLIENTE|INTERNO|PESSOAL|PESSOAL_SENSIVEL), condicional_grupo, ativo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codigo único no formato FAM.NOME; alteração de criticidade exige papel APROVADOR_DAF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tipo_alias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tipo_id, texto_normalizado, origem(LEGADO|TRIAGEM)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normalização: sem acento, minúsculas, separadores colapsados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regra_exigibilidade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tipo_id, alvo(MODALIDADE|CONTRATO), alvo_id, obrigatoriedade(OBRIGATORIO|CONDICIONAL|DISPENSADO), prazo(json), responsavel_titular_id, responsavel_substituto_id, fundamento, vigencia_ini, vigencia_fim, versao_matriz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resolução: contrato sobrepõe modalidade; a mais específica vence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versao_matriz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numero, publicada_em, publicada_por, motivo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append-only; ciclo referencia a versão usada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regra_reconhecimento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tipo_id, ancoras(json), campos(json), limiar_auto, limiar_triagem, versao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ausência de regra ⇒ conferência manual (nunca bloqueia)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regra_conciliacao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codigo(R01..R12), tipos_envolvidos(json), logica, tolerancia(json), excecoes(json), modo(BLOQUEIO|ALERTA), fase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 tolerância cadastrada ⇒ modo ALERTA forçado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calendario_feriados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uf, data, descricao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 cômputo de dia útil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profissional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matricula, nome, cpf_cifrado, contrato_servico_id, admissao, desligamento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cpf cifrado em nível de aplicação (AES-GCM, chave no cofre); exibição sempre mascarada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alocacao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profissional_id, contrato_servico_id, inicio, fim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fonte: relação de alocados + folha</w:t>
            </w:r>
          </w:p>
        </w:tc>
      </w:tr>
    </w:tbl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5.2 Execução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349"/>
        <w:gridCol w:w="5397"/>
        <w:gridCol w:w="2891"/>
      </w:tblGrid>
      <w:tr>
        <w:trPr>
          <w:tblHeader/>
        </w:trPr>
        <w:tc>
          <w:tcPr>
            <w:tcW w:type="dxa" w:w="134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539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 principais</w:t>
            </w:r>
          </w:p>
        </w:tc>
        <w:tc>
          <w:tcPr>
            <w:tcW w:type="dxa" w:w="289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ciclo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contrato_servico_id, competencia, status, versao_matriz_id, aberto_em, prazo_interno, ateste_em, ateste_forma, ateste_evidencia_doc_id, nf_emitida_em, fechado_em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único (contrato, competência); ateste_em é o marco do indicador D+3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exigencia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ciclo_id, tipo_id, evento, profissional_id?, status, formatos_pendentes(json), prazo_calculado, responsavel_id, origem(MATRIZ|DERIVADA), regra_id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DERIVADA = criada pela leitura da folha (cap. 7.2)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documento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origem(OWNCLOUD|JIRA|UPLOAD), caminho, nome_arquivo, hash_sha256, tamanho, mime_real, tipo_id?, confianca, competencia_extraida, validade_extraida, cnpj_extraido, natureza, formato, status_triagem, versao_origem(etag)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único (origem, caminho, hash); mime_real por assinatura binária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campo_extraido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documento_id, campo, valor, confianca, posicao(json)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posição permite auditar de onde o valor foi lido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vinculo_exigencia_documento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exigencia_id, documento_id, formato, decidido_por(SISTEMA|USUARIO), decidido_em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muitos-para-muitos; triagem gera decidido_por=USUARIO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conciliacao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regra_id, ciclo_id, itens(json), resultado(CONFORME|DIVERGENTE), delta, detalhe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itens lista documentos/valores comparados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excecao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exigencia_id, motivo, solicitante_id, aprovador_id, aprovado_em, evidencia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aprovador com papel APROVADOR_DAF; nunca o solicitante (SoD)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book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ciclo_id, versao, publicado_em, hash_conjunto, manifesto(json), caminho_bucket, pecas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append-only; nova publicação ⇒ versao+1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notificacao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ciclo_id, tipo(PREVENTIVA|COBRANCA|ESCALONAMENTO|FECHAMENTO|RESOLVIDA), destinatario_id, conteudo_hash, enviada_em, template_versao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nunca contém anexo; só links autenticados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pendencia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exigencia_id, aberta_em, prazo, escalonada_em?, resolvida_em?, resolucao(ENTREGA|EXCECAO|CANCELAMENTO)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fecha automaticamente quando a exigência é satisfeita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log_auditoria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ator, papel, acao, objeto_tipo, objeto_id, ip, ocorrido_em, resultado, detalhe(json)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tabela append-only + espelho em log externo; sem UPDATE/DELETE (revogado no banco)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6. Máquinas de estado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6.1 Exigência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542"/>
        <w:gridCol w:w="1542"/>
        <w:gridCol w:w="4433"/>
        <w:gridCol w:w="2120"/>
      </w:tblGrid>
      <w:tr>
        <w:trPr>
          <w:tblHeader/>
        </w:trPr>
        <w:tc>
          <w:tcPr>
            <w:tcW w:type="dxa" w:w="154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</w:t>
            </w:r>
          </w:p>
        </w:tc>
        <w:tc>
          <w:tcPr>
            <w:tcW w:type="dxa" w:w="154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</w:t>
            </w:r>
          </w:p>
        </w:tc>
        <w:tc>
          <w:tcPr>
            <w:tcW w:type="dxa" w:w="4433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Gatilho</w:t>
            </w:r>
          </w:p>
        </w:tc>
        <w:tc>
          <w:tcPr>
            <w:tcW w:type="dxa" w:w="2120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Ator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PENDENTE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Abertura do ciclo (matriz) ou derivação pela folha</w:t>
            </w:r>
          </w:p>
        </w:tc>
        <w:tc>
          <w:tcPr>
            <w:tcW w:type="dxa" w:w="212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PENDENTE</w:t>
            </w:r>
          </w:p>
        </w:tc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RECEBIDO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Documento vinculado com confiança ≥ limiar_auto</w:t>
            </w:r>
          </w:p>
        </w:tc>
        <w:tc>
          <w:tcPr>
            <w:tcW w:type="dxa" w:w="212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PENDENTE</w:t>
            </w:r>
          </w:p>
        </w:tc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EM_TRIAGEM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Documento candidato com limiar_triagem ≤ confiança &lt; limiar_auto</w:t>
            </w:r>
          </w:p>
        </w:tc>
        <w:tc>
          <w:tcPr>
            <w:tcW w:type="dxa" w:w="212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EM_TRIAGEM</w:t>
            </w:r>
          </w:p>
        </w:tc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RECEBIDO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Confirmação humana (gera alias)</w:t>
            </w:r>
          </w:p>
        </w:tc>
        <w:tc>
          <w:tcPr>
            <w:tcW w:type="dxa" w:w="212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Triagem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EM_TRIAGEM</w:t>
            </w:r>
          </w:p>
        </w:tc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PENDENTE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Rejeição do candidato</w:t>
            </w:r>
          </w:p>
        </w:tc>
        <w:tc>
          <w:tcPr>
            <w:tcW w:type="dxa" w:w="212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Triagem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RECEBIDO</w:t>
            </w:r>
          </w:p>
        </w:tc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VALIDADO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Validações unitárias aprovadas (cap. 8.4)</w:t>
            </w:r>
          </w:p>
        </w:tc>
        <w:tc>
          <w:tcPr>
            <w:tcW w:type="dxa" w:w="212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RECEBIDO</w:t>
            </w:r>
          </w:p>
        </w:tc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REJEITADO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Falha unitária (competência, vigência, ilegível, CNPJ)</w:t>
            </w:r>
          </w:p>
        </w:tc>
        <w:tc>
          <w:tcPr>
            <w:tcW w:type="dxa" w:w="212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REJEITADO</w:t>
            </w:r>
          </w:p>
        </w:tc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PENDENTE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Automático: exige nova entrega; pendência permanece aberta</w:t>
            </w:r>
          </w:p>
        </w:tc>
        <w:tc>
          <w:tcPr>
            <w:tcW w:type="dxa" w:w="212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VALIDADO</w:t>
            </w:r>
          </w:p>
        </w:tc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CONCILIADO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Regras de conciliação aplicáveis todas conformes</w:t>
            </w:r>
          </w:p>
        </w:tc>
        <w:tc>
          <w:tcPr>
            <w:tcW w:type="dxa" w:w="212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VALIDADO</w:t>
            </w:r>
          </w:p>
        </w:tc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DIVERGENTE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Alguma regra em modo BLOQUEIO divergente</w:t>
            </w:r>
          </w:p>
        </w:tc>
        <w:tc>
          <w:tcPr>
            <w:tcW w:type="dxa" w:w="212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DIVERGENTE</w:t>
            </w:r>
          </w:p>
        </w:tc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CONCILIADO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Nova entrega/correção reprocessada conforme</w:t>
            </w:r>
          </w:p>
        </w:tc>
        <w:tc>
          <w:tcPr>
            <w:tcW w:type="dxa" w:w="212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PENDENTE|DIVERGENTE</w:t>
            </w:r>
          </w:p>
        </w:tc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DISPENSADO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Exceção aprovada</w:t>
            </w:r>
          </w:p>
        </w:tc>
        <w:tc>
          <w:tcPr>
            <w:tcW w:type="dxa" w:w="212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Aprovador DAF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CONCILIADO</w:t>
            </w:r>
          </w:p>
        </w:tc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PUBLICADO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Inclusão em book publicado</w:t>
            </w:r>
          </w:p>
        </w:tc>
        <w:tc>
          <w:tcPr>
            <w:tcW w:type="dxa" w:w="212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6.2 Ciclo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ABERTO → EM_COLETA → PRONTO (toda exigência bloqueante em PUBLICADO/DISPENSADO — pré-condição para envio da medição ao cliente) → ATESTADO (registro do ateste, dispara o relógio D+3) → FATURADO (NF emitida) → FECHADO. Estados de exceção: BLOQUEADO (divergência bloqueante) e REABERTO (republicação, incrementa versão do book). Transições registradas em log_auditoria com ator e motivo.</w:t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7. Regras de negócio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7.1 Resolução da exigibilidade na abertura do ciclo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1. Carregar regras vigentes na competência (vigencia_ini ≤ competência ≤ vigencia_fim) da versão corrente da matriz.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2. Unir blocos da modalidade do contrato-serviço + regras específicas do contrato; em conflito, a regra de contrato sobrepõe a de modalidade.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3. Materializar exigências: escopo CORPORATIVO gera 1 exigência por CNPJ por competência (compartilhada entre ciclos, satisfeita uma única vez); CONTRATO gera 1 por ciclo; PROFISSIONAL gera 1 por profissional alocado ativo na competência.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4. Gravar versao_matriz_id no ciclo: reprocessamentos usam a versão da época, nunca a atual.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5. Calcular prazo de cada exigência (7.3).</w:t>
      </w:r>
    </w:p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7.2 Derivação de eventos a partir da folha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Executada quando a folha estruturada da competência chega (integração 14.3). Nunca por calendário.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349"/>
        <w:gridCol w:w="3855"/>
        <w:gridCol w:w="4433"/>
      </w:tblGrid>
      <w:tr>
        <w:trPr>
          <w:tblHeader/>
        </w:trPr>
        <w:tc>
          <w:tcPr>
            <w:tcW w:type="dxa" w:w="134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Evento</w:t>
            </w:r>
          </w:p>
        </w:tc>
        <w:tc>
          <w:tcPr>
            <w:tcW w:type="dxa" w:w="3855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 na folha/movimentação</w:t>
            </w:r>
          </w:p>
        </w:tc>
        <w:tc>
          <w:tcPr>
            <w:tcW w:type="dxa" w:w="4433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Exigências instanciadas (por profissional)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13º antecipado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Rubrica de adiantamento de 13º presente na competência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DEC.FOPAG_13, DEC.COMPROVANTE_PG_13 e encargos correspondentes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Férias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Rubrica de férias ou afastamento programado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FER.AVISO, FER.RECIBO, FER.COMPROVANTE_PG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Rescisão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de desligamento na movimentação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RES.AVISO_PREVIO, RES.TRCT, RES.COMPROVANTE_PG, FGT.GUIA_RESCISORIA, FGT.COMPROVANTE_PG_GRRF, RES.ASO_DEMISSIONAL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Admissão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de admissão na competência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ADM.DOCUMENTACAO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Não adesão a VT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Ausência de rubrica de VT para alocado ativo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BEN.TERMO_NAO_ADESAO_VT como alternativa condicional a BEN.RELACAO_VT</w:t>
            </w:r>
          </w:p>
        </w:tc>
      </w:tr>
    </w:tbl>
    <w:p>
      <w:pPr>
        <w:spacing w:after="110" w:before="0" w:line="27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Os códigos de rubrica são cadastro (tabela de-para por sistema de folha), não código-fonte.</w:t>
      </w:r>
    </w:p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7.3 Prazo estruturado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Prazo é um objeto, nunca texto livre: { ancora, tipo_dia, offset, calendario }.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349"/>
        <w:gridCol w:w="3277"/>
        <w:gridCol w:w="5012"/>
      </w:tblGrid>
      <w:tr>
        <w:trPr>
          <w:tblHeader/>
        </w:trPr>
        <w:tc>
          <w:tcPr>
            <w:tcW w:type="dxa" w:w="134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27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Valores</w:t>
            </w:r>
          </w:p>
        </w:tc>
        <w:tc>
          <w:tcPr>
            <w:tcW w:type="dxa" w:w="501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Semântica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ancora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INICIO_COMPETENCIA | ATESTE | SOLICITACAO_FATURAMENTO | EVENTO</w:t>
            </w:r>
          </w:p>
        </w:tc>
        <w:tc>
          <w:tcPr>
            <w:tcW w:type="dxa" w:w="501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Data-base do cômputo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tipo_dia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UTIL | CORRIDO</w:t>
            </w:r>
          </w:p>
        </w:tc>
        <w:tc>
          <w:tcPr>
            <w:tcW w:type="dxa" w:w="501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Dias úteis usam calendario_feriados da UF do contrato</w:t>
            </w:r>
          </w:p>
        </w:tc>
      </w:tr>
      <w:tr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offset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inteiro ≥ 0</w:t>
            </w:r>
          </w:p>
        </w:tc>
        <w:tc>
          <w:tcPr>
            <w:tcW w:type="dxa" w:w="501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Ex.: {INICIO_COMPETENCIA, CORRIDO, 21} = "até o dia 21"; {ATESTE, CORRIDO, 3} = D+3 da política</w:t>
            </w:r>
          </w:p>
        </w:tc>
      </w:tr>
      <w:tr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comportamento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01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Documentos "sob faturamento" usam âncora SOLICITACAO_FATURAMENTO e só entram na régua de cobrança após o evento</w:t>
            </w:r>
          </w:p>
        </w:tc>
      </w:tr>
    </w:tbl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7.4 Defasagem de competência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Atributo do tipo documental, imutável por contrato: M (folha, benefícios, medição, NF); M-1 (FGTS, DCTFWeb, DARF, INSS, IRRF); VIGENCIA_NF (certidões — válidas na data prevista de emissão da NF, recalculada se a emissão atrasar); EVENTO (férias, rescisão, admissão). A validação compara a competência extraída do documento com a exigida após aplicar a defasagem.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7.5 Condicionais e formatos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Condicional "A ou B": exigências com o mesmo condicional_grupo no ciclo são satisfeitas quando qualquer uma do grupo é satisfeita (ex.: BEN.RELACAO_VT ou BEN.TERMO_NAO_ADESAO_VT, por profissional).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Formatos: a exigência lista formatos obrigatórios (ex.: [pdf, xlsx]); satisfação exige todos; validação cruzada de coerência de competência entre formatos do mesmo tipo.</w:t>
      </w:r>
    </w:p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8. Pipeline de ingestão e reconhecimento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8.1 Varredura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Agenda: varredura completa diária (madrugada) + incremental a cada 30 min durante o horário comercial nos ciclos abertos.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Delta por ETag/Last-Modified do WebDAV; arquivo novo ou alterado entra na fila de extração; hash decide se é conteúdo novo.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Recursiva a partir de pasta_origem/AAAA/MM, incluindo subpastas e a raiz do mês (documentos soltos são comuns na base real).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Ignorados com registro: arquivos temporários (~$, .tmp), checklists em planilha, cópias de conflito de sincronização (padrão de nome + hash duplicado) — estas sinalizadas como alerta de organização, nunca publicadas.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Limites: tamanho máximo por arquivo (parâmetro, padrão 50 MB); tipos aceitos pdf, xlsx, xls, csv; verificação antivírus (ICAP/clamd) antes da extração.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8.2 Extração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PDF nativo: texto com posições (camada de layout preservada para auditoria do campo extraído).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PDF sem camada de texto: OCR Tesseract por-BR; resultado marcado ocr=true e destino obrigatório = triagem.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Planilhas: leitura direta de células; identificação por cabeçalhos.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mime_real por assinatura binária; divergência extensão × conteúdo gera rejeição com motivo.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8.3 Classificação determinística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Cada tipo documental tem uma regra_reconhecimento com âncoras (expressões e padrões que devem ocorrer no texto) e campos (padrões de extração com validação de formato). A pontuação é uma soma ponderada declarada na própria regra — auditável e reproduzível: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score = Σ peso(âncora presente) + Σ peso(campo extraído e válido) + bônus(pasta compatível) + bônus(alias no nome do arquivo)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score ≥ limiar_auto (padrão 0,95)  → vínculo automático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limiar_triagem (0,70) ≤ score &lt; limiar_auto → fila de triagem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score &lt; limiar_triagem → arquivo desconhecido (não conta como entrega; aparece no painel de organização)</w:t>
      </w:r>
    </w:p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A confirmação em triagem grava um tipo_alias novo (origem=TRIAGEM) com o padrão do nome do arquivo — o mesmo padrão não volta à fila. Regras e pesos são versionados; a decisão registra a versão usada.</w:t>
      </w:r>
    </w:p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8.4 Validações unitárias (pós-identificação)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578"/>
        <w:gridCol w:w="6361"/>
        <w:gridCol w:w="2699"/>
      </w:tblGrid>
      <w:tr>
        <w:trPr>
          <w:tblHeader/>
        </w:trPr>
        <w:tc>
          <w:tcPr>
            <w:tcW w:type="dxa" w:w="57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6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Validação</w:t>
            </w:r>
          </w:p>
        </w:tc>
        <w:tc>
          <w:tcPr>
            <w:tcW w:type="dxa" w:w="269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Falha gera</w:t>
            </w:r>
          </w:p>
        </w:tc>
      </w:tr>
      <w:tr>
        <w:tc>
          <w:tcPr>
            <w:tcW w:type="dxa" w:w="57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V1</w:t>
            </w:r>
          </w:p>
        </w:tc>
        <w:tc>
          <w:tcPr>
            <w:tcW w:type="dxa" w:w="636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Antivírus limpo, mime_real coerente, tamanho dentro do limite</w:t>
            </w:r>
          </w:p>
        </w:tc>
        <w:tc>
          <w:tcPr>
            <w:tcW w:type="dxa" w:w="269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REJEITADO (segurança)</w:t>
            </w:r>
          </w:p>
        </w:tc>
      </w:tr>
      <w:tr>
        <w:tc>
          <w:tcPr>
            <w:tcW w:type="dxa" w:w="57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V2</w:t>
            </w:r>
          </w:p>
        </w:tc>
        <w:tc>
          <w:tcPr>
            <w:tcW w:type="dxa" w:w="636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Texto legível (mín. de caracteres/página) ou OCR confirmado em triagem</w:t>
            </w:r>
          </w:p>
        </w:tc>
        <w:tc>
          <w:tcPr>
            <w:tcW w:type="dxa" w:w="269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REJEITADO (ilegível)</w:t>
            </w:r>
          </w:p>
        </w:tc>
      </w:tr>
      <w:tr>
        <w:tc>
          <w:tcPr>
            <w:tcW w:type="dxa" w:w="57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V3</w:t>
            </w:r>
          </w:p>
        </w:tc>
        <w:tc>
          <w:tcPr>
            <w:tcW w:type="dxa" w:w="636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 extraído = CNPJ da empresa (bloco corporativo) ou do cliente quando aplicável</w:t>
            </w:r>
          </w:p>
        </w:tc>
        <w:tc>
          <w:tcPr>
            <w:tcW w:type="dxa" w:w="269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REJEITADO (titularidade)</w:t>
            </w:r>
          </w:p>
        </w:tc>
      </w:tr>
      <w:tr>
        <w:tc>
          <w:tcPr>
            <w:tcW w:type="dxa" w:w="57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V4</w:t>
            </w:r>
          </w:p>
        </w:tc>
        <w:tc>
          <w:tcPr>
            <w:tcW w:type="dxa" w:w="636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Competência extraída = competência exigida após defasagem (7.4)</w:t>
            </w:r>
          </w:p>
        </w:tc>
        <w:tc>
          <w:tcPr>
            <w:tcW w:type="dxa" w:w="269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REJEITADO (competência)</w:t>
            </w:r>
          </w:p>
        </w:tc>
      </w:tr>
      <w:tr>
        <w:tc>
          <w:tcPr>
            <w:tcW w:type="dxa" w:w="57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V5</w:t>
            </w:r>
          </w:p>
        </w:tc>
        <w:tc>
          <w:tcPr>
            <w:tcW w:type="dxa" w:w="636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Certidões: validade ≥ data prevista da NF; natureza ∈ {negativa, positiva c/ efeito de negativa}</w:t>
            </w:r>
          </w:p>
        </w:tc>
        <w:tc>
          <w:tcPr>
            <w:tcW w:type="dxa" w:w="269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REJEITADO (vigência)</w:t>
            </w:r>
          </w:p>
        </w:tc>
      </w:tr>
      <w:tr>
        <w:tc>
          <w:tcPr>
            <w:tcW w:type="dxa" w:w="57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V6</w:t>
            </w:r>
          </w:p>
        </w:tc>
        <w:tc>
          <w:tcPr>
            <w:tcW w:type="dxa" w:w="636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Todos os formatos exigidos presentes e coerentes entre si</w:t>
            </w:r>
          </w:p>
        </w:tc>
        <w:tc>
          <w:tcPr>
            <w:tcW w:type="dxa" w:w="269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exigência permanece parcial (formatos_pendentes)</w:t>
            </w:r>
          </w:p>
        </w:tc>
      </w:tr>
      <w:tr>
        <w:tc>
          <w:tcPr>
            <w:tcW w:type="dxa" w:w="57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V7</w:t>
            </w:r>
          </w:p>
        </w:tc>
        <w:tc>
          <w:tcPr>
            <w:tcW w:type="dxa" w:w="636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 inédito para a exigência (evita contar duas vezes o mesmo arquivo renomeado)</w:t>
            </w:r>
          </w:p>
        </w:tc>
        <w:tc>
          <w:tcPr>
            <w:tcW w:type="dxa" w:w="269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ignorado com registro</w:t>
            </w:r>
          </w:p>
        </w:tc>
      </w:tr>
    </w:tbl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8.5 Regras de reconhecimento — carga inicial (bloco corporativo)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Especificação por tipo no Anexo 1 (aba CATALOGO_DOCUMENTOS) complementada abaixo com os campos de extração. Padrões ilustrativos; os definitivos são cadastro.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Âncoras (todas de peso alto)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 extraídos e formato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CER.CND_RFB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Título da certidão de créditos tributários federais e dívida ativa; código de controle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 (##.###.###/####-##), emissao (data), validade (data), codigo_controle, natureza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CER.CRF_FGTS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Título "Certificado de Regularidade do FGTS"; número do certificado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inscricao, validade_ini, validade_fim, numero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CER.CNDT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Título da certidão de débitos trabalhistas; número/expedição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cnpj, numero, validade, natureza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CER.SICAF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Cabeçalho do relatório de situação do fornecedor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cnpj, data_consulta, situacao_niveis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CER.CND_ESTADUAL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Emissor fazendário estadual/distrital + número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cnpj, validade, natureza, uf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CER.CND_CIVEL_CRIMINAL / CER.CND_FALENCIA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Distribuidor judicial + tipo de distribuição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cnpj/razão, emissao, validade (ou prazo do edital)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INS.DCTFWEB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Recibo de transmissão + período de apuração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cnpj, competencia (MM/AAAA), numero_recibo, valor_total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INS.DARF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Código de receita + período de apuração + nº documento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competencia, valor, vencimento, codigo_barras/nosso_numero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FGT.GUIA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Identificação da guia FGTS Digital + competência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competencia, valor, identificador, vencimento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FGT.EXTRATO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Cabeçalho de extrato analítico por trabalhador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competencia, lista {cpf_mascarado, valor} para cobertura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Comprovante bancário (pareável)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 âncora fixa — identificado pelo pareamento: valor + data + identificador da obrigação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valor, data_pagamento, identificador, autenticacao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9. Conciliação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Regra sem tolerância cadastrada opera em modo ALERTA (nunca bloqueia). Resultado sempre gravado com os valores comparados e o delta.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675"/>
        <w:gridCol w:w="771"/>
        <w:gridCol w:w="5879"/>
        <w:gridCol w:w="2313"/>
      </w:tblGrid>
      <w:tr>
        <w:trPr>
          <w:tblHeader/>
        </w:trPr>
        <w:tc>
          <w:tcPr>
            <w:tcW w:type="dxa" w:w="675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7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587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Lógica (pseudocódigo)</w:t>
            </w:r>
          </w:p>
        </w:tc>
        <w:tc>
          <w:tcPr>
            <w:tcW w:type="dxa" w:w="2313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Tolerância padrão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R01</w:t>
            </w:r>
          </w:p>
        </w:tc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1a</w:t>
            </w:r>
          </w:p>
        </w:tc>
        <w:tc>
          <w:tcPr>
            <w:tcW w:type="dxa" w:w="587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 cada FGT.GUIA validada: existe comprovante com |valor_c − valor_g| ≤ tol e identificador igual (ou data_pgto ≤ vencimento+carencia)? conforme : divergente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± R$ 0,01; carência 0 dias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R02</w:t>
            </w:r>
          </w:p>
        </w:tc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1a</w:t>
            </w:r>
          </w:p>
        </w:tc>
        <w:tc>
          <w:tcPr>
            <w:tcW w:type="dxa" w:w="587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DCTFWeb.valor_total = Σ DARF.valor vinculados; cada DARF tem comprovante pareado (regra R01)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± R$ 0,01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R03</w:t>
            </w:r>
          </w:p>
        </w:tc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1a</w:t>
            </w:r>
          </w:p>
        </w:tc>
        <w:tc>
          <w:tcPr>
            <w:tcW w:type="dxa" w:w="587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 cada CER.*: validade ≥ data_prevista_NF(ciclo)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dias (parâmetro)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R04</w:t>
            </w:r>
          </w:p>
        </w:tc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1a</w:t>
            </w:r>
          </w:p>
        </w:tc>
        <w:tc>
          <w:tcPr>
            <w:tcW w:type="dxa" w:w="587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formatos_pendentes = ∅ e competência igual entre formatos do mesmo tipo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R05</w:t>
            </w:r>
          </w:p>
        </w:tc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1b</w:t>
            </w:r>
          </w:p>
        </w:tc>
        <w:tc>
          <w:tcPr>
            <w:tcW w:type="dxa" w:w="587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conjunto(matriculas em OPE.RELACAO_ALOCADOS) ⊆ conjunto(matriculas na folha) e cada uma tem FOL.CONTRACHEQUE vinculado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exceções: admitidos/desligados no mês (janela pró-rata)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R06</w:t>
            </w:r>
          </w:p>
        </w:tc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1b</w:t>
            </w:r>
          </w:p>
        </w:tc>
        <w:tc>
          <w:tcPr>
            <w:tcW w:type="dxa" w:w="587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todo evento derivado (7.2) tem seu conjunto documental completo até o prazo do evento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ASO demissional: +10 dias corridos (parâmetro)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R07</w:t>
            </w:r>
          </w:p>
        </w:tc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7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beneficiários(BEN.RELACAO_PLANO_SAUDE) ≡ matrículas com rubrica de desconto na folha; comprovante pareado com fatura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dependentes e coparticipação: regra de rateio cadastrada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R08</w:t>
            </w:r>
          </w:p>
        </w:tc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7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idem para VA/VR e VT, aceitando condicional de não adesão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pró-rata de dias úteis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R09</w:t>
            </w:r>
          </w:p>
        </w:tc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7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Σ base_fgts(folha) × alíquota ≈ FGT.GUIA.valor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± 0,5% (rescisões apartadas)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R10</w:t>
            </w:r>
          </w:p>
        </w:tc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7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Σ bases(folha) ≈ DCTFWEB.valor_total por grupo de receita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± 0,5%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R11</w:t>
            </w:r>
          </w:p>
        </w:tc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7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CPFs do FGT.EXTRATO ⊇ matrículas alocadas ativas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desligados no mês M-1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R12</w:t>
            </w:r>
          </w:p>
        </w:tc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7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valor(OPE.PLANILHA_MEDICAO) ≤ saldo(OPE.EMPENHO) e = valor da NF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± R$ 0,01</w:t>
            </w:r>
          </w:p>
        </w:tc>
      </w:tr>
    </w:tbl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10. Publicação do book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Pré-condição: ciclo em PRONTO (toda exigência bloqueante PUBLICÁVEL: CONCILIADO ou DISPENSADO). Publicação manual pelo Curador ou automática ao atingir PRONTO (parâmetro por contrato).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Estrutura no bucket: books/{contrato}/{AAAA-MM}/v{N}/NN_TIPO_COMPETENCIA.pdf + _indice.pdf + _manifesto.json. Numeração sequencial sem lacunas, ordenada por família.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Tarjamento: tipos com sigilo PESSOAL/PESSOAL_SENSIVEL passam pelo redator (máscara de CPF e dados não exigíveis) antes da cópia para o book do cliente; o original íntegro permanece no repositório interno com acesso restrito e logado.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Imutabilidade: bucket com object lock em modo compliance pela duração da retenção; republicação cria v{N+1}; nenhuma versão é alterada ou removida fora do expurgo formal.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O índice (_indice.pdf) traz contrato, competência, versão, relação de peças com páginas e o hash do conjunto — é a folha de rosto entregue ao cliente.</w:t>
      </w:r>
    </w:p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10" w:before="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Exemplo de _manifesto.json: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"contrato": "CAIXA-09705.2025", "competencia": "2026-04", "versao": 2,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"publicado_em": "2026-04-10T14:22:31-03:00", "publicado_por": "svc-sgdf-publica",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"ciclo_id": "…", "versao_matriz": "1.3", "hash_conjunto_sha256": "9f31c2…",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"pecas": [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  {"seq":1, "tipo":"CER.CND_RFB", "arquivo":"01_CER.CND_RFB_2026-04.pdf",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   "hash_sha256":"4c17…", "origem":"owncloud://CAIXA - 09705.2025/2026/04/13 - CERTIDÃO…pdf",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   "validado_em":"2026-04-08T09:12:04-03:00", "tarjado": false }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4F3F0" w:val="clear"/>
        <w:spacing w:after="0" w:line="235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11. Notificações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11.1 Régua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928"/>
        <w:gridCol w:w="5012"/>
        <w:gridCol w:w="2699"/>
      </w:tblGrid>
      <w:tr>
        <w:trPr>
          <w:tblHeader/>
        </w:trPr>
        <w:tc>
          <w:tcPr>
            <w:tcW w:type="dxa" w:w="192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501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Mensagem</w:t>
            </w:r>
          </w:p>
        </w:tc>
        <w:tc>
          <w:tcPr>
            <w:tcW w:type="dxa" w:w="269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Destinatário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D-2 do prazo da exigência</w:t>
            </w:r>
          </w:p>
        </w:tc>
        <w:tc>
          <w:tcPr>
            <w:tcW w:type="dxa" w:w="501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Preventiva consolidada (1 por área/ciclo): o que vence em 48 h</w:t>
            </w:r>
          </w:p>
        </w:tc>
        <w:tc>
          <w:tcPr>
            <w:tcW w:type="dxa" w:w="269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Titular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D+0</w:t>
            </w:r>
          </w:p>
        </w:tc>
        <w:tc>
          <w:tcPr>
            <w:tcW w:type="dxa" w:w="501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Cobrança consolidada: pendências vencidas, com prazo e link</w:t>
            </w:r>
          </w:p>
        </w:tc>
        <w:tc>
          <w:tcPr>
            <w:tcW w:type="dxa" w:w="269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Titular + substituto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D+2</w:t>
            </w:r>
          </w:p>
        </w:tc>
        <w:tc>
          <w:tcPr>
            <w:tcW w:type="dxa" w:w="501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Escalonamento nível 1</w:t>
            </w:r>
          </w:p>
        </w:tc>
        <w:tc>
          <w:tcPr>
            <w:tcW w:type="dxa" w:w="269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Gestor da área, cópia ao titular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D+5</w:t>
            </w:r>
          </w:p>
        </w:tc>
        <w:tc>
          <w:tcPr>
            <w:tcW w:type="dxa" w:w="501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Escalonamento nível 2</w:t>
            </w:r>
          </w:p>
        </w:tc>
        <w:tc>
          <w:tcPr>
            <w:tcW w:type="dxa" w:w="269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DAF, cópia ao gestor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Entrega detectada</w:t>
            </w:r>
          </w:p>
        </w:tc>
        <w:tc>
          <w:tcPr>
            <w:tcW w:type="dxa" w:w="501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"Resolvido" — fecha a pendência com registro</w:t>
            </w:r>
          </w:p>
        </w:tc>
        <w:tc>
          <w:tcPr>
            <w:tcW w:type="dxa" w:w="269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Quem foi cobrado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Ciclo PRONTO</w:t>
            </w:r>
          </w:p>
        </w:tc>
        <w:tc>
          <w:tcPr>
            <w:tcW w:type="dxa" w:w="501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Fechamento com dados de desempenho (modelo aprovado em reunião de 03/09) e rodapé obrigatório de não-substituição do ateste</w:t>
            </w:r>
          </w:p>
        </w:tc>
        <w:tc>
          <w:tcPr>
            <w:tcW w:type="dxa" w:w="269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Áreas do ciclo, cópia gestor regional e DAF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11.2 Regras fixas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Máximo 1 e-mail por área por ciclo por dia (consolidação forçada).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Nunca anexar documento; somente link autenticado com expiração e log de acesso.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Destinatário nominal resolvido por (contrato × família documental), com substituto.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Templates versionados no cadastro; o hash do conteúdo enviado fica em notificacao.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Modo sombra suprime todo envio e grava o que teria sido enviado, para calibragem.</w:t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12. Interface de usuário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Referência visual e de interação: Anexo 2 (SGDF_Layout_Prototipo.html), navegável, com os tokens declarados como variáveis CSS. Resumo normativo: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542"/>
        <w:gridCol w:w="4626"/>
        <w:gridCol w:w="3470"/>
      </w:tblGrid>
      <w:tr>
        <w:trPr>
          <w:tblHeader/>
        </w:trPr>
        <w:tc>
          <w:tcPr>
            <w:tcW w:type="dxa" w:w="154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Tela</w:t>
            </w:r>
          </w:p>
        </w:tc>
        <w:tc>
          <w:tcPr>
            <w:tcW w:type="dxa" w:w="4626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 obrigatório</w:t>
            </w:r>
          </w:p>
        </w:tc>
        <w:tc>
          <w:tcPr>
            <w:tcW w:type="dxa" w:w="3470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 de interação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Painel da competência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Faixa de indicadores; bloco corporativo (estado dos 12 tipos por CNPJ); razão de ciclos com barra segmentada por família</w:t>
            </w:r>
          </w:p>
        </w:tc>
        <w:tc>
          <w:tcPr>
            <w:tcW w:type="dxa" w:w="347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Seleção de competência global; clique no ciclo abre o detalhe; legenda fixa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Ciclo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Exigências agrupadas por família com estado; linha expansível mostrando pareamento e motivo da decisão; trilho lateral com resumo, eventos derivados, versões do book</w:t>
            </w:r>
          </w:p>
        </w:tc>
        <w:tc>
          <w:tcPr>
            <w:tcW w:type="dxa" w:w="347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Publicar book desabilitado exibe o motivo por extenso; cobrança manual disponível; nada é editável aqui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Triagem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Fila com sugestão + confiança + motivo de estar em triagem; detalhe com campos extraídos, pré-visualização e ações</w:t>
            </w:r>
          </w:p>
        </w:tc>
        <w:tc>
          <w:tcPr>
            <w:tcW w:type="dxa" w:w="347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Confirmar registra alias e informa; reclassificar exige escolher tipo; ilegível devolve a PENDENTE com motivo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Matriz de exigibilidade</w:t>
            </w:r>
          </w:p>
        </w:tc>
        <w:tc>
          <w:tcPr>
            <w:tcW w:type="dxa" w:w="4626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Abas por bloco; versão vigente; regras com criticidade, prazos e responsáveis; histórico de versões</w:t>
            </w:r>
          </w:p>
        </w:tc>
        <w:tc>
          <w:tcPr>
            <w:tcW w:type="dxa" w:w="347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Alteração cria rascunho → publicação gera nova versão; bloqueante pede aprovação DAF; aviso fixo: alterações não travam o faturamento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Books publicados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Versões, peças, hash, publicador</w:t>
            </w:r>
          </w:p>
        </w:tc>
        <w:tc>
          <w:tcPr>
            <w:tcW w:type="dxa" w:w="347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Somente leitura; download logado</w:t>
            </w:r>
          </w:p>
        </w:tc>
      </w:tr>
    </w:tbl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12.1 Tokens de design (identidade Engesoftware)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327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81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brand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#E87605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Ação primária, item ativo, marcas gráficas (medido do logotipo oficial)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brand-ink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#9A4E00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Texto e links laranja sobre branco (contraste AA; nunca usar #E87605 em texto corrido)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ink / ink-2 / ink-3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#26211A / #645C4F / #8B8375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Texto primário, secundário, apoio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paper / surface / line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#F4F3F0 / #FFFFFF / #E5E1D9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Fundo da aplicação, superfícies, divisores</w:t>
            </w:r>
          </w:p>
        </w:tc>
      </w:tr>
      <w:tr>
        <w:tc>
          <w:tcPr>
            <w:tcW w:type="dxa" w:w="1542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estados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 #1E7F4F · triagem #2258C4 · divergente #C2362B · pendente #6B7280 · dispensa #7854C8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Chips e barras; nunca comunicar estado apenas por cor (sempre com rótulo)</w:t>
            </w:r>
          </w:p>
        </w:tc>
      </w:tr>
      <w:tr>
        <w:tc>
          <w:tcPr>
            <w:tcW w:type="dxa" w:w="1542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tipografia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IBM Plex Sans (400–700); IBM Plex Mono para códigos, competências e hashes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Fontes hospedadas localmente em produção (ambiente sem internet)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13. API interna (contratos principais)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REST/JSON, versionada em /api/v1, autenticação por sessão OIDC (UI) e client-credentials (workers). Autorização por papel + escopo de contrato avaliada no servidor em todo endpoint. Paginação por cursor; erros no formato problem+json com código estável.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2891"/>
        <w:gridCol w:w="1349"/>
        <w:gridCol w:w="5397"/>
      </w:tblGrid>
      <w:tr>
        <w:trPr>
          <w:tblHeader/>
        </w:trPr>
        <w:tc>
          <w:tcPr>
            <w:tcW w:type="dxa" w:w="289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34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Métodos</w:t>
            </w:r>
          </w:p>
        </w:tc>
        <w:tc>
          <w:tcPr>
            <w:tcW w:type="dxa" w:w="539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Função / observações</w:t>
            </w:r>
          </w:p>
        </w:tc>
      </w:tr>
      <w:tr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/contratos · /contratos/{id}</w:t>
            </w:r>
          </w:p>
        </w:tc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POST PATCH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Cadastro de contrato-serviço; PATCH nunca apaga histórico</w:t>
            </w:r>
          </w:p>
        </w:tc>
      </w:tr>
      <w:tr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/matriz/tipos · /matriz/regras · /matriz/versoes</w:t>
            </w:r>
          </w:p>
        </w:tc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POST PATCH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Rascunho → POST /matriz/versoes publica; criticidade bloqueante exige papel APROVADOR_DAF</w:t>
            </w:r>
          </w:p>
        </w:tc>
      </w:tr>
      <w:tr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/ciclos?competencia=&amp;status=</w:t>
            </w:r>
          </w:p>
        </w:tc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Painel; inclui agregados por família</w:t>
            </w:r>
          </w:p>
        </w:tc>
      </w:tr>
      <w:tr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/ciclos/{id}</w:t>
            </w:r>
          </w:p>
        </w:tc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Detalhe com exigências, conciliações, books</w:t>
            </w:r>
          </w:p>
        </w:tc>
      </w:tr>
      <w:tr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/ciclos/{id}/ateste</w:t>
            </w:r>
          </w:p>
        </w:tc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Registra ateste {data, forma, documento_id} — marco do D+3; papel Gestor do Contrato</w:t>
            </w:r>
          </w:p>
        </w:tc>
      </w:tr>
      <w:tr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/ciclos/{id}/book</w:t>
            </w:r>
          </w:p>
        </w:tc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Publica nova versão; valida pré-condição PRONTO; 409 com motivo se bloqueado</w:t>
            </w:r>
          </w:p>
        </w:tc>
      </w:tr>
      <w:tr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/ciclos/{id}/notificar</w:t>
            </w:r>
          </w:p>
        </w:tc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Cobrança manual consolidada; respeita a regra de 1/dia</w:t>
            </w:r>
          </w:p>
        </w:tc>
      </w:tr>
      <w:tr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/exigencias/{id}/excecao</w:t>
            </w:r>
          </w:p>
        </w:tc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Solicita dispensa; aprovação em /excecoes/{id}/aprovar (SoD: aprovador ≠ solicitante)</w:t>
            </w:r>
          </w:p>
        </w:tc>
      </w:tr>
      <w:tr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/triagem · /triagem/{id}/confirmar|reclassificar|ilegivel</w:t>
            </w:r>
          </w:p>
        </w:tc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POST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Fila e decisões; confirmar grava alias</w:t>
            </w:r>
          </w:p>
        </w:tc>
      </w:tr>
      <w:tr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/documentos/{id} · /documentos/{id}/conteudo</w:t>
            </w:r>
          </w:p>
        </w:tc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Metadados; conteúdo via URL assinada de curta duração (bucket), acesso logado</w:t>
            </w:r>
          </w:p>
        </w:tc>
      </w:tr>
      <w:tr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/books/{id}/indice</w:t>
            </w:r>
          </w:p>
        </w:tc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Índice e manifesto</w:t>
            </w:r>
          </w:p>
        </w:tc>
      </w:tr>
      <w:tr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/auditoria?objeto=&amp;ator=&amp;periodo=</w:t>
            </w:r>
          </w:p>
        </w:tc>
        <w:tc>
          <w:tcPr>
            <w:tcW w:type="dxa" w:w="134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Papel Auditoria; exportação CSV</w:t>
            </w:r>
          </w:p>
        </w:tc>
      </w:tr>
      <w:tr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/webhooks/varredura</w:t>
            </w:r>
          </w:p>
        </w:tc>
        <w:tc>
          <w:tcPr>
            <w:tcW w:type="dxa" w:w="134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interno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Gatilho de varredura incremental (workers)</w:t>
            </w:r>
          </w:p>
        </w:tc>
      </w:tr>
    </w:tbl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14. Integrações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14.1 OwnCloud (origem principal)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Protocolo WebDAV: PROPFIND para listagem com ETag; GET para download; conta svc-sgdf-leitura somente-leitura.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Escopo: raiz de faturamento declarada por contrato (pasta_origem). Fora dela, nada é lido.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Resiliência: retry exponencial; indisponibilidade gera alerta de operação, nunca perda (fila persiste).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14.2 Jira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REST API: busca por JQL parametrizada por contrato; anexos das issues do processo de faturamento.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Jira é fonte complementar: quando o mesmo tipo existir nas duas origens, o repositório-mestre do tipo (cadastro) decide qual é a evidência — pendência A09.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14.3 Folha de pagamento (habilita a fase 1b)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Contrato de dados mínimo, por competência: {matricula, cpf, contrato/centro_custo, rubrica, tipo_rubrica, valor, base_fgts, base_inss, evento_data?}.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Meio de entrega em ordem de preferência: API do sistema de folha → exportação agendada (CSV/posicional) em diretório monitorado → eventos eSocial (S-1200/S-1210/S-2299) como alternativa.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Dados de folha não são exibidos na UI além do necessário à conciliação; CPF cifrado, valores agregados quando possível.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Pendência A05: fornecedor/sistema e layout a confirmar — bloqueia o início da 1b, não da 1a.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14.4 E-mail e identidade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SMTP relay interno com remetente dedicado (faturamento-sgdf@); SPF/DKIM internos conforme padrão da casa.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OIDC contra o IdP corporativo; grupos do diretório mapeados a papéis; MFA exigido nos papéis com acesso a documento de escopo profissional.</w:t>
      </w:r>
    </w:p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15. Segurança e conformidade (requisitos de implementação)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15.1 Autorização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735"/>
        <w:gridCol w:w="4433"/>
        <w:gridCol w:w="3470"/>
      </w:tblGrid>
      <w:tr>
        <w:trPr>
          <w:tblHeader/>
        </w:trPr>
        <w:tc>
          <w:tcPr>
            <w:tcW w:type="dxa" w:w="1735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4433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Pode</w:t>
            </w:r>
          </w:p>
        </w:tc>
        <w:tc>
          <w:tcPr>
            <w:tcW w:type="dxa" w:w="3470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Não pode</w:t>
            </w:r>
          </w:p>
        </w:tc>
      </w:tr>
      <w:tr>
        <w:tc>
          <w:tcPr>
            <w:tcW w:type="dxa" w:w="173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ADMIN_SISTEMA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Configuração técnica, regras de reconhecimento, integrações, parâmetros</w:t>
            </w:r>
          </w:p>
        </w:tc>
        <w:tc>
          <w:tcPr>
            <w:tcW w:type="dxa" w:w="347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 conteúdo de documentos de escopo profissional; aprovar exceção</w:t>
            </w:r>
          </w:p>
        </w:tc>
      </w:tr>
      <w:tr>
        <w:tc>
          <w:tcPr>
            <w:tcW w:type="dxa" w:w="173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CURADOR_MATRIZ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Cadastro de contratos/regras; publicar versão da matriz; publicar e enviar book</w:t>
            </w:r>
          </w:p>
        </w:tc>
        <w:tc>
          <w:tcPr>
            <w:tcW w:type="dxa" w:w="347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Aprovar exceção; alterar criticidade bloqueante sem aprovação</w:t>
            </w:r>
          </w:p>
        </w:tc>
      </w:tr>
      <w:tr>
        <w:tc>
          <w:tcPr>
            <w:tcW w:type="dxa" w:w="173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PUBLICADOR_AP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 e acompanhar exigências trabalhistas dos seus contratos; triagem desses tipos</w:t>
            </w:r>
          </w:p>
        </w:tc>
        <w:tc>
          <w:tcPr>
            <w:tcW w:type="dxa" w:w="347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Acessar contratos fora do seu escopo; documentos fiscais</w:t>
            </w:r>
          </w:p>
        </w:tc>
      </w:tr>
      <w:tr>
        <w:tc>
          <w:tcPr>
            <w:tcW w:type="dxa" w:w="173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PUBLICADOR_FIN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Idem para tipos fiscais e comprovantes</w:t>
            </w:r>
          </w:p>
        </w:tc>
        <w:tc>
          <w:tcPr>
            <w:tcW w:type="dxa" w:w="347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Documentos de escopo profissional fora da conciliação</w:t>
            </w:r>
          </w:p>
        </w:tc>
      </w:tr>
      <w:tr>
        <w:tc>
          <w:tcPr>
            <w:tcW w:type="dxa" w:w="173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GESTOR_CONTRATO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Registrar ateste; acompanhar seu ciclo; depositar documentos técnicos</w:t>
            </w:r>
          </w:p>
        </w:tc>
        <w:tc>
          <w:tcPr>
            <w:tcW w:type="dxa" w:w="347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 dados pessoais além do agregado</w:t>
            </w:r>
          </w:p>
        </w:tc>
      </w:tr>
      <w:tr>
        <w:tc>
          <w:tcPr>
            <w:tcW w:type="dxa" w:w="173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APROVADOR_DAF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Aprovar exceções e criticidade; visão global</w:t>
            </w:r>
          </w:p>
        </w:tc>
        <w:tc>
          <w:tcPr>
            <w:tcW w:type="dxa" w:w="347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Aprovar exceção que ele mesmo solicitou (SoD imposta no serviço)</w:t>
            </w:r>
          </w:p>
        </w:tc>
      </w:tr>
      <w:tr>
        <w:tc>
          <w:tcPr>
            <w:tcW w:type="dxa" w:w="173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AUDITORIA</w:t>
            </w:r>
          </w:p>
        </w:tc>
        <w:tc>
          <w:tcPr>
            <w:tcW w:type="dxa" w:w="443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Leitura global + trilha + exportações</w:t>
            </w:r>
          </w:p>
        </w:tc>
        <w:tc>
          <w:tcPr>
            <w:tcW w:type="dxa" w:w="347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Qualquer escrita</w:t>
            </w:r>
          </w:p>
        </w:tc>
      </w:tr>
      <w:tr>
        <w:tc>
          <w:tcPr>
            <w:tcW w:type="dxa" w:w="173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svc-sgdf-leitura / svc-sgdf-publica</w:t>
            </w:r>
          </w:p>
        </w:tc>
        <w:tc>
          <w:tcPr>
            <w:tcW w:type="dxa" w:w="443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Ler origens / escrever no bucket de evidências</w:t>
            </w:r>
          </w:p>
        </w:tc>
        <w:tc>
          <w:tcPr>
            <w:tcW w:type="dxa" w:w="347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Qualquer outra operação; login interativo negado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15.2 Requisitos verificáveis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964"/>
        <w:gridCol w:w="5397"/>
        <w:gridCol w:w="3277"/>
      </w:tblGrid>
      <w:tr>
        <w:trPr>
          <w:tblHeader/>
        </w:trPr>
        <w:tc>
          <w:tcPr>
            <w:tcW w:type="dxa" w:w="964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</w:t>
            </w:r>
          </w:p>
        </w:tc>
        <w:tc>
          <w:tcPr>
            <w:tcW w:type="dxa" w:w="539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Implementação exigida</w:t>
            </w:r>
          </w:p>
        </w:tc>
        <w:tc>
          <w:tcPr>
            <w:tcW w:type="dxa" w:w="327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Verificação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SEC-01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OWASP ASVS nível 2 como baseline; Top 10 e API Top 10 cobertos em revisão de código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Checklist ASVS preenchido por release</w:t>
            </w:r>
          </w:p>
        </w:tc>
      </w:tr>
      <w:tr>
        <w:tc>
          <w:tcPr>
            <w:tcW w:type="dxa" w:w="964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SEC-02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CPF cifrado (AES-256-GCM, chave no cofre, rotação anual); exibição sempre mascarada (***.***.***-NN)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Teste automatizado de mascaramento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SEC-03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log_auditoria sem UPDATE/DELETE (permissão revogada no banco) + espelho em log externo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Tentativa de alteração falha em teste</w:t>
            </w:r>
          </w:p>
        </w:tc>
      </w:tr>
      <w:tr>
        <w:tc>
          <w:tcPr>
            <w:tcW w:type="dxa" w:w="964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SEC-04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URLs de conteúdo assinadas, expiração ≤ 15 min, acesso registrado com ator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confere ator × documento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SEC-05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Uploads e varredura passam por antivírus e validação de mime_real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Arquivo EICAR rejeitado</w:t>
            </w:r>
          </w:p>
        </w:tc>
      </w:tr>
      <w:tr>
        <w:tc>
          <w:tcPr>
            <w:tcW w:type="dxa" w:w="964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SEC-06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limiting e lockout progressivo na API; sessões com timeout de inatividade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Teste de força bruta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SEC-07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Dependências com SCA no pipeline; imagem base fixada e escaneada; sem vulnerabilidade crítica/alta aberta em release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no CI</w:t>
            </w:r>
          </w:p>
        </w:tc>
      </w:tr>
      <w:tr>
        <w:tc>
          <w:tcPr>
            <w:tcW w:type="dxa" w:w="964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SEC-08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Backups: banco (PITR) e bucket (replicação para segundo destino + cópia imutável); teste de restauração trimestral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Relatório de teste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SEC-09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RTO 8 h / RPO 4 h fora do fechamento; runbook de DR documentado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Simulação anual</w:t>
            </w:r>
          </w:p>
        </w:tc>
      </w:tr>
      <w:tr>
        <w:tc>
          <w:tcPr>
            <w:tcW w:type="dxa" w:w="964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SEC-10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Recertificação trimestral de acessos por contrato, com relatório para a DAF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de relatório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LGPD-01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Inventário de dados pessoais e RIPD aprovados antes da produção (pendência A12)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Documento assinado</w:t>
            </w:r>
          </w:p>
        </w:tc>
      </w:tr>
      <w:tr>
        <w:tc>
          <w:tcPr>
            <w:tcW w:type="dxa" w:w="964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LGPD-02</w:t>
            </w:r>
          </w:p>
        </w:tc>
        <w:tc>
          <w:tcPr>
            <w:tcW w:type="dxa" w:w="539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Retenção por tabela de temporalidade com expurgo agendado e registrado (pendência A08)</w:t>
            </w:r>
          </w:p>
        </w:tc>
        <w:tc>
          <w:tcPr>
            <w:tcW w:type="dxa" w:w="327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de expurgo</w:t>
            </w:r>
          </w:p>
        </w:tc>
      </w:tr>
      <w:tr>
        <w:tc>
          <w:tcPr>
            <w:tcW w:type="dxa" w:w="964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LGPD-03</w:t>
            </w:r>
          </w:p>
        </w:tc>
        <w:tc>
          <w:tcPr>
            <w:tcW w:type="dxa" w:w="539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Tarjamento aplicado a todo tipo PESSOAL/PESSOAL_SENSIVEL no book do cliente; revisão por amostragem mensal (n≥5)</w:t>
            </w:r>
          </w:p>
        </w:tc>
        <w:tc>
          <w:tcPr>
            <w:tcW w:type="dxa" w:w="327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Checklist mensal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16. Requisitos não funcionais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7710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Volumetria de referência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±15 contratos-serviço ativos; ±890 profissionais; estimativa 2.500–4.500 arquivos/mês (1–2 GB/mês); dimensionar armazenamento para 5 anos com folga de 3×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Desempenho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Varredura incremental de um contrato ≤ 5 min; classificação de um PDF nativo ≤ 3 s; painel da competência ≤ 2 s com 15 ciclos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Janela crítica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 1º ao 10º dia útil o sistema está em período de fechamento: congelamento de mudanças (integração com o processo de mudanças ITIL) e prioridade máxima de suporte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Disponibilidade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99% em horário comercial; degradação aceitável: fila acumula e recupera sem perda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Compatibilidade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UI: navegadores corporativos suportados (Chrome/Edge atuais); responsiva até 1024 px; sem dependência de internet (fontes e bibliotecas locais)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Acessibilidade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Foco visível, navegação por teclado nas filas e tabelas, contraste AA, estado nunca comunicado apenas por cor</w:t>
            </w:r>
          </w:p>
        </w:tc>
      </w:tr>
      <w:tr>
        <w:tc>
          <w:tcPr>
            <w:tcW w:type="dxa" w:w="192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Idioma e formatos</w:t>
            </w:r>
          </w:p>
        </w:tc>
        <w:tc>
          <w:tcPr>
            <w:tcW w:type="dxa" w:w="7710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pt-BR; datas dd/mm/aaaa na UI e ISO-8601 na API; moeda R$ com duas casas; competência AAAA-MM</w:t>
            </w:r>
          </w:p>
        </w:tc>
      </w:tr>
      <w:tr>
        <w:tc>
          <w:tcPr>
            <w:tcW w:type="dxa" w:w="192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Auditabilidade</w:t>
            </w:r>
          </w:p>
        </w:tc>
        <w:tc>
          <w:tcPr>
            <w:tcW w:type="dxa" w:w="7710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Qualquer decisão automática reproduzível a partir de: documento (hash) + versão da regra + versão da matriz</w:t>
            </w:r>
          </w:p>
        </w:tc>
      </w:tr>
    </w:tbl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17. Ambientes e pipeline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Ambientes: DEV → HML (com cópia mascarada de dados; nunca dados pessoais reais) → PRD. Modo sombra é um estado da PRD, não um ambiente.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Pipeline por merge request: build + testes unitários (cobertura mínima 70% nos módulos de regra) + SAST + SCA + lint; DAST na HML a cada release.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Gate de release: zero vulnerabilidade crítica/alta aberta; checklist ASVS do release; aprovação de mudança fora da janela crítica.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Migrations de banco versionadas e reversíveis; seed da carga inicial (catálogo + matriz do Anexo 1) como migration de dados auditável.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Feature flags para: envio de notificações (liga/desliga por contrato), publicação automática do book, bloqueio por divergência.</w:t>
      </w:r>
    </w:p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18. Backlog de desenvolvimento</w:t>
      </w:r>
    </w:p>
    <w:p>
      <w:pPr>
        <w:spacing w:after="110" w:before="0" w:line="270"/>
      </w:pPr>
      <w:r>
        <w:rPr>
          <w:rFonts w:ascii="Arial" w:cs="Arial" w:eastAsia="Arial" w:hAnsi="Arial"/>
          <w:sz w:val="20"/>
          <w:szCs w:val="20"/>
        </w:rPr>
        <w:t xml:space="preserve">Histórias com critério de aceite objetivo. IDs estáveis para o board. Estimativas em pontos ficam com a equipe; a ordem abaixo é a ordem de dependência.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Fase 0 — Fundação (cadastro e carga)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771"/>
        <w:gridCol w:w="4048"/>
        <w:gridCol w:w="4819"/>
      </w:tblGrid>
      <w:tr>
        <w:trPr>
          <w:tblHeader/>
        </w:trPr>
        <w:tc>
          <w:tcPr>
            <w:tcW w:type="dxa" w:w="77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História</w:t>
            </w:r>
          </w:p>
        </w:tc>
        <w:tc>
          <w:tcPr>
            <w:tcW w:type="dxa" w:w="481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F0-01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Autenticação OIDC + papéis por grupo do diretório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com MFA; papel errado recebe 403 em endpoint protegido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F0-02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CRUD de cliente e contrato-serviço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CAIXA cadastrada como 3 contratos-serviço distintos; unicidade (cliente, número, serviço)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F0-03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CRUD de tipo documental + aliases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Importação dos 51 tipos e 69 aliases do Anexo 1 por migration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F0-04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Regras de exigibilidade com herança por modalidade e vigência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Ciclo simulado de contrato outsourcing gera blocos base+outsourcing; sustentação gera só base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F0-05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Versionamento da matriz (rascunho → publicação)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Alterar regra não afeta ciclo aberto; histórico lista versões com autor e motivo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F0-06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Prazo estruturado + calendário de feriados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"5º dia útil" de 04/2026 calculado corretamente com feriado cadastrado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F0-07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Abertura automática de ciclos e materialização de exigências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1º dia útil, 15 ciclos abertos; exigência corporativa única compartilhada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F0-08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Trilha de auditoria append-only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em log_auditoria negado pelo banco; toda escrita de negócio gera evento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F0-09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Fluxo de exceção com SoD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Solicitante não consegue aprovar a própria exceção; aprovação exige APROVADOR_DAF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Fase 1a — Bloco corporativo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771"/>
        <w:gridCol w:w="4048"/>
        <w:gridCol w:w="4819"/>
      </w:tblGrid>
      <w:tr>
        <w:trPr>
          <w:tblHeader/>
        </w:trPr>
        <w:tc>
          <w:tcPr>
            <w:tcW w:type="dxa" w:w="77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História</w:t>
            </w:r>
          </w:p>
        </w:tc>
        <w:tc>
          <w:tcPr>
            <w:tcW w:type="dxa" w:w="481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F1-01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Conector WebDAV com delta por ETag e antivírus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Varredura de pasta real; arquivo infectado (EICAR) rejeitado e logado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F1-02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Extração de texto PDF com posições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Campos extraídos exibem a região de origem no documento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F1-03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Motor de classificação por âncoras + score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7 certidões, DCTFWeb, DARF e guia FGTS de 3 competências fechadas classificadas com precisão ≥ 95%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F1-04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Validações unitárias V1–V7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Certidão vencida → REJEITADO com motivo; competência errada idem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F1-05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Conciliação R01–R04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Guia sem comprovante → DIVERGENTE; par correto → CONCILIADO com valores gravados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F1-06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Fila de triagem com registro de alias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Confirmar tira da fila, cria alias e o mesmo padrão não retorna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F1-07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Painel da competência (telas 1 e 2 do Anexo 2)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Barra segmentada reflete os estados reais; bloqueio de publicação exibe motivo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F1-08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Publicação do book v1 (bucket + índice + manifesto)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Objeto imutável (delete negado); hash confere; índice legível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F1-09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Módulo de notificação em modo sombra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Régua registra o que enviaria, nada é enviado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F1-10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Painel de arquivos desconhecidos e conflitos de sincronização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Cópia em conflito aparece sinalizada e nunca vinculada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Fase 1b — Outsourcing e eventos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771"/>
        <w:gridCol w:w="4048"/>
        <w:gridCol w:w="4819"/>
      </w:tblGrid>
      <w:tr>
        <w:trPr>
          <w:tblHeader/>
        </w:trPr>
        <w:tc>
          <w:tcPr>
            <w:tcW w:type="dxa" w:w="77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História</w:t>
            </w:r>
          </w:p>
        </w:tc>
        <w:tc>
          <w:tcPr>
            <w:tcW w:type="dxa" w:w="481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F2-01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Ingestão da folha estruturada (layout 14.3) + de-para de rubricas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Folha de teste carregada; rubricas mapeadas por cadastro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F2-02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Derivação de eventos (13º antecipado, férias, rescisão, admissão)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Rescisão na folha de teste instancia as 6 exigências do conjunto, só para aquela matrícula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F2-03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Escopo profissional e completude por equipe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"Faltam 3 contracheques de 42" calculado e exibido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F2-04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Conciliação R05–R06 com janelas pró-rata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Admitido no meio do mês não gera falso positivo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F2-05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Condicionais A-ou-B por profissional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Termo de não adesão satisfaz a exigência de VT do profissional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F2-06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Cifra e mascaramento de CPF ponta a ponta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CPF nunca aparece em claro em UI, log ou notificação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F2-07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Tarjamento no book para tipos PESSOAL/PESSOAL_SENSIVEL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 do cliente sai mascarado; original íntegro no repositório interno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A4E00"/>
          <w:sz w:val="23"/>
          <w:szCs w:val="23"/>
        </w:rPr>
        <w:t xml:space="preserve">Fases 2 e 3 — Sombra e produção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771"/>
        <w:gridCol w:w="4048"/>
        <w:gridCol w:w="4819"/>
      </w:tblGrid>
      <w:tr>
        <w:trPr>
          <w:tblHeader/>
        </w:trPr>
        <w:tc>
          <w:tcPr>
            <w:tcW w:type="dxa" w:w="77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4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História</w:t>
            </w:r>
          </w:p>
        </w:tc>
        <w:tc>
          <w:tcPr>
            <w:tcW w:type="dxa" w:w="4819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F3-01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Modo sombra em 2 contratos, 2 ciclos, com relatório comparativo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Divergência ≤ 2% contra a conferência manual (metodologia no cap. 19)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F3-02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Ativação de notificações com feature flag por contrato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Régua completa D-2/D+0/D+2/D+5; máx. 1 e-mail/área/dia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F3-03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Registro de ateste e indicador D+3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Painel exibe tempo ateste→NF por contrato e o % ≥ 98% da política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F3-04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Bloqueio de PRONTO por exigência bloqueante + dispensa DAF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Ciclo com divergência bloqueante não publica; dispensa aprovada libera com trilha</w:t>
            </w:r>
          </w:p>
        </w:tc>
      </w:tr>
      <w:tr>
        <w:tc>
          <w:tcPr>
            <w:tcW w:type="dxa" w:w="77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F3-05</w:t>
            </w:r>
          </w:p>
        </w:tc>
        <w:tc>
          <w:tcPr>
            <w:tcW w:type="dxa" w:w="404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Indicadores e exportações (cap. 21)</w:t>
            </w:r>
          </w:p>
        </w:tc>
        <w:tc>
          <w:tcPr>
            <w:tcW w:type="dxa" w:w="4819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KPI/KRI calculados por competência, exportáveis em CSV</w:t>
            </w:r>
          </w:p>
        </w:tc>
      </w:tr>
      <w:tr>
        <w:tc>
          <w:tcPr>
            <w:tcW w:type="dxa" w:w="77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F3-06</w:t>
            </w:r>
          </w:p>
        </w:tc>
        <w:tc>
          <w:tcPr>
            <w:tcW w:type="dxa" w:w="404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Recertificação trimestral de acessos</w:t>
            </w:r>
          </w:p>
        </w:tc>
        <w:tc>
          <w:tcPr>
            <w:tcW w:type="dxa" w:w="4819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Relatório gerado e enviado à DAF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19. Plano de testes e metodologia do modo sombra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Massa de teste: 3 competências fechadas reais de 2 contratos (1 outsourcing, 1 entrega), copiadas para HML com dados pessoais mascarados.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Precisão de classificação = corretos / total de arquivos com gabarito humano; medir por tipo documental; meta ≥ 95% no bloco corporativo antes da 1b.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Modo sombra: para cada ciclo, comparar (a) exigências marcadas pendentes pelo sistema × pendências reais apontadas pela conferência manual; (b) documentos conciliados × conferência manual. Divergência = (falsos positivos + falsos negativos) / total de exigências. Meta ≤ 2% por dois ciclos consecutivos.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Falso negativo (sistema diz completo, humano acha pendência) tem peso de bloqueio: qualquer ocorrência em exigência bloqueante impede a ativação, independentemente do percentual.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Testes de segurança: casos SEC-01…SEC-10 do cap. 15.2 automatizados onde possível; pentest interno antes da produção.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Testes de acessibilidade: navegação por teclado nas 5 telas; leitor de tela nos fluxos de triagem e exceção.</w:t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20. Implantação e operação (ITIL)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Catálogo: "SGDF — conferência documental do faturamento", criticidade alta com sazonalidade (1º–10º dia útil).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Mudanças: janela proibida no período de fechamento; mudanças na matriz não são mudanças de TI (são cadastro), mas publicam versão auditável.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Incidentes: P1 = varredura ou publicação paradas em período de fechamento (resposta 1 h); P2 = triagem indisponível (4 h); P3 = demais (1 dia útil).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Runbook mínimo: reprocessar ciclo; reprocessar documento por hash; reemitir notificação; restaurar versão de book para consulta; rotação de credenciais de serviço.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Base de conhecimento: dicionário das regras (o que cada divergência significa e quem resolve) publicado no Confluence e linkado na UI.</w:t>
      </w:r>
    </w:p>
    <w:p>
      <w:pPr>
        <w:pStyle w:val="ListParagraph"/>
        <w:numPr>
          <w:ilvl w:val="0"/>
          <w:numId w:val="2"/>
        </w:numPr>
        <w:spacing w:after="55" w:line="270"/>
      </w:pPr>
      <w:r>
        <w:rPr>
          <w:rFonts w:ascii="Arial" w:cs="Arial" w:eastAsia="Arial" w:hAnsi="Arial"/>
          <w:sz w:val="20"/>
          <w:szCs w:val="20"/>
        </w:rPr>
        <w:t xml:space="preserve">Sustentação: definir na pendência A10 o time responsável pós-go-live; sem dono nomeado, não ativar a fase 3.</w:t>
      </w:r>
    </w:p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21. Indicadores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2313"/>
        <w:gridCol w:w="3855"/>
        <w:gridCol w:w="1157"/>
        <w:gridCol w:w="2313"/>
      </w:tblGrid>
      <w:tr>
        <w:trPr>
          <w:tblHeader/>
        </w:trPr>
        <w:tc>
          <w:tcPr>
            <w:tcW w:type="dxa" w:w="2313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855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1157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2313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</w:tr>
      <w:tr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 em D+3 (política)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ciclos com nf_emitida_em ≤ ateste_em + 3 dias / ciclos faturados</w:t>
            </w:r>
          </w:p>
        </w:tc>
        <w:tc>
          <w:tcPr>
            <w:tcW w:type="dxa" w:w="115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98%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ciclo</w:t>
            </w:r>
          </w:p>
        </w:tc>
      </w:tr>
      <w:tr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Tempo ateste → NF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média(nf_emitida_em − ateste_em)</w:t>
            </w:r>
          </w:p>
        </w:tc>
        <w:tc>
          <w:tcPr>
            <w:tcW w:type="dxa" w:w="115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2 dias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ciclo</w:t>
            </w:r>
          </w:p>
        </w:tc>
      </w:tr>
      <w:tr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Completude na 1ª conferência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exigências satisfeitas na 1ª varredura pós-prazo / total</w:t>
            </w:r>
          </w:p>
        </w:tc>
        <w:tc>
          <w:tcPr>
            <w:tcW w:type="dxa" w:w="115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tendência ↑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exigencia</w:t>
            </w:r>
          </w:p>
        </w:tc>
      </w:tr>
      <w:tr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Pendências vencidas por área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contagem por responsável no fechamento</w:t>
            </w:r>
          </w:p>
        </w:tc>
        <w:tc>
          <w:tcPr>
            <w:tcW w:type="dxa" w:w="115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pendencia</w:t>
            </w:r>
          </w:p>
        </w:tc>
      </w:tr>
      <w:tr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Exceções aprovadas (KRI)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contagem por competência — alta = controle contornado</w:t>
            </w:r>
          </w:p>
        </w:tc>
        <w:tc>
          <w:tcPr>
            <w:tcW w:type="dxa" w:w="115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monitorar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excecao</w:t>
            </w:r>
          </w:p>
        </w:tc>
      </w:tr>
      <w:tr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Divergências de conciliação (KRI)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contagem por regra e contrato</w:t>
            </w:r>
          </w:p>
        </w:tc>
        <w:tc>
          <w:tcPr>
            <w:tcW w:type="dxa" w:w="115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tendência ↓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conciliacao</w:t>
            </w:r>
          </w:p>
        </w:tc>
      </w:tr>
      <w:tr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Idade da certidão na NF (KRI)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validade_restante na emissão</w:t>
            </w:r>
          </w:p>
        </w:tc>
        <w:tc>
          <w:tcPr>
            <w:tcW w:type="dxa" w:w="115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5 dias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Precisão de classificação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confirmações de triagem que mantêm a sugestão / total triado</w:t>
            </w:r>
          </w:p>
        </w:tc>
        <w:tc>
          <w:tcPr>
            <w:tcW w:type="dxa" w:w="1157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90%</w:t>
            </w:r>
          </w:p>
        </w:tc>
        <w:tc>
          <w:tcPr>
            <w:tcW w:type="dxa" w:w="2313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triagem</w:t>
            </w:r>
          </w:p>
        </w:tc>
      </w:tr>
      <w:tr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Books republicados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versões &gt; 1 por competência</w:t>
            </w:r>
          </w:p>
        </w:tc>
        <w:tc>
          <w:tcPr>
            <w:tcW w:type="dxa" w:w="1157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tendência ↓</w:t>
            </w:r>
          </w:p>
        </w:tc>
        <w:tc>
          <w:tcPr>
            <w:tcW w:type="dxa" w:w="2313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</w:t>
            </w:r>
          </w:p>
        </w:tc>
      </w:tr>
    </w:tbl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22. Riscos de desenvolvimento e operação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675"/>
        <w:gridCol w:w="3855"/>
        <w:gridCol w:w="5108"/>
      </w:tblGrid>
      <w:tr>
        <w:trPr>
          <w:tblHeader/>
        </w:trPr>
        <w:tc>
          <w:tcPr>
            <w:tcW w:type="dxa" w:w="675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55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5108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Mitigação embutida nesta especificação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P01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Falso positivo em massa → abandono</w:t>
            </w:r>
          </w:p>
        </w:tc>
        <w:tc>
          <w:tcPr>
            <w:tcW w:type="dxa" w:w="510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Modo sombra obrigatório (F3-01); limiares por tipo; triagem que ensina aliases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P02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Automação desloca a responsabilidade do ateste</w:t>
            </w:r>
          </w:p>
        </w:tc>
        <w:tc>
          <w:tcPr>
            <w:tcW w:type="dxa" w:w="510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Rodapé fixo nas mensagens; ateste humano como transição de estado; texto na política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P03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Modalidades conferidas com a matriz errada (BNB/TJCE)</w:t>
            </w:r>
          </w:p>
        </w:tc>
        <w:tc>
          <w:tcPr>
            <w:tcW w:type="dxa" w:w="510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Contrato-serviço como chave (F0-02); verificação manual antes da fase 0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P04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Comprometimento das contas de serviço</w:t>
            </w:r>
          </w:p>
        </w:tc>
        <w:tc>
          <w:tcPr>
            <w:tcW w:type="dxa" w:w="510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Escopos disjuntos, cofre, rotação 90 dias, login interativo negado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P05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Vazamento de dado pessoal no book</w:t>
            </w:r>
          </w:p>
        </w:tc>
        <w:tc>
          <w:tcPr>
            <w:tcW w:type="dxa" w:w="510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Sigilo por tipo + tarjamento (F2-07) + amostragem mensal LGPD-03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P06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Folha estruturada indisponível</w:t>
            </w:r>
          </w:p>
        </w:tc>
        <w:tc>
          <w:tcPr>
            <w:tcW w:type="dxa" w:w="510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1a independente; 1b bloqueada até A05; contingência por eSocial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P07</w:t>
            </w:r>
          </w:p>
        </w:tc>
        <w:tc>
          <w:tcPr>
            <w:tcW w:type="dxa" w:w="385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Regressão de regra em produção</w:t>
            </w:r>
          </w:p>
        </w:tc>
        <w:tc>
          <w:tcPr>
            <w:tcW w:type="dxa" w:w="5108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Regras versionadas; reprocessamento usa versão da época; testes de regra com massa fixa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P08</w:t>
            </w:r>
          </w:p>
        </w:tc>
        <w:tc>
          <w:tcPr>
            <w:tcW w:type="dxa" w:w="385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 vira legado sem dono</w:t>
            </w:r>
          </w:p>
        </w:tc>
        <w:tc>
          <w:tcPr>
            <w:tcW w:type="dxa" w:w="5108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Gate: fase 3 não ativa sem time de sustentação nomeado (A10)</w:t>
            </w:r>
          </w:p>
        </w:tc>
      </w:tr>
    </w:tbl>
    <w:p>
      <w:pPr>
        <w:pStyle w:val="Heading1"/>
        <w:pBdr>
          <w:bottom w:val="single" w:color="E87605" w:sz="8" w:space="4"/>
        </w:pBdr>
        <w:spacing w:after="150" w:before="360"/>
      </w:pPr>
      <w:r>
        <w:rPr>
          <w:rFonts w:ascii="Arial" w:cs="Arial" w:eastAsia="Arial" w:hAnsi="Arial"/>
          <w:b/>
          <w:bCs/>
          <w:color w:val="26211A"/>
          <w:sz w:val="30"/>
          <w:szCs w:val="30"/>
        </w:rPr>
        <w:t xml:space="preserve">23. Pendências que condicionam o desenvolvimento</w:t>
      </w:r>
    </w:p>
    <w:tbl>
      <w:tblPr>
        <w:tblW w:type="dxa" w:w="9638"/>
        <w:tblBorders>
          <w:top w:val="single" w:color="D9D4CA" w:sz="2"/>
          <w:left w:val="single" w:color="D9D4CA" w:sz="2"/>
          <w:bottom w:val="single" w:color="D9D4CA" w:sz="2"/>
          <w:right w:val="single" w:color="D9D4CA" w:sz="2"/>
          <w:insideH w:val="single" w:color="E8E4DC" w:sz="1"/>
          <w:insideV w:val="single" w:color="E8E4DC" w:sz="1"/>
        </w:tblBorders>
      </w:tblPr>
      <w:tblGrid>
        <w:gridCol w:w="675"/>
        <w:gridCol w:w="4241"/>
        <w:gridCol w:w="2891"/>
        <w:gridCol w:w="1831"/>
      </w:tblGrid>
      <w:tr>
        <w:trPr>
          <w:tblHeader/>
        </w:trPr>
        <w:tc>
          <w:tcPr>
            <w:tcW w:type="dxa" w:w="675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4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Pendência</w:t>
            </w:r>
          </w:p>
        </w:tc>
        <w:tc>
          <w:tcPr>
            <w:tcW w:type="dxa" w:w="289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Bloqueia</w:t>
            </w:r>
          </w:p>
        </w:tc>
        <w:tc>
          <w:tcPr>
            <w:tcW w:type="dxa" w:w="1831"/>
            <w:shd w:fill="26211A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A01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Checklists de SEFAZ-CE, CGM-CE e SEBRAE GO (a incorporar ao catálogo)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Carga completa da fase 0 (não impede o início)</w:t>
            </w:r>
          </w:p>
        </w:tc>
        <w:tc>
          <w:tcPr>
            <w:tcW w:type="dxa" w:w="183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Gestão de Contratos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A02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Natureza de APOIO A GESTAO (interna × contrato sem checklist)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Escopo da carteira</w:t>
            </w:r>
          </w:p>
        </w:tc>
        <w:tc>
          <w:tcPr>
            <w:tcW w:type="dxa" w:w="183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Gestão de Contratos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A03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Matriz separada por modalidade em BNB e TJCE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0 — verificação prévia urgente</w:t>
            </w:r>
          </w:p>
        </w:tc>
        <w:tc>
          <w:tcPr>
            <w:tcW w:type="dxa" w:w="183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Gestão de Contratos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A04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Exigências dos 3 contratos CAIXA (idênticas ou não)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Carga da fase 0</w:t>
            </w:r>
          </w:p>
        </w:tc>
        <w:tc>
          <w:tcPr>
            <w:tcW w:type="dxa" w:w="183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Gestão de Contratos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A05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 de folha + layout de extração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Início da fase 1b</w:t>
            </w:r>
          </w:p>
        </w:tc>
        <w:tc>
          <w:tcPr>
            <w:tcW w:type="dxa" w:w="183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 e AP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A06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Fundamento contratual por exigência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Campo obrigatório na matriz (pode ser preenchido em paralelo)</w:t>
            </w:r>
          </w:p>
        </w:tc>
        <w:tc>
          <w:tcPr>
            <w:tcW w:type="dxa" w:w="183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Gestão de Contratos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A07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Recolhimento por CNPJ único ou por filial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Modelagem do escopo corporativo (modelo já suporta N)</w:t>
            </w:r>
          </w:p>
        </w:tc>
        <w:tc>
          <w:tcPr>
            <w:tcW w:type="dxa" w:w="183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A08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Tabela de temporalidade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Configuração de retenção do bucket antes da produção</w:t>
            </w:r>
          </w:p>
        </w:tc>
        <w:tc>
          <w:tcPr>
            <w:tcW w:type="dxa" w:w="183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Jurídico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A09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Repositório-mestre por tipo (OwnCloud × Jira)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Regra de desempate na ingestão</w:t>
            </w:r>
          </w:p>
        </w:tc>
        <w:tc>
          <w:tcPr>
            <w:tcW w:type="dxa" w:w="183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 e DAF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A10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 de sustentação pós-go-live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Ativação da fase 3</w:t>
            </w:r>
          </w:p>
        </w:tc>
        <w:tc>
          <w:tcPr>
            <w:tcW w:type="dxa" w:w="183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DAF e TI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A11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Consolidação das duas políticas + inclusão da AP no RACI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Publicação da norma que ampara o portão documental</w:t>
            </w:r>
          </w:p>
        </w:tc>
        <w:tc>
          <w:tcPr>
            <w:tcW w:type="dxa" w:w="183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DAF</w:t>
            </w:r>
          </w:p>
        </w:tc>
      </w:tr>
      <w:tr>
        <w:tc>
          <w:tcPr>
            <w:tcW w:type="dxa" w:w="675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A12</w:t>
            </w:r>
          </w:p>
        </w:tc>
        <w:tc>
          <w:tcPr>
            <w:tcW w:type="dxa" w:w="424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RIPD e inventário de dados pessoais</w:t>
            </w:r>
          </w:p>
        </w:tc>
        <w:tc>
          <w:tcPr>
            <w:tcW w:type="dxa" w:w="289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Entrada em produção</w:t>
            </w:r>
          </w:p>
        </w:tc>
        <w:tc>
          <w:tcPr>
            <w:tcW w:type="dxa" w:w="1831"/>
            <w:shd w:fill="FAF8F4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DAF e Jurídico</w:t>
            </w:r>
          </w:p>
        </w:tc>
      </w:tr>
      <w:tr>
        <w:tc>
          <w:tcPr>
            <w:tcW w:type="dxa" w:w="675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A13</w:t>
            </w:r>
          </w:p>
        </w:tc>
        <w:tc>
          <w:tcPr>
            <w:tcW w:type="dxa" w:w="424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Stack de desenvolvimento (padrão da casa) e infraestrutura alocada</w:t>
            </w:r>
          </w:p>
        </w:tc>
        <w:tc>
          <w:tcPr>
            <w:tcW w:type="dxa" w:w="289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0</w:t>
            </w:r>
          </w:p>
        </w:tc>
        <w:tc>
          <w:tcPr>
            <w:tcW w:type="dxa" w:w="1831"/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after="30" w:line="2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</w:t>
            </w:r>
          </w:p>
        </w:tc>
      </w:tr>
    </w:tbl>
    <w:p>
      <w:pPr>
        <w:spacing w:after="80" w:before="0" w:line="2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10" w:before="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 de leitura deste documento: tudo o que está como "padrão" ou "parâmetro" é valor inicial ajustável em cadastro; tudo o que está como "exigido" ou "obrigatório" é requisito de aceitação. Dúvidas de interpretação são resolvidas com a área demandante antes de codificar — nunca por suposição silenciosa.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B8375"/>
        <w:sz w:val="16"/>
        <w:szCs w:val="16"/>
      </w:rPr>
      <w:t xml:space="preserve">SGDF — Documentação de Desenvolvimento V1.0  |  Interno — Restrito  |  </w:t>
    </w:r>
    <w:r>
      <w:rPr>
        <w:rFonts w:ascii="Arial" w:cs="Arial" w:eastAsia="Arial" w:hAnsi="Arial"/>
        <w:color w:val="8B83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81b793c08eea2bdefd792dd2bc53a2a21f061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2026-09-03T15:04:57.296Z</dcterms:created>
  <dcterms:modified xsi:type="dcterms:W3CDTF">2026-09-03T15:04:57.308Z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