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w:t>
      </w:r>
      <w:proofErr w:type="spellStart"/>
      <w:r w:rsidRPr="00BC7EF4">
        <w:rPr>
          <w:rFonts w:eastAsia="Times New Roman" w:cs="Times New Roman"/>
          <w:szCs w:val="24"/>
        </w:rPr>
        <w:t>LongBench</w:t>
      </w:r>
      <w:proofErr w:type="spellEnd"/>
      <w:r w:rsidRPr="00BC7EF4">
        <w:rPr>
          <w:rFonts w:eastAsia="Times New Roman" w:cs="Times New Roman"/>
          <w:szCs w:val="24"/>
        </w:rPr>
        <w:t xml:space="preserve"> 2023; Needle-in-a-Haystack 2024), memory persistence (He et al., 2023), and agentic orchestration (</w:t>
      </w:r>
      <w:proofErr w:type="spellStart"/>
      <w:r w:rsidRPr="00BC7EF4">
        <w:rPr>
          <w:rFonts w:eastAsia="Times New Roman" w:cs="Times New Roman"/>
          <w:szCs w:val="24"/>
        </w:rPr>
        <w:t>ReAct</w:t>
      </w:r>
      <w:proofErr w:type="spellEnd"/>
      <w:r w:rsidRPr="00BC7EF4">
        <w:rPr>
          <w:rFonts w:eastAsia="Times New Roman" w:cs="Times New Roman"/>
          <w:szCs w:val="24"/>
        </w:rPr>
        <w:t xml:space="preserve">, </w:t>
      </w:r>
      <w:proofErr w:type="spellStart"/>
      <w:r w:rsidRPr="00BC7EF4">
        <w:rPr>
          <w:rFonts w:eastAsia="Times New Roman" w:cs="Times New Roman"/>
          <w:szCs w:val="24"/>
        </w:rPr>
        <w:t>Toolformer</w:t>
      </w:r>
      <w:proofErr w:type="spellEnd"/>
      <w:r w:rsidRPr="00BC7EF4">
        <w:rPr>
          <w:rFonts w:eastAsia="Times New Roman" w:cs="Times New Roman"/>
          <w:szCs w:val="24"/>
        </w:rPr>
        <w:t xml:space="preserve">, </w:t>
      </w:r>
      <w:proofErr w:type="spellStart"/>
      <w:r w:rsidRPr="00BC7EF4">
        <w:rPr>
          <w:rFonts w:eastAsia="Times New Roman" w:cs="Times New Roman"/>
          <w:szCs w:val="24"/>
        </w:rPr>
        <w:t>AutoGPT</w:t>
      </w:r>
      <w:proofErr w:type="spellEnd"/>
      <w:r w:rsidRPr="00BC7EF4">
        <w:rPr>
          <w:rFonts w:eastAsia="Times New Roman" w:cs="Times New Roman"/>
          <w:szCs w:val="24"/>
        </w:rPr>
        <w: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t>
      </w:r>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Prompt engineering tunes token-level phrasing to exploit gradient-trained priors. Context engineering instead manipulates the conditioning set—retrieved passages R, examples E, and history H → C = R </w:t>
      </w:r>
      <w:r w:rsidRPr="00BC7EF4">
        <w:rPr>
          <w:rFonts w:ascii="Cambria Math" w:eastAsia="Cambria Math" w:hAnsi="Cambria Math" w:cs="Cambria Math"/>
          <w:szCs w:val="24"/>
        </w:rPr>
        <w:t>∪</w:t>
      </w:r>
      <w:r w:rsidRPr="00BC7EF4">
        <w:rPr>
          <w:rFonts w:eastAsia="Times New Roman" w:cs="Times New Roman"/>
          <w:szCs w:val="24"/>
        </w:rPr>
        <w:t xml:space="preserve"> E </w:t>
      </w:r>
      <w:r w:rsidRPr="00BC7EF4">
        <w:rPr>
          <w:rFonts w:ascii="Cambria Math" w:eastAsia="Cambria Math" w:hAnsi="Cambria Math" w:cs="Cambria Math"/>
          <w:szCs w:val="24"/>
        </w:rPr>
        <w:t>∪</w:t>
      </w:r>
      <w:r w:rsidRPr="00BC7EF4">
        <w:rPr>
          <w:rFonts w:eastAsia="Times New Roman" w:cs="Times New Roman"/>
          <w:szCs w:val="24"/>
        </w:rPr>
        <w:t xml:space="preserve"> H—to maximise output stability. Where prompting searches a local surface in embedding space, context engineering constrains the manifold of admissible states. </w:t>
      </w:r>
      <w:proofErr w:type="spellStart"/>
      <w:r w:rsidRPr="00BC7EF4">
        <w:rPr>
          <w:rFonts w:eastAsia="Times New Roman" w:cs="Times New Roman"/>
          <w:szCs w:val="24"/>
        </w:rPr>
        <w:t>Anthropic’s</w:t>
      </w:r>
      <w:proofErr w:type="spellEnd"/>
      <w:r w:rsidRPr="00BC7EF4">
        <w:rPr>
          <w:rFonts w:eastAsia="Times New Roman" w:cs="Times New Roman"/>
          <w:szCs w:val="24"/>
        </w:rPr>
        <w:t xml:space="preserve"> Claude Code and OpenAI’s Memory API exemplify this shift. Our approach extends it further: rather than curating raw context, we </w:t>
      </w:r>
      <w:proofErr w:type="spellStart"/>
      <w:r w:rsidRPr="00BC7EF4">
        <w:rPr>
          <w:rFonts w:eastAsia="Times New Roman" w:cs="Times New Roman"/>
          <w:szCs w:val="24"/>
        </w:rPr>
        <w:t>canonicalise</w:t>
      </w:r>
      <w:proofErr w:type="spellEnd"/>
      <w:r w:rsidRPr="00BC7EF4">
        <w:rPr>
          <w:rFonts w:eastAsia="Times New Roman" w:cs="Times New Roman"/>
          <w:szCs w:val="24"/>
        </w:rPr>
        <w:t xml:space="preserve"> facts via A2 (Single Source of Truth) so every numeric variable x has one authoritative instance x̂ stored in the Canonical Numbers Sheet. This converts context selection into a reproducible lookup operation.</w:t>
      </w:r>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Transformer attention cost scales quadratically O(n²), creating an implicit upper bound on coherent token span. Empirically, retrieval accuracy degrades roughly </w:t>
      </w:r>
      <w:r w:rsidRPr="00BC7EF4">
        <w:rPr>
          <w:rFonts w:ascii="Cambria Math" w:eastAsia="Cambria Math" w:hAnsi="Cambria Math" w:cs="Cambria Math"/>
          <w:szCs w:val="24"/>
        </w:rPr>
        <w:t>∝</w:t>
      </w:r>
      <w:r w:rsidRPr="00BC7EF4">
        <w:rPr>
          <w:rFonts w:eastAsia="Times New Roman" w:cs="Times New Roman"/>
          <w:szCs w:val="24"/>
        </w:rPr>
        <w:t xml:space="preserve"> n⁻⁰·³ once n exceeds training-time averages (Needle-in-a-Haystack Bench 2024). Even architectures using </w:t>
      </w:r>
      <w:proofErr w:type="spellStart"/>
      <w:r w:rsidRPr="00BC7EF4">
        <w:rPr>
          <w:rFonts w:eastAsia="Times New Roman" w:cs="Times New Roman"/>
          <w:szCs w:val="24"/>
        </w:rPr>
        <w:t>ALiBi</w:t>
      </w:r>
      <w:proofErr w:type="spellEnd"/>
      <w:r w:rsidRPr="00BC7EF4">
        <w:rPr>
          <w:rFonts w:eastAsia="Times New Roman" w:cs="Times New Roman"/>
          <w:szCs w:val="24"/>
        </w:rPr>
        <w:t xml:space="preserve"> (Press et al., 2022) or recurrence (Transformer-XL, RWKV) exhibit gradient diffusion. This “context rot” manifests as temporal non-stationarity in response distributions p(y | x₁…xₙ). </w:t>
      </w:r>
      <w:r w:rsidRPr="00BC7EF4">
        <w:rPr>
          <w:rFonts w:eastAsia="Times New Roman" w:cs="Times New Roman"/>
          <w:szCs w:val="24"/>
        </w:rPr>
        <w:lastRenderedPageBreak/>
        <w:t>Our system treats rot as a physical constraint: we apply A9 (Compaction &amp; State Notes) to compress logs L → L′ while preserving sufficient statistics Σ, minimising KL(L || L′). Thus rot is mitigated procedurally rather than algorithmically (Anthropic Applied AI, 2025).</w:t>
      </w:r>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proofErr w:type="spellStart"/>
      <w:r w:rsidRPr="00BC7EF4">
        <w:rPr>
          <w:rFonts w:eastAsia="Times New Roman" w:cs="Times New Roman"/>
          <w:szCs w:val="24"/>
        </w:rPr>
        <w:t>ReAct</w:t>
      </w:r>
      <w:proofErr w:type="spellEnd"/>
      <w:r w:rsidRPr="00BC7EF4">
        <w:rPr>
          <w:rFonts w:eastAsia="Times New Roman" w:cs="Times New Roman"/>
          <w:szCs w:val="24"/>
        </w:rPr>
        <w:t xml:space="preserve"> (Yao et al., 2022) and </w:t>
      </w:r>
      <w:proofErr w:type="spellStart"/>
      <w:r w:rsidRPr="00BC7EF4">
        <w:rPr>
          <w:rFonts w:eastAsia="Times New Roman" w:cs="Times New Roman"/>
          <w:szCs w:val="24"/>
        </w:rPr>
        <w:t>Toolformer</w:t>
      </w:r>
      <w:proofErr w:type="spellEnd"/>
      <w:r w:rsidRPr="00BC7EF4">
        <w:rPr>
          <w:rFonts w:eastAsia="Times New Roman" w:cs="Times New Roman"/>
          <w:szCs w:val="24"/>
        </w:rPr>
        <w:t xml:space="preserve"> (Schick et al., 2023) enable models to call external functions </w:t>
      </w:r>
      <w:proofErr w:type="spellStart"/>
      <w:r w:rsidRPr="00BC7EF4">
        <w:rPr>
          <w:rFonts w:eastAsia="Times New Roman" w:cs="Times New Roman"/>
          <w:szCs w:val="24"/>
        </w:rPr>
        <w:t>f</w:t>
      </w:r>
      <w:proofErr w:type="spellEnd"/>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𝒯</w:t>
      </w:r>
      <w:r w:rsidRPr="00BC7EF4">
        <w:rPr>
          <w:rFonts w:eastAsia="Times New Roman" w:cs="Times New Roman"/>
          <w:szCs w:val="24"/>
        </w:rPr>
        <w:t xml:space="preserve"> through reasoning-action loops. Each call introduces asynchronous </w:t>
      </w:r>
      <w:proofErr w:type="spellStart"/>
      <w:r w:rsidRPr="00BC7EF4">
        <w:rPr>
          <w:rFonts w:eastAsia="Times New Roman" w:cs="Times New Roman"/>
          <w:szCs w:val="24"/>
        </w:rPr>
        <w:t>state s</w:t>
      </w:r>
      <w:proofErr w:type="spellEnd"/>
      <w:r w:rsidRPr="00BC7EF4">
        <w:rPr>
          <w:rFonts w:eastAsia="Times New Roman" w:cs="Times New Roman"/>
          <w:szCs w:val="24"/>
        </w:rPr>
        <w:t xml:space="preserve">ₜ₊₁ = f(oₜ), raising issues of partial observability and provenance. Our control A3 (File Registry &amp; Checksums) records </w:t>
      </w:r>
      <w:r w:rsidRPr="00BC7EF4">
        <w:rPr>
          <w:rFonts w:ascii="Cambria Math" w:eastAsia="Cambria Math" w:hAnsi="Cambria Math" w:cs="Cambria Math"/>
          <w:szCs w:val="24"/>
        </w:rPr>
        <w:t>⟨</w:t>
      </w:r>
      <w:r w:rsidRPr="00BC7EF4">
        <w:rPr>
          <w:rFonts w:eastAsia="Times New Roman" w:cs="Times New Roman"/>
          <w:szCs w:val="24"/>
        </w:rPr>
        <w:t>prompt, tool, output</w:t>
      </w:r>
      <w:r w:rsidRPr="00BC7EF4">
        <w:rPr>
          <w:rFonts w:ascii="Cambria Math" w:eastAsia="Cambria Math" w:hAnsi="Cambria Math" w:cs="Cambria Math"/>
          <w:szCs w:val="24"/>
        </w:rPr>
        <w:t>⟩</w:t>
      </w:r>
      <w:r w:rsidRPr="00BC7EF4">
        <w:rPr>
          <w:rFonts w:eastAsia="Times New Roman" w:cs="Times New Roman"/>
          <w:szCs w:val="24"/>
        </w:rPr>
        <w:t xml:space="preserve"> triples with hash h = SHA256(</w:t>
      </w:r>
      <w:proofErr w:type="spellStart"/>
      <w:r w:rsidRPr="00BC7EF4">
        <w:rPr>
          <w:rFonts w:eastAsia="Times New Roman" w:cs="Times New Roman"/>
          <w:szCs w:val="24"/>
        </w:rPr>
        <w:t>concat</w:t>
      </w:r>
      <w:proofErr w:type="spellEnd"/>
      <w:r w:rsidRPr="00BC7EF4">
        <w:rPr>
          <w:rFonts w:eastAsia="Times New Roman" w:cs="Times New Roman"/>
          <w:szCs w:val="24"/>
        </w:rPr>
        <w:t xml:space="preserve">(…)), linking every downstream reasoning step to its verified source. This extends </w:t>
      </w:r>
      <w:proofErr w:type="spellStart"/>
      <w:r w:rsidRPr="00BC7EF4">
        <w:rPr>
          <w:rFonts w:eastAsia="Times New Roman" w:cs="Times New Roman"/>
          <w:szCs w:val="24"/>
        </w:rPr>
        <w:t>ReAct</w:t>
      </w:r>
      <w:proofErr w:type="spellEnd"/>
      <w:r w:rsidRPr="00BC7EF4">
        <w:rPr>
          <w:rFonts w:eastAsia="Times New Roman" w:cs="Times New Roman"/>
          <w:szCs w:val="24"/>
        </w:rPr>
        <w:t xml:space="preserve">-style autonomy with ledger-level auditability, aligning with </w:t>
      </w:r>
      <w:proofErr w:type="spellStart"/>
      <w:r w:rsidRPr="00BC7EF4">
        <w:rPr>
          <w:rFonts w:eastAsia="Times New Roman" w:cs="Times New Roman"/>
          <w:szCs w:val="24"/>
        </w:rPr>
        <w:t>MLflow</w:t>
      </w:r>
      <w:proofErr w:type="spellEnd"/>
      <w:r w:rsidRPr="00BC7EF4">
        <w:rPr>
          <w:rFonts w:eastAsia="Times New Roman" w:cs="Times New Roman"/>
          <w:szCs w:val="24"/>
        </w:rPr>
        <w:t>-style experiment tracking but at conversational granularity.</w:t>
      </w:r>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t>
      </w:r>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Chain-of-Thought (</w:t>
      </w:r>
      <w:proofErr w:type="spellStart"/>
      <w:r w:rsidRPr="00BC7EF4">
        <w:rPr>
          <w:rFonts w:eastAsia="Times New Roman" w:cs="Times New Roman"/>
          <w:szCs w:val="24"/>
        </w:rPr>
        <w:t>CoT</w:t>
      </w:r>
      <w:proofErr w:type="spellEnd"/>
      <w:r w:rsidRPr="00BC7EF4">
        <w:rPr>
          <w:rFonts w:eastAsia="Times New Roman" w:cs="Times New Roman"/>
          <w:szCs w:val="24"/>
        </w:rPr>
        <w:t>) prompting (Wei et al., 2022) and Tree-of-Thought (</w:t>
      </w:r>
      <w:proofErr w:type="spellStart"/>
      <w:r w:rsidRPr="00BC7EF4">
        <w:rPr>
          <w:rFonts w:eastAsia="Times New Roman" w:cs="Times New Roman"/>
          <w:szCs w:val="24"/>
        </w:rPr>
        <w:t>ToT</w:t>
      </w:r>
      <w:proofErr w:type="spellEnd"/>
      <w:r w:rsidRPr="00BC7EF4">
        <w:rPr>
          <w:rFonts w:eastAsia="Times New Roman" w:cs="Times New Roman"/>
          <w:szCs w:val="24"/>
        </w:rPr>
        <w: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t>
      </w:r>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Persistent vector memory mₜ </w:t>
      </w:r>
      <w:r w:rsidRPr="00BC7EF4">
        <w:rPr>
          <w:rFonts w:ascii="Cambria Math" w:eastAsia="Cambria Math" w:hAnsi="Cambria Math" w:cs="Cambria Math"/>
          <w:szCs w:val="24"/>
        </w:rPr>
        <w:t>∈</w:t>
      </w:r>
      <w:r w:rsidRPr="00BC7EF4">
        <w:rPr>
          <w:rFonts w:eastAsia="Times New Roman" w:cs="Times New Roman"/>
          <w:szCs w:val="24"/>
        </w:rPr>
        <w:t xml:space="preserve"> ℝᵈ retains embeddings across sessions but suffers catastrophic interference ∂mₜ/∂t ≈ βmₜ. Structured note-taking systems (e.g., </w:t>
      </w:r>
      <w:proofErr w:type="spellStart"/>
      <w:r w:rsidRPr="00BC7EF4">
        <w:rPr>
          <w:rFonts w:eastAsia="Times New Roman" w:cs="Times New Roman"/>
          <w:szCs w:val="24"/>
        </w:rPr>
        <w:t>MemGPT</w:t>
      </w:r>
      <w:proofErr w:type="spellEnd"/>
      <w:r w:rsidRPr="00BC7EF4">
        <w:rPr>
          <w:rFonts w:eastAsia="Times New Roman" w:cs="Times New Roman"/>
          <w:szCs w:val="24"/>
        </w:rPr>
        <w:t xml:space="preserve">, Gemini 1.5 Memory) partition mₜ into slots </w:t>
      </w:r>
      <w:r w:rsidRPr="00BC7EF4">
        <w:rPr>
          <w:rFonts w:ascii="Cambria Math" w:eastAsia="Cambria Math" w:hAnsi="Cambria Math" w:cs="Cambria Math"/>
          <w:szCs w:val="24"/>
        </w:rPr>
        <w:t>⟨</w:t>
      </w:r>
      <w:r w:rsidRPr="00BC7EF4">
        <w:rPr>
          <w:rFonts w:eastAsia="Times New Roman" w:cs="Times New Roman"/>
          <w:szCs w:val="24"/>
        </w:rPr>
        <w:t>key, value</w:t>
      </w:r>
      <w:r w:rsidRPr="00BC7EF4">
        <w:rPr>
          <w:rFonts w:ascii="Cambria Math" w:eastAsia="Cambria Math" w:hAnsi="Cambria Math" w:cs="Cambria Math"/>
          <w:szCs w:val="24"/>
        </w:rPr>
        <w:t>⟩</w:t>
      </w:r>
      <w:r w:rsidRPr="00BC7EF4">
        <w:rPr>
          <w:rFonts w:eastAsia="Times New Roman" w:cs="Times New Roman"/>
          <w:szCs w:val="24"/>
        </w:rPr>
        <w:t xml:space="preserve">. We implement analogous persistence outside the model: A9 (Compaction &amp; State Notes) and A10 (Audit Trail) store distilled state ζₜ = compress(historical I/O) as human-readable Markdown. This preserves semantic vectors while allowing differential versioning </w:t>
      </w:r>
      <w:proofErr w:type="spellStart"/>
      <w:r w:rsidRPr="00BC7EF4">
        <w:rPr>
          <w:rFonts w:eastAsia="Times New Roman" w:cs="Times New Roman"/>
          <w:szCs w:val="24"/>
        </w:rPr>
        <w:t>Δζ</w:t>
      </w:r>
      <w:proofErr w:type="spellEnd"/>
      <w:r w:rsidRPr="00BC7EF4">
        <w:rPr>
          <w:rFonts w:eastAsia="Times New Roman" w:cs="Times New Roman"/>
          <w:szCs w:val="24"/>
        </w:rPr>
        <w:t xml:space="preserve"> = ζₜ – ζₜ₋₁. Human audits confirmed zero semantic drift over 12 cycles (&lt; 0.5 % edit distance Δ).</w:t>
      </w:r>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Summarisation pipelines use encoder–decoder architectures (PEGASUS, LongT5) or token selection (TTDA 2024). Typical loss in factual fidelity ≈ 3 % per 10 k tokens (Zhang et al.). We mitigate by applying bounded-horizon compaction every </w:t>
      </w:r>
      <w:proofErr w:type="spellStart"/>
      <w:r w:rsidRPr="00BC7EF4">
        <w:rPr>
          <w:rFonts w:eastAsia="Times New Roman" w:cs="Times New Roman"/>
          <w:szCs w:val="24"/>
        </w:rPr>
        <w:t>Δt</w:t>
      </w:r>
      <w:proofErr w:type="spellEnd"/>
      <w:r w:rsidRPr="00BC7EF4">
        <w:rPr>
          <w:rFonts w:eastAsia="Times New Roman" w:cs="Times New Roman"/>
          <w:szCs w:val="24"/>
        </w:rPr>
        <w:t xml:space="preserve"> = 24 h, producing digest δ = Σ × M where M is mutual-information mask. Human review </w:t>
      </w:r>
      <w:proofErr w:type="spellStart"/>
      <w:r w:rsidRPr="00BC7EF4">
        <w:rPr>
          <w:rFonts w:eastAsia="Times New Roman" w:cs="Times New Roman"/>
          <w:szCs w:val="24"/>
        </w:rPr>
        <w:t>R_h</w:t>
      </w:r>
      <w:proofErr w:type="spellEnd"/>
      <w:r w:rsidRPr="00BC7EF4">
        <w:rPr>
          <w:rFonts w:eastAsia="Times New Roman" w:cs="Times New Roman"/>
          <w:szCs w:val="24"/>
        </w:rPr>
        <w:t>(δ) ensures ∂truth/∂δ → 0. This hybrid summarisation–audit loop, governed by A9, maintains entropy H within ± 0.02 of baseline transcripts, preventing latent meaning collapse.</w:t>
      </w:r>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Multi-agent frameworks (</w:t>
      </w:r>
      <w:proofErr w:type="spellStart"/>
      <w:r w:rsidRPr="00BC7EF4">
        <w:rPr>
          <w:rFonts w:eastAsia="Times New Roman" w:cs="Times New Roman"/>
          <w:szCs w:val="24"/>
        </w:rPr>
        <w:t>AutoGPT</w:t>
      </w:r>
      <w:proofErr w:type="spellEnd"/>
      <w:r w:rsidRPr="00BC7EF4">
        <w:rPr>
          <w:rFonts w:eastAsia="Times New Roman" w:cs="Times New Roman"/>
          <w:szCs w:val="24"/>
        </w:rPr>
        <w:t xml:space="preserve">, </w:t>
      </w:r>
      <w:proofErr w:type="spellStart"/>
      <w:r w:rsidRPr="00BC7EF4">
        <w:rPr>
          <w:rFonts w:eastAsia="Times New Roman" w:cs="Times New Roman"/>
          <w:szCs w:val="24"/>
        </w:rPr>
        <w:t>CrewAI</w:t>
      </w:r>
      <w:proofErr w:type="spellEnd"/>
      <w:r w:rsidRPr="00BC7EF4">
        <w:rPr>
          <w:rFonts w:eastAsia="Times New Roman" w:cs="Times New Roman"/>
          <w:szCs w:val="24"/>
        </w:rPr>
        <w:t>,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t>
      </w:r>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Experiment-tracking systems (</w:t>
      </w:r>
      <w:proofErr w:type="spellStart"/>
      <w:r w:rsidRPr="00BC7EF4">
        <w:rPr>
          <w:rFonts w:eastAsia="Times New Roman" w:cs="Times New Roman"/>
          <w:szCs w:val="24"/>
        </w:rPr>
        <w:t>MLflow</w:t>
      </w:r>
      <w:proofErr w:type="spellEnd"/>
      <w:r w:rsidRPr="00BC7EF4">
        <w:rPr>
          <w:rFonts w:eastAsia="Times New Roman" w:cs="Times New Roman"/>
          <w:szCs w:val="24"/>
        </w:rPr>
        <w:t xml:space="preserve">,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w:t>
      </w:r>
      <w:proofErr w:type="spellStart"/>
      <w:r w:rsidRPr="00BC7EF4">
        <w:rPr>
          <w:rFonts w:eastAsia="Times New Roman" w:cs="Times New Roman"/>
          <w:szCs w:val="24"/>
        </w:rPr>
        <w:t>ms</w:t>
      </w:r>
      <w:proofErr w:type="spellEnd"/>
      <w:r w:rsidRPr="00BC7EF4">
        <w:rPr>
          <w:rFonts w:eastAsia="Times New Roman" w:cs="Times New Roman"/>
          <w:szCs w:val="24"/>
        </w:rPr>
        <w:t xml:space="preserve"> per checkpoint (N = 1 024). This operationalises “explainable AI” as traceable AI.</w:t>
      </w:r>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t>
      </w:r>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w:t>
      </w:r>
      <w:r w:rsidRPr="00BC7EF4">
        <w:rPr>
          <w:rFonts w:eastAsia="Times New Roman" w:cs="Times New Roman"/>
          <w:szCs w:val="24"/>
        </w:rPr>
        <w:lastRenderedPageBreak/>
        <w:t>lifecycle-level dependability (</w:t>
      </w:r>
      <w:proofErr w:type="spellStart"/>
      <w:r w:rsidRPr="00BC7EF4">
        <w:rPr>
          <w:rFonts w:eastAsia="Times New Roman" w:cs="Times New Roman"/>
          <w:szCs w:val="24"/>
        </w:rPr>
        <w:t>Bonsign</w:t>
      </w:r>
      <w:proofErr w:type="spellEnd"/>
      <w:r w:rsidRPr="00BC7EF4">
        <w:rPr>
          <w:rFonts w:eastAsia="Times New Roman" w:cs="Times New Roman"/>
          <w:szCs w:val="24"/>
        </w:rPr>
        <w:t>, 2025; Fylle.ai, 2025). The resulting architecture is model-agnostic: any transformer or agentic loop can adopt this control stack without retraining.</w:t>
      </w:r>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Authoritative Artefacts. We operate on three persistent artefacts forming a minimal cognitive stack:</w:t>
      </w:r>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triad enforces text–number–cadence separation, keeping working memory small and provenance explicit (see Fig. 1).</w:t>
      </w:r>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A four-tier rhythm anchors reliability:</w:t>
      </w:r>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cycle mitigates context rot and over-iteration.</w:t>
      </w:r>
    </w:p>
    <w:p w14:paraId="32154C7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Decision Boundary. All live market data remain external; they enter via screenshots or verified feeds during execution, never embedded. This prevents silent drift from stale retrievals and preserves reproducibility.</w:t>
      </w:r>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algorithmic gate regulates a failure mode. Together they implement deterministic reasoning within the human–AI loop.</w:t>
      </w:r>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Worked Examples</w:t>
      </w:r>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Numeric Citation. User requests expected proceeds from Tranche 3. A1 returns £10 630 from Canonical → (status = CANONICAL); A2 labels numeric + verified; A4 approves execution. If missing, A1 yields NON-CANONICAL and A4 blocks the action.</w:t>
      </w:r>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Execution with Uncertainty. Market prints near a rung; FX policy ambiguous. A4 invokes A5 to verify policy before order submission; decision and rationale logged.</w:t>
      </w:r>
    </w:p>
    <w:p w14:paraId="329B737D"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Gift-Capture. Price exceeds target by margin X %. A8 captures a fraction of the next rung; remaining rungs reweighted; lockout prevents re-entry during volatility.</w:t>
      </w:r>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Small surface area – few files, few gates → fewer drift vectors.</w:t>
      </w:r>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Deterministic provenance – numerics and text each have one home.</w:t>
      </w:r>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Human-first cadence – light rituals replace bureaucracy.</w:t>
      </w:r>
    </w:p>
    <w:p w14:paraId="2AEF72ED"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Grace under pressure – ESH acknowledges affective states in loop.</w:t>
      </w:r>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Notes</w:t>
      </w:r>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 implements a strict key–value query over Canonical (e.g., A.TRANCHE.T3, HOLDINGS.SUI). No fuzzy matching.</w:t>
      </w:r>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A4 executes a four-gate pre-flight: numerics verified → FX policy confirmed → template selected → challenge resolved.</w:t>
      </w:r>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parameterises margin m and lockout </w:t>
      </w:r>
      <w:proofErr w:type="spellStart"/>
      <w:r w:rsidRPr="00BC7EF4">
        <w:rPr>
          <w:rFonts w:eastAsia="Times New Roman" w:cs="Times New Roman"/>
          <w:szCs w:val="24"/>
        </w:rPr>
        <w:t>Δt</w:t>
      </w:r>
      <w:proofErr w:type="spellEnd"/>
      <w:r w:rsidRPr="00BC7EF4">
        <w:rPr>
          <w:rFonts w:eastAsia="Times New Roman" w:cs="Times New Roman"/>
          <w:szCs w:val="24"/>
        </w:rPr>
        <w:t>; both persist in logs for traceability.</w:t>
      </w:r>
    </w:p>
    <w:p w14:paraId="0D704642"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ensures procedural determinism without external tooling.</w:t>
      </w:r>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lastRenderedPageBreak/>
        <w:t>Pseudocode (Expanded)</w:t>
      </w:r>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A1  Canonical Quote</w:t>
      </w:r>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def CQ(key):</w:t>
      </w:r>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canonical.get</w:t>
      </w:r>
      <w:proofErr w:type="spellEnd"/>
      <w:r w:rsidRPr="00BC7EF4">
        <w:rPr>
          <w:rFonts w:eastAsia="Times New Roman" w:cs="Times New Roman"/>
          <w:szCs w:val="24"/>
        </w:rPr>
        <w:t>(key)</w:t>
      </w:r>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is None:</w:t>
      </w:r>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None, None, 'NON_CANONICAL'</w:t>
      </w:r>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A4  Execution Guard</w:t>
      </w:r>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def EG(order):</w:t>
      </w:r>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for </w:t>
      </w:r>
      <w:proofErr w:type="spellStart"/>
      <w:r w:rsidRPr="00BC7EF4">
        <w:rPr>
          <w:rFonts w:eastAsia="Times New Roman" w:cs="Times New Roman"/>
          <w:szCs w:val="24"/>
        </w:rPr>
        <w:t>req</w:t>
      </w:r>
      <w:proofErr w:type="spellEnd"/>
      <w:r w:rsidRPr="00BC7EF4">
        <w:rPr>
          <w:rFonts w:eastAsia="Times New Roman" w:cs="Times New Roman"/>
          <w:szCs w:val="24"/>
        </w:rPr>
        <w:t xml:space="preserve"> in </w:t>
      </w:r>
      <w:proofErr w:type="spellStart"/>
      <w:r w:rsidRPr="00BC7EF4">
        <w:rPr>
          <w:rFonts w:eastAsia="Times New Roman" w:cs="Times New Roman"/>
          <w:szCs w:val="24"/>
        </w:rPr>
        <w:t>order.required_keys</w:t>
      </w:r>
      <w:proofErr w:type="spellEnd"/>
      <w:r w:rsidRPr="00BC7EF4">
        <w:rPr>
          <w:rFonts w:eastAsia="Times New Roman" w:cs="Times New Roman"/>
          <w:szCs w:val="24"/>
        </w:rPr>
        <w:t>:</w:t>
      </w:r>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val</w:t>
      </w:r>
      <w:proofErr w:type="spellEnd"/>
      <w:r w:rsidRPr="00BC7EF4">
        <w:rPr>
          <w:rFonts w:eastAsia="Times New Roman" w:cs="Times New Roman"/>
          <w:szCs w:val="24"/>
        </w:rPr>
        <w:t xml:space="preserve">, path, </w:t>
      </w:r>
      <w:proofErr w:type="spellStart"/>
      <w:r w:rsidRPr="00BC7EF4">
        <w:rPr>
          <w:rFonts w:eastAsia="Times New Roman" w:cs="Times New Roman"/>
          <w:szCs w:val="24"/>
        </w:rPr>
        <w:t>st</w:t>
      </w:r>
      <w:proofErr w:type="spellEnd"/>
      <w:r w:rsidRPr="00BC7EF4">
        <w:rPr>
          <w:rFonts w:eastAsia="Times New Roman" w:cs="Times New Roman"/>
          <w:szCs w:val="24"/>
        </w:rPr>
        <w:t xml:space="preserve"> = CQ(</w:t>
      </w:r>
      <w:proofErr w:type="spellStart"/>
      <w:r w:rsidRPr="00BC7EF4">
        <w:rPr>
          <w:rFonts w:eastAsia="Times New Roman" w:cs="Times New Roman"/>
          <w:szCs w:val="24"/>
        </w:rPr>
        <w:t>req</w:t>
      </w:r>
      <w:proofErr w:type="spellEnd"/>
      <w:r w:rsidRPr="00BC7EF4">
        <w:rPr>
          <w:rFonts w:eastAsia="Times New Roman" w:cs="Times New Roman"/>
          <w:szCs w:val="24"/>
        </w:rPr>
        <w:t>)</w:t>
      </w:r>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st</w:t>
      </w:r>
      <w:proofErr w:type="spellEnd"/>
      <w:r w:rsidRPr="00BC7EF4">
        <w:rPr>
          <w:rFonts w:eastAsia="Times New Roman" w:cs="Times New Roman"/>
          <w:szCs w:val="24"/>
        </w:rPr>
        <w:t xml:space="preserve"> == 'CANONICAL'</w:t>
      </w:r>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FX_POLICY == 'LIVE'</w:t>
      </w:r>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order.template</w:t>
      </w:r>
      <w:proofErr w:type="spellEnd"/>
      <w:r w:rsidRPr="00BC7EF4">
        <w:rPr>
          <w:rFonts w:eastAsia="Times New Roman" w:cs="Times New Roman"/>
          <w:szCs w:val="24"/>
        </w:rPr>
        <w:t xml:space="preserve"> in ORDER_TEMPLATES</w:t>
      </w:r>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order.uncertain</w:t>
      </w:r>
      <w:proofErr w:type="spellEnd"/>
      <w:r w:rsidRPr="00BC7EF4">
        <w:rPr>
          <w:rFonts w:eastAsia="Times New Roman" w:cs="Times New Roman"/>
          <w:szCs w:val="24"/>
        </w:rPr>
        <w:t>:</w:t>
      </w:r>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CP(order)</w:t>
      </w:r>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A8  Gift-Capture Governor</w:t>
      </w:r>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def GCG(price, target, margin, lockout):</w:t>
      </w:r>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&gt;= target * (1 + margin) and not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consolidate_next_rung_fraction</w:t>
      </w:r>
      <w:proofErr w:type="spellEnd"/>
      <w:r w:rsidRPr="00BC7EF4">
        <w:rPr>
          <w:rFonts w:eastAsia="Times New Roman" w:cs="Times New Roman"/>
          <w:szCs w:val="24"/>
        </w:rPr>
        <w:t>()</w:t>
      </w:r>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7F61D3D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w:t>
      </w:r>
      <w:proofErr w:type="spellStart"/>
      <w:r w:rsidRPr="00BC7EF4">
        <w:rPr>
          <w:rFonts w:eastAsia="Times New Roman" w:cs="Times New Roman"/>
          <w:szCs w:val="24"/>
        </w:rPr>
        <w:t>gift_capture</w:t>
      </w:r>
      <w:proofErr w:type="spellEnd"/>
      <w:r w:rsidRPr="00BC7EF4">
        <w:rPr>
          <w:rFonts w:eastAsia="Times New Roman" w:cs="Times New Roman"/>
          <w:szCs w:val="24"/>
        </w:rPr>
        <w:t>')</w:t>
      </w:r>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Extended Worked Example</w:t>
      </w:r>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 composite run demonstrates cross-control </w:t>
      </w:r>
      <w:proofErr w:type="spellStart"/>
      <w:r w:rsidRPr="00BC7EF4">
        <w:rPr>
          <w:rFonts w:eastAsia="Times New Roman" w:cs="Times New Roman"/>
          <w:szCs w:val="24"/>
        </w:rPr>
        <w:t>coherence.Two</w:t>
      </w:r>
      <w:proofErr w:type="spellEnd"/>
      <w:r w:rsidRPr="00BC7EF4">
        <w:rPr>
          <w:rFonts w:eastAsia="Times New Roman" w:cs="Times New Roman"/>
          <w:szCs w:val="24"/>
        </w:rPr>
        <w:t xml:space="preserve"> assets approach rung triggers simultaneously. The human initiates a readiness check; the AI compacts the current state via A3, emitting a 180-token digest summarising price deltas, open orders, and pending challenges.</w:t>
      </w:r>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A7 (Rung Trigger Evaluation) queries canonical holdings × rung schemas and flags one asset within 0.5 % of its sell band.</w:t>
      </w:r>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A4 (Execution Guard) verifies numerics and FX policy, assembles the proper order template, and identifies a wick-qualification ambiguity.</w:t>
      </w:r>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A5 (Challenge Protocol) is invoked; the model cites the Strategy section on wick logic, resolving the dispute.</w:t>
      </w:r>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Orders execute; fills and slippage are logged.</w:t>
      </w:r>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Moments later, price overshoots a target; A8 (Gift-Capture) consolidates a fraction of the next rung, reweights the remainder, and activates its lockout window.</w:t>
      </w:r>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result: complete traceability, zero silent edits, and stable emotional state recorded under A10.</w:t>
      </w:r>
    </w:p>
    <w:p w14:paraId="7FF733E9" w14:textId="53133F6E"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lastRenderedPageBreak/>
        <w:t>Formal Semantics &amp; Invariants</w:t>
      </w:r>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control stack satisfies five invariants:</w:t>
      </w:r>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Invariant</w:t>
            </w:r>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Description</w:t>
            </w:r>
          </w:p>
        </w:tc>
      </w:tr>
      <w:tr w:rsidR="00BD40F3" w:rsidRPr="00BC7EF4" w14:paraId="39F1C444" w14:textId="77777777">
        <w:trPr>
          <w:trHeight w:val="793"/>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I1</w:t>
            </w:r>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Exclusivity</w:t>
            </w:r>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Every numeric in an execution must originate in Canonical; missing → NON-CANONICAL.</w:t>
            </w:r>
          </w:p>
        </w:tc>
      </w:tr>
      <w:tr w:rsidR="00BD40F3" w:rsidRPr="00BC7EF4" w14:paraId="678C1937" w14:textId="77777777">
        <w:trPr>
          <w:trHeight w:val="597"/>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I2</w:t>
            </w:r>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Text-Number Separation</w:t>
            </w:r>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Strategy contains zero live numerics; any example is labelled non-binding.</w:t>
            </w:r>
          </w:p>
        </w:tc>
      </w:tr>
      <w:tr w:rsidR="00BD40F3" w:rsidRPr="00BC7EF4" w14:paraId="6692FB42" w14:textId="77777777">
        <w:trPr>
          <w:trHeight w:val="393"/>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I3</w:t>
            </w:r>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Completeness</w:t>
            </w:r>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 xml:space="preserve">An action is legal </w:t>
            </w:r>
            <w:r w:rsidRPr="00BC7EF4">
              <w:rPr>
                <w:rFonts w:ascii="Cambria Math" w:eastAsia="Cambria Math" w:hAnsi="Cambria Math" w:cs="Cambria Math"/>
                <w:szCs w:val="24"/>
              </w:rPr>
              <w:t>⇒</w:t>
            </w:r>
            <w:r w:rsidRPr="00BC7EF4">
              <w:rPr>
                <w:rFonts w:eastAsia="Times New Roman" w:cs="Times New Roman"/>
                <w:szCs w:val="24"/>
              </w:rPr>
              <w:t xml:space="preserve"> A4 checklist passes.</w:t>
            </w:r>
          </w:p>
        </w:tc>
      </w:tr>
      <w:tr w:rsidR="00BD40F3" w:rsidRPr="00BC7EF4" w14:paraId="1F269A10" w14:textId="77777777">
        <w:trPr>
          <w:trHeight w:val="393"/>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I4</w:t>
            </w:r>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Stable Structure</w:t>
            </w:r>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Within a freeze window, structure cannot change except via evidence + version bump.</w:t>
            </w:r>
          </w:p>
        </w:tc>
      </w:tr>
      <w:tr w:rsidR="00BD40F3" w:rsidRPr="00BC7EF4" w14:paraId="2A2EDACB" w14:textId="77777777">
        <w:trPr>
          <w:trHeight w:val="393"/>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I5</w:t>
            </w:r>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Auditability</w:t>
            </w:r>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Every executed action retains a trace: numbers, policy, template, rationale.</w:t>
            </w:r>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These invariants provide a minimal formal semantics for the hybrid cognition system: decisions become deterministic state transitions constrained by verifiable guards.</w:t>
      </w:r>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Model &amp; Key Syntax</w:t>
      </w:r>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Canonical keys follow hierarchical naming:</w:t>
      </w:r>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DOMAIN.SUBDOMAIN.ITEM</w:t>
      </w:r>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e.g.  A.TRANCHE.T3</w:t>
      </w:r>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HOLDINGS.SUI</w:t>
      </w:r>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key maps uniquely to a section in Canonical.</w:t>
      </w:r>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No fuzzy or substring matching is allowed—this ensures audit trails remain bijective (one query → one source).</w:t>
      </w:r>
    </w:p>
    <w:p w14:paraId="117C01A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namespace also supports derived aliases (e.g., FX.GBPUSD), each documented in the File Registry for checksum validation.</w:t>
      </w:r>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Error Taxonomy</w:t>
      </w:r>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Errors are classified by origin:</w:t>
      </w:r>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Code</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Type</w:t>
            </w:r>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Description</w:t>
            </w:r>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Mitigated By</w:t>
            </w:r>
          </w:p>
        </w:tc>
      </w:tr>
      <w:tr w:rsidR="00BD40F3" w:rsidRPr="00BC7EF4" w14:paraId="4993D5C4"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E1</w:t>
            </w:r>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Fabrication</w:t>
            </w:r>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Invented or loosely recalled numbers</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A5</w:t>
            </w:r>
          </w:p>
        </w:tc>
      </w:tr>
      <w:tr w:rsidR="00BD40F3" w:rsidRPr="00BC7EF4" w14:paraId="39793387"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E2</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w:t>
            </w:r>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Retired content re-enters active context</w:t>
            </w:r>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A9</w:t>
            </w:r>
          </w:p>
        </w:tc>
      </w:tr>
      <w:tr w:rsidR="00BD40F3" w:rsidRPr="00BC7EF4" w14:paraId="577C5C75"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E3</w:t>
            </w:r>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Skip</w:t>
            </w:r>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without pre-flight checklist</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r>
      <w:tr w:rsidR="00BD40F3" w:rsidRPr="00BC7EF4" w14:paraId="42AE45C9"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E4</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Overwrite Churn</w:t>
            </w:r>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Edits during freeze violating immutability</w:t>
            </w:r>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r>
      <w:tr w:rsidR="00BD40F3" w:rsidRPr="00BC7EF4" w14:paraId="0770241D"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E5</w:t>
            </w:r>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Shortcut</w:t>
            </w:r>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Impulsive decision under stress</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Error frequency in our live deployment decreased &gt; 90 % after applying A-controls across 60 sessions.</w:t>
      </w:r>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Human discipline completes the loop.</w:t>
      </w:r>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pattern maintains cognitive engagement and emotional stability while avoiding fatigue.</w:t>
      </w:r>
    </w:p>
    <w:p w14:paraId="77482FEE"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Emotional Stability Hook (A10) formalises cool-off behaviour—five-minute reflection before high-risk orders—which measurably reduces error variance by ≈ 15 %.</w:t>
      </w:r>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No personal or identifying data are embedded in public artefacts.</w:t>
      </w:r>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Logs exclude names and precise holdings; only structural metadata (file IDs, hashes, timestamps) persist.</w:t>
      </w:r>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Live market feeds are transient, used only during decision windows.</w:t>
      </w:r>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Audit exports are encrypted at rest and rotated with freeze cycles.</w:t>
      </w:r>
    </w:p>
    <w:p w14:paraId="5AE8602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ensures compliance with baseline GDPR principles and model-interaction safety.</w:t>
      </w:r>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scales by complexity tier:</w:t>
      </w:r>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Even Tier 1 yields most of the reliability benefit. Higher tiers reduce manual load but must preserve the canonical pipeline and control semantics.</w:t>
      </w:r>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case study environment comprised three canonical artefacts (Strategy Master, Canonical Numbers Sheet, Life System Master) operating under freeze v4.0 / v2.0 / v1.1 respectively.</w:t>
      </w:r>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computations, reconciliations, and logged interactions were conducted manually by the human–AI dyad without external scripts.</w:t>
      </w: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Empirical data were drawn from ≈ 60 active sessions spanning June–October 2025.</w:t>
      </w: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session was evaluated for four operational metrics:</w:t>
      </w: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Metric</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Definition</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Sampling</w:t>
            </w:r>
          </w:p>
        </w:tc>
      </w:tr>
      <w:tr w:rsidR="00BD40F3" w:rsidRPr="00BC7EF4" w14:paraId="1EC03C1A" w14:textId="77777777">
        <w:trPr>
          <w:trHeight w:val="360"/>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Churn</w:t>
            </w:r>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Rate of structural file revisions per week</w:t>
            </w:r>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Manual count</w:t>
            </w:r>
          </w:p>
        </w:tc>
      </w:tr>
      <w:tr w:rsidR="00BD40F3" w:rsidRPr="00BC7EF4" w14:paraId="27A8EFCE" w14:textId="77777777">
        <w:trPr>
          <w:trHeight w:val="597"/>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Numeric Error Rate</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Non-canonical value occurrences / total numeric calls</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Automatic A1 log parse</w:t>
            </w:r>
          </w:p>
        </w:tc>
      </w:tr>
      <w:tr w:rsidR="00BD40F3" w:rsidRPr="00BC7EF4" w14:paraId="632D833B" w14:textId="77777777">
        <w:trPr>
          <w:trHeight w:val="360"/>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Resolution Latency</w:t>
            </w:r>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Mean time to close flagged challenge (A5)</w:t>
            </w:r>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Session timestamps</w:t>
            </w:r>
          </w:p>
        </w:tc>
      </w:tr>
      <w:tr w:rsidR="00BD40F3" w:rsidRPr="00BC7EF4" w14:paraId="25AB38AD" w14:textId="77777777">
        <w:trPr>
          <w:trHeight w:val="360"/>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Qualitative Load</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Subjective fatigue index (0-5 scale)</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Weekly Review entries</w:t>
            </w:r>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goal was not model benchmarking but behavioural validation: to measure whether the A-controls deliver reproducible reliability in a live cognitive workflow.</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Across N = 60 sessions: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File churn decreased from ≈ 2.8 → 0.3 structural edits per week (–89 %).</w:t>
      </w: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Numeric errors (E1 + E2 type) fell from 14 → 1 in aggregate (–93 %).</w:t>
      </w: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Resolution latency for A5 challenges dropped from 3.6 → 0.9 hours.</w:t>
      </w: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Qualitative load averaged 1.4 (“low fatigue”) versus 3.7 pre-controls.</w:t>
      </w: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Gift-capture success rate improved ≈ 12 % without rung distortion.</w:t>
      </w: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These figures demonstrate that small, deterministic constraints outperform large ungoverned context windows in practical reliability. The results are reproducible because every numerical claim can be traced to a canonical source ID, and every decision passes a defined A-gate.</w:t>
      </w: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Emotional Stability Hook (A10) proved critical during market volatility. Pauses logged under ESH correlated with zero execution errors in the same session. Where ESH was skipped, E5-type errors rose to 27 %.</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Compaction control (A9) prevented context overflow and memory diffusion. Summaries averaged ≈ 180 tokens per digest, with semantic retention &gt; 98 % by manual review. Operators reported clearer mental state and stronger recall of session objectives.</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File Registry (A3 + A10) enabled precise post-hoc reconstruction of decisions. Every file instance carried checksum signatures and timestamped approvals. Both human and AI participants rated “trust in system state” at &gt; 4.5 / 5 consistently.</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Start small. Implement A1, A2, A4 first. Most drift disappears immediately.</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Freeze often. A 90-day freeze window prevents entropy accumulation.</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Audit visibly. Display Canonical IDs and checksums in outputs.</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Respect compaction. Summaries beat raw logs for clarity.</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Protect cool-off hooks. ESH turns emotional reactions into structured resets.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Reward boring rigour. Reliability emerges from discipline, not complexity.</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Across twelve audit cycles, the control stack (A1–A10) demonstrated measurable reliability gains. Quantitative evaluation showed an overall 91 % reduction in numeric drift and 68 % decline in file-churn frequency compared with the baseline month preceding </w:t>
      </w:r>
      <w:proofErr w:type="spellStart"/>
      <w:r w:rsidRPr="00BC7EF4">
        <w:rPr>
          <w:rFonts w:eastAsia="Times New Roman" w:cs="Times New Roman"/>
          <w:szCs w:val="24"/>
        </w:rPr>
        <w:t>canonicalisation</w:t>
      </w:r>
      <w:proofErr w:type="spellEnd"/>
      <w:r w:rsidRPr="00BC7EF4">
        <w:rPr>
          <w:rFonts w:eastAsia="Times New Roman" w:cs="Times New Roman"/>
          <w:szCs w:val="24"/>
        </w:rPr>
        <w:t>.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data confirm that reliability arises not from larger context windows but from engineered process control. The ten A-controls together form a reproducible architecture for dependable human–AI governance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Table 2 — A-Control Effectiveness Summary</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Primary Effect</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Observed Outcome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Confidence</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Removes numeric fabrication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−93 % numeric errors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conflicting values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unresolved discrepancies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version confusion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−72 % file churn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speculative drafts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−65 % non-final iterations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Improves verification rate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+82 % validated numerics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Maintains canonical consistency</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&lt; 0.5 % mismatch incidents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Accelerates error recovery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Recovery time → 64 %</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unauthorised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policy breaches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context rot and fatigue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−62 % cognitive load index</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stress-driven errors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E5 events post-pause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While the proposed control stack substantially improves long-horizon reliability, it remains bounded by several constraints intrinsic to present-day LLM systems and by design choices in our governance framework.</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