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aps/>
          <w:color w:val="C05A12"/>
          <w:spacing w:val="20"/>
          <w:sz w:val="20"/>
          <w:szCs w:val="20"/>
        </w:rPr>
        <w:t xml:space="preserve">LIVING WATER NETWORK</w:t>
      </w:r>
    </w:p>
    <w:p>
      <w:pPr>
        <w:pStyle w:val="Heading1"/>
      </w:pPr>
      <w:r>
        <w:t xml:space="preserve">Board Meeting Packet</w:t>
      </w:r>
    </w:p>
    <w:p>
      <w:pPr>
        <w:spacing w:after="200"/>
      </w:pPr>
      <w:r>
        <w:rPr>
          <w:i/>
          <w:iCs/>
          <w:sz w:val="20"/>
          <w:szCs w:val="20"/>
        </w:rPr>
        <w:t xml:space="preserve">Prepared for prospective and current board members  |  July 2026</w:t>
      </w:r>
    </w:p>
    <w:p>
      <w:pPr>
        <w:spacing w:after="160"/>
      </w:pPr>
      <w:r>
        <w:t xml:space="preserve">This packet gives a prospective or current board member everything needed to understand Living Water Network's mission, governance structure, legal standing, and financial position. Documents are ordered to be read start to finish, but each stands on its own if you need to jump to a specific topic.</w:t>
      </w:r>
    </w:p>
    <w:p>
      <w:pPr>
        <w:pStyle w:val="Heading2"/>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c>
          <w:tcPr>
            <w:tcW w:type="dxa" w:w="700"/>
            <w:tcBorders>
              <w:top w:val="single" w:color="CCCCCC" w:sz="1"/>
              <w:left w:val="single" w:color="CCCCCC" w:sz="1"/>
              <w:bottom w:val="single" w:color="CCCCCC" w:sz="1"/>
              <w:right w:val="single" w:color="CCCCCC" w:sz="1"/>
            </w:tcBorders>
            <w:shd w:fill="EAF1F6" w:val="clear"/>
            <w:tcMar>
              <w:top w:type="dxa" w:w="100"/>
              <w:left w:type="dxa" w:w="120"/>
              <w:bottom w:type="dxa" w:w="100"/>
              <w:right w:type="dxa" w:w="120"/>
            </w:tcMar>
          </w:tcPr>
          <w:p>
            <w:r>
              <w:rPr>
                <w:b/>
                <w:bCs/>
              </w:rPr>
              <w:t xml:space="preserve">#</w:t>
            </w:r>
          </w:p>
        </w:tc>
        <w:tc>
          <w:tcPr>
            <w:tcW w:type="dxa" w:w="3200"/>
            <w:tcBorders>
              <w:top w:val="single" w:color="CCCCCC" w:sz="1"/>
              <w:left w:val="single" w:color="CCCCCC" w:sz="1"/>
              <w:bottom w:val="single" w:color="CCCCCC" w:sz="1"/>
              <w:right w:val="single" w:color="CCCCCC" w:sz="1"/>
            </w:tcBorders>
            <w:shd w:fill="EAF1F6" w:val="clear"/>
            <w:tcMar>
              <w:top w:type="dxa" w:w="100"/>
              <w:left w:type="dxa" w:w="120"/>
              <w:bottom w:type="dxa" w:w="100"/>
              <w:right w:type="dxa" w:w="120"/>
            </w:tcMar>
          </w:tcPr>
          <w:p>
            <w:r>
              <w:rPr>
                <w:b/>
                <w:bCs/>
              </w:rPr>
              <w:t xml:space="preserve">Document</w:t>
            </w:r>
          </w:p>
        </w:tc>
        <w:tc>
          <w:tcPr>
            <w:tcW w:type="dxa" w:w="5460"/>
            <w:tcBorders>
              <w:top w:val="single" w:color="CCCCCC" w:sz="1"/>
              <w:left w:val="single" w:color="CCCCCC" w:sz="1"/>
              <w:bottom w:val="single" w:color="CCCCCC" w:sz="1"/>
              <w:right w:val="single" w:color="CCCCCC" w:sz="1"/>
            </w:tcBorders>
            <w:shd w:fill="EAF1F6" w:val="clear"/>
            <w:tcMar>
              <w:top w:type="dxa" w:w="100"/>
              <w:left w:type="dxa" w:w="120"/>
              <w:bottom w:type="dxa" w:w="100"/>
              <w:right w:type="dxa" w:w="120"/>
            </w:tcMar>
          </w:tcPr>
          <w:p>
            <w:r>
              <w:rPr>
                <w:color w:val="445563"/>
                <w:sz w:val="20"/>
                <w:szCs w:val="20"/>
              </w:rPr>
              <w:t xml:space="preserve">Why it's here</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01</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Board Prospectus</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The primary recruitment document — mission, programs, and the case for board service.</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02</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Articles of Incorporation</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LWN's foundational legal charter, as amended and restated. EIN 93-1859873.</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03</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Bylaws</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Governance rules: board structure, officer roles, meeting procedures, and voting.</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04</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Governance &amp; Risk Policy Manual</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Conflict of interest, whistleblower, document retention, gift acceptance, and child/youth protection policies.</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05</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Board Written Consent (DRAFT)</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A pending board resolution, included for context on current board action items. Not yet signed — for attorney review before execution.</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06</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Georgia Charity Registration (DRAFT)</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Prep materials for Georgia's charitable solicitation registration. Draft status noted throughout; verify before filing.</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07</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Sponsorship Prospectus 2026</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The donor- and partner-facing case for support, including program structure, tiers, and the funding roadmap.</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08</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Internal Staffing &amp; Financial Plan (CONFIDENTIAL)</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Full budget detail and staffing model, included at the founder's direction for complete transparency with the board.</w:t>
            </w:r>
          </w:p>
        </w:tc>
      </w:tr>
      <w:tr>
        <w:tc>
          <w:tcPr>
            <w:tcW w:type="dxa" w:w="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09</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Media Kit One-Pager</w:t>
            </w:r>
          </w:p>
        </w:tc>
        <w:tc>
          <w:tcPr>
            <w:tcW w:type="dxa" w:w="5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color w:val="445563"/>
                <w:sz w:val="20"/>
                <w:szCs w:val="20"/>
              </w:rPr>
              <w:t xml:space="preserve">A quick-reference leave-behind summarizing mission, programs, and impact.</w:t>
            </w:r>
          </w:p>
        </w:tc>
      </w:tr>
    </w:tbl>
    <w:p>
      <w:pPr>
        <w:pStyle w:val="Heading2"/>
        <w:spacing w:before="300"/>
      </w:pPr>
      <w:r>
        <w:t xml:space="preserve">A Note on What Changed</w:t>
      </w:r>
    </w:p>
    <w:p>
      <w:pPr>
        <w:spacing w:after="120"/>
      </w:pPr>
      <w:r>
        <w:t xml:space="preserve">Before this packet was assembled, every document was checked for consistency. A few real conflicts were found and corrected:</w:t>
      </w:r>
    </w:p>
    <w:p>
      <w:pPr>
        <w:spacing w:after="80"/>
      </w:pPr>
      <w:r>
        <w:t xml:space="preserve">• The registered office address was inconsistent across three documents — all now read 4150 Ashford Dunwoody Rd, Unit 1225, Brookhaven, GA 30319, matching the Articles of Incorporation.</w:t>
      </w:r>
    </w:p>
    <w:p>
      <w:pPr>
        <w:spacing w:after="80"/>
      </w:pPr>
      <w:r>
        <w:t xml:space="preserve">• The Year 1 (2026–2027) fundraising goal was stated as three different numbers across documents. All now read $145,000, matching the Board Written Consent and the Internal Staffing &amp; Financial Plan — with Year 2 at $190,000 and Year 3 at $275,000+, matching what's already live on lwnetwork.org/partnership.</w:t>
      </w:r>
    </w:p>
    <w:p>
      <w:pPr>
        <w:spacing w:after="80"/>
      </w:pPr>
      <w:r>
        <w:t xml:space="preserve">• The Sponsorship Prospectus's program budget allocation (previously 55/20/15/10%) now matches the current, already-public 45% Groundwork / 15% Pastoral &amp; Therapeutic / 12% Missions / 28% Staffing, Operations &amp; Development split.</w:t>
      </w:r>
    </w:p>
    <w:p>
      <w:pPr>
        <w:spacing w:after="80"/>
      </w:pPr>
      <w:r>
        <w:t xml:space="preserve">• A placeholder “[Spouse Name]” in the Internal Staffing Plan has been filled in as Rickya Fandino, matching her listing as an incorporator/director in the Articles.</w:t>
      </w:r>
    </w:p>
    <w:p>
      <w:pPr>
        <w:spacing w:after="200"/>
      </w:pPr>
      <w:r>
        <w:t xml:space="preserve">• A numbering bug in the Governance Manual's incident-reporting procedure (Section 5.6, which started at “6.” instead of “1.”) has been corrected.</w:t>
      </w:r>
    </w:p>
    <w:p>
      <w:pPr>
        <w:pStyle w:val="Heading2"/>
      </w:pPr>
      <w:r>
        <w:t xml:space="preserve">Left for You to Decide</w:t>
      </w:r>
    </w:p>
    <w:p>
      <w:pPr>
        <w:spacing w:after="80"/>
      </w:pPr>
      <w:r>
        <w:t xml:space="preserve">The Foundational Documents Checklist (CONFIDENTIAL) was deliberately left out of this packet. It's now out of date — it describes name inconsistencies in the Articles and Bylaws that have already been corrected in the versions included here — and including it alongside the corrected documents would be confusing rather than transparent. It's still in the project folder if you want it added back.</w:t>
      </w:r>
    </w:p>
    <w:p>
      <w:r>
        <w:t xml:space="preserve">The Sponsorship Prospectus's founder bio references the incarceration story in general terms (no facility named, per LWN's standing policy). You've confirmed this language is fine to use externally as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A2A4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A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2026-07-06T01:09:51.671Z</dcterms:created>
  <dcterms:modified xsi:type="dcterms:W3CDTF">2026-07-06T01:09:51.671Z</dcterms:modified>
</cp:coreProperties>
</file>

<file path=docProps/custom.xml><?xml version="1.0" encoding="utf-8"?>
<Properties xmlns="http://schemas.openxmlformats.org/officeDocument/2006/custom-properties" xmlns:vt="http://schemas.openxmlformats.org/officeDocument/2006/docPropsVTypes"/>
</file>