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Amended and Restated Bylaws</w:t>
      </w:r>
    </w:p>
    <w:p>
      <w:pPr>
        <w:pStyle w:val="Subtitle"/>
      </w:pPr>
      <w:r>
        <w:t xml:space="preserve">of Living Water Network Inc.</w:t>
      </w:r>
    </w:p>
    <w:p>
      <w:pPr>
        <w:pStyle w:val="Heading2"/>
      </w:pPr>
      <w:r>
        <w:t xml:space="preserve">Preliminary Note</w:t>
      </w:r>
    </w:p>
    <w:p>
      <w:pPr>
        <w:spacing w:after="160"/>
      </w:pPr>
      <w:r>
        <w:t xml:space="preserve">These Amended and Restated Bylaws (these “Bylaws”) amend, restate, and supersede in their entirety the Bylaws originally adopted by the Board of Directors of the corporation, then known as Living Hydatos Inc., on April 13, 2023. The corporation's legal name was changed to Living Water Network Inc. by Certificate of Amendment filed with the Georgia Secretary of State on July 26, 2024 (Control Number 23092502), and these Bylaws use that name consistently throughout. These Bylaws also update the roster of officers to reflect the corporation's current officers and incorporate governance decisions made by the Board regarding director terms and meeting frequency.</w:t>
      </w:r>
    </w:p>
    <w:p>
      <w:pPr>
        <w:pStyle w:val="Heading1"/>
      </w:pPr>
      <w:r>
        <w:t xml:space="preserve">Article I: Offices</w:t>
      </w:r>
    </w:p>
    <w:p>
      <w:pPr>
        <w:pStyle w:val="Heading2"/>
      </w:pPr>
      <w:r>
        <w:t xml:space="preserve">Section 1. Principal Office</w:t>
      </w:r>
    </w:p>
    <w:p>
      <w:pPr>
        <w:spacing w:after="160"/>
      </w:pPr>
      <w:r>
        <w:t xml:space="preserve">The principal office of the corporation shall be located at 3343 Peachtree Rd NE, Ste 145 PMB 2806, Atlanta, GA 30326.</w:t>
      </w:r>
    </w:p>
    <w:p>
      <w:pPr>
        <w:pStyle w:val="Heading2"/>
      </w:pPr>
      <w:r>
        <w:t xml:space="preserve">Section 2. Registered Office and Agent</w:t>
      </w:r>
    </w:p>
    <w:p>
      <w:pPr>
        <w:spacing w:after="160"/>
      </w:pPr>
      <w:r>
        <w:t xml:space="preserve">The registered office of the corporation is located at 4150 Ashford Dunwoody Rd, Unit 1225, Brookhaven, GA 30319, and the registered agent at that address is Omar Fandino, consistent with the corporation's Articles of Incorporation and its filings with the Georgia Secretary of State.</w:t>
      </w:r>
    </w:p>
    <w:p>
      <w:pPr>
        <w:pStyle w:val="Heading2"/>
      </w:pPr>
      <w:r>
        <w:t xml:space="preserve">Section 3. Change of Address</w:t>
      </w:r>
    </w:p>
    <w:p>
      <w:pPr>
        <w:spacing w:after="160"/>
      </w:pPr>
      <w:r>
        <w:t xml:space="preserve">The Board of Directors may change the principal office or the registered office/agent from time to time, subject to any required filings with the Georgia Secretary of State. Any change to the principal office shall be noted by the Secretary in the corporation's records, and no amendment to these Bylaws shall be required solely because of such a change.</w:t>
      </w:r>
    </w:p>
    <w:p>
      <w:pPr>
        <w:pStyle w:val="Heading1"/>
      </w:pPr>
      <w:r>
        <w:t xml:space="preserve">Article II: Board of Directors</w:t>
      </w:r>
    </w:p>
    <w:p>
      <w:pPr>
        <w:pStyle w:val="Heading2"/>
      </w:pPr>
      <w:r>
        <w:t xml:space="preserve">Section 1. General Powers</w:t>
      </w:r>
    </w:p>
    <w:p>
      <w:pPr>
        <w:spacing w:after="160"/>
      </w:pPr>
      <w:r>
        <w:t xml:space="preserve">The affairs of the corporation shall be managed by its Board of Directors (the “Board”), which shall exercise all corporate powers and oversee the management of the business and affairs of the corporation, consistent with the corporation's Articles of Incorporation, these Bylaws, and the Georgia Nonprofit Corporation Code.</w:t>
      </w:r>
    </w:p>
    <w:p>
      <w:pPr>
        <w:pStyle w:val="Heading2"/>
      </w:pPr>
      <w:r>
        <w:t xml:space="preserve">Section 2. Number, Tenure, and Qualifications</w:t>
      </w:r>
    </w:p>
    <w:p>
      <w:pPr>
        <w:spacing w:after="160"/>
      </w:pPr>
      <w:r>
        <w:t xml:space="preserve">The Board shall consist of not fewer than three (3) directors, with the exact number set from time to time by resolution of the Board. Each director shall hold office for a term of three (3) years and may be renewed for one or more additional three-year terms by vote of the Board, until the director's earlier resignation, removal, or death, or until a successor is duly elected and qualified. Directors must be of the age of majority under Georgia law and must adhere to and exemplify the values reflected in the Statement of Faith set forth in the corporation's Articles of Incorporation.</w:t>
      </w:r>
    </w:p>
    <w:p>
      <w:pPr>
        <w:pStyle w:val="Heading2"/>
      </w:pPr>
      <w:r>
        <w:t xml:space="preserve">Section 3. Regular Meetings</w:t>
      </w:r>
    </w:p>
    <w:p>
      <w:pPr>
        <w:spacing w:after="160"/>
      </w:pPr>
      <w:r>
        <w:t xml:space="preserve">The Board shall hold regular meetings at least quarterly (four (4) times per year), at times and places (including by remote/electronic means) determined by the Board.</w:t>
      </w:r>
    </w:p>
    <w:p>
      <w:pPr>
        <w:pStyle w:val="Heading2"/>
      </w:pPr>
      <w:r>
        <w:t xml:space="preserve">Section 4. Special Meetings</w:t>
      </w:r>
    </w:p>
    <w:p>
      <w:pPr>
        <w:spacing w:after="160"/>
      </w:pPr>
      <w:r>
        <w:t xml:space="preserve">Special meetings of the Board may be called by the Founder/CEO, the Secretary, or any two (2) directors, for any purpose.</w:t>
      </w:r>
    </w:p>
    <w:p>
      <w:pPr>
        <w:pStyle w:val="Heading2"/>
        <w:spacing w:after="160"/>
      </w:pPr>
      <w:r>
        <w:t xml:space="preserve">Section 5. Notice</w:t>
      </w:r>
    </w:p>
    <w:p>
      <w:pPr>
        <w:spacing w:after="160"/>
      </w:pPr>
      <w:r>
        <w:t>Notice of each regular meeting of the Board shall be given at least ten (10) days before the meeting, and notice of each special meeting shall be given at least three (3) days before the meeting, in each case by written notice delivered personally or sent by mail, email, or other written or electronic means to each director at the address, email, or number shown in the corporation's records. Notice of a meeting need not describe the purpose of a regular meeting; notice of a special meeting shall state its purpose(s).</w:t>
      </w:r>
    </w:p>
    <w:p>
      <w:pPr>
        <w:pStyle w:val="Heading2"/>
      </w:pPr>
      <w:r>
        <w:t xml:space="preserve">Section 6. Quorum and Manner of Acting</w:t>
      </w:r>
    </w:p>
    <w:p>
      <w:pPr>
        <w:spacing w:after="160"/>
      </w:pPr>
      <w:r>
        <w:t xml:space="preserve">A majority of the directors then in office shall constitute a quorum for the transaction of business at any meeting. Except as otherwise required by law, the Articles of Incorporation, or these Bylaws, the act of a majority of the directors present at a meeting at which a quorum is present shall be the act of the Board.</w:t>
      </w:r>
    </w:p>
    <w:p>
      <w:pPr>
        <w:pStyle w:val="Heading2"/>
      </w:pPr>
      <w:r>
        <w:t xml:space="preserve">Section 7. Action Without a Meeting; Remote Participation</w:t>
      </w:r>
    </w:p>
    <w:p>
      <w:pPr>
        <w:spacing w:after="160"/>
      </w:pPr>
      <w:r>
        <w:t xml:space="preserve">Any action required or permitted to be taken at a Board meeting may be taken without a meeting if all directors consent in writing (including by email). Directors may participate in any meeting by telephone, video conference, or similar means by which all participants can hear one another, and such participation constitutes presence in person at the meeting.</w:t>
      </w:r>
    </w:p>
    <w:p>
      <w:pPr>
        <w:pStyle w:val="Heading2"/>
      </w:pPr>
      <w:r>
        <w:t xml:space="preserve">Section 8. Vacancies</w:t>
      </w:r>
    </w:p>
    <w:p>
      <w:pPr>
        <w:spacing w:after="160"/>
      </w:pPr>
      <w:r>
        <w:t xml:space="preserve">Any vacancy occurring on the Board may be filled by the affirmative vote of a majority of the remaining directors, even if less than a quorum, and a director so elected shall serve for the unexpired portion of the term.</w:t>
      </w:r>
    </w:p>
    <w:p>
      <w:pPr>
        <w:pStyle w:val="Heading2"/>
      </w:pPr>
      <w:r>
        <w:t xml:space="preserve">Section 9. Removal</w:t>
      </w:r>
    </w:p>
    <w:p>
      <w:pPr>
        <w:spacing w:after="160"/>
      </w:pPr>
      <w:r>
        <w:t xml:space="preserve">Any director may be removed, with or without cause, by a two-thirds (2/3) vote of the remaining directors, whenever in the Board's judgment the best interests of the corporation would be served.</w:t>
      </w:r>
    </w:p>
    <w:p>
      <w:pPr>
        <w:pStyle w:val="Heading1"/>
      </w:pPr>
      <w:r>
        <w:t xml:space="preserve">Article III: Officers</w:t>
      </w:r>
    </w:p>
    <w:p>
      <w:pPr>
        <w:pStyle w:val="Heading2"/>
      </w:pPr>
      <w:r>
        <w:t xml:space="preserve">Section 1. Officers</w:t>
      </w:r>
    </w:p>
    <w:p>
      <w:pPr>
        <w:spacing w:after="160"/>
      </w:pPr>
      <w:r>
        <w:t xml:space="preserve">The officers of the corporation shall be a Founder/Chief Executive Officer (“CEO”), a Chief Financial Officer (“CFO”), and a Secretary, and such other officers (including a Vice-President or additional officers) as the Board may from time to time elect. One person may hold more than one office, except that the same person may not simultaneously serve as both CEO and Secretary. As of the adoption of these Bylaws, the officers of the corporation are Omar Fandino (Founder/CEO), Rickya Fandino (CFO), and Nancy Rockenstyre (Secretary).</w:t>
      </w:r>
    </w:p>
    <w:p>
      <w:pPr>
        <w:pStyle w:val="Heading2"/>
      </w:pPr>
      <w:r>
        <w:t xml:space="preserve">Section 2. Election and Term of Office</w:t>
      </w:r>
    </w:p>
    <w:p>
      <w:pPr>
        <w:spacing w:after="160"/>
      </w:pPr>
      <w:r>
        <w:t xml:space="preserve">Officers shall be elected annually by the Board at the first regular Board meeting of each calendar year, or as soon thereafter as practicable, and shall serve until a successor is elected and qualified or until earlier resignation, removal, or death. Officers need not be directors.</w:t>
      </w:r>
    </w:p>
    <w:p>
      <w:pPr>
        <w:pStyle w:val="Heading2"/>
      </w:pPr>
      <w:r>
        <w:t xml:space="preserve">Section 3. Removal</w:t>
      </w:r>
    </w:p>
    <w:p>
      <w:pPr>
        <w:spacing w:after="160"/>
      </w:pPr>
      <w:r>
        <w:t xml:space="preserve">Any officer may be removed by a majority vote of the Board whenever, in its judgment, the best interests of the corporation would be served.</w:t>
      </w:r>
    </w:p>
    <w:p>
      <w:pPr>
        <w:pStyle w:val="Heading2"/>
      </w:pPr>
      <w:r>
        <w:t xml:space="preserve">Section 4. Vacancies</w:t>
      </w:r>
    </w:p>
    <w:p>
      <w:pPr>
        <w:spacing w:after="160"/>
      </w:pPr>
      <w:r>
        <w:t xml:space="preserve">A vacancy in any office because of death, resignation, removal, disqualification, or otherwise may be filled by the Board for the unexpired portion of the term.</w:t>
      </w:r>
    </w:p>
    <w:p>
      <w:pPr>
        <w:pStyle w:val="Heading2"/>
      </w:pPr>
      <w:r>
        <w:t xml:space="preserve">Section 5. Founder / Chief Executive Officer</w:t>
      </w:r>
    </w:p>
    <w:p>
      <w:pPr>
        <w:spacing w:after="160"/>
      </w:pPr>
      <w:r>
        <w:t xml:space="preserve">The Founder/CEO shall be the principal executive officer of the corporation, shall preside at all meetings of the Board, shall oversee the corporation's programs, operations, and staff, and shall carry out the policies and resolutions adopted by the Board. The Founder/CEO shall perform such other duties as are incident to the office or as the Board may assign.</w:t>
      </w:r>
    </w:p>
    <w:p>
      <w:pPr>
        <w:pStyle w:val="Heading2"/>
      </w:pPr>
      <w:r>
        <w:t xml:space="preserve">Section 6. Chief Financial Officer</w:t>
      </w:r>
    </w:p>
    <w:p>
      <w:pPr>
        <w:spacing w:after="160"/>
      </w:pPr>
      <w:r>
        <w:t xml:space="preserve">The CFO shall have charge and custody of, and be responsible for, all funds and financial records of the corporation; shall oversee the corporation's budgeting, bookkeeping, banking relationships, and financial reporting; shall ensure the timely preparation of financial statements and any required tax filings (including IRS Form 990 series returns); and shall perform such other duties as are incident to the office or as the Board may assign. The Board may designate the CFO to also serve as Treasurer for purposes of any external filings requiring that title.</w:t>
      </w:r>
    </w:p>
    <w:p>
      <w:pPr>
        <w:pStyle w:val="Heading2"/>
      </w:pPr>
      <w:r>
        <w:t xml:space="preserve">Section 7. Secretary</w:t>
      </w:r>
    </w:p>
    <w:p>
      <w:pPr>
        <w:spacing w:after="160"/>
      </w:pPr>
      <w:r>
        <w:t xml:space="preserve">The Secretary shall keep the minutes of meetings of the Board, see that all notices are duly given in accordance with these Bylaws, be the custodian of the corporation's records (including its Articles of Incorporation, these Bylaws, and Board minutes), and perform such other duties as are incident to the office or as the Board may assign.</w:t>
      </w:r>
    </w:p>
    <w:p>
      <w:pPr>
        <w:pStyle w:val="Heading1"/>
      </w:pPr>
      <w:r>
        <w:t xml:space="preserve">Article IV: Committees</w:t>
      </w:r>
    </w:p>
    <w:p>
      <w:pPr>
        <w:pStyle w:val="Heading2"/>
      </w:pPr>
      <w:r>
        <w:t xml:space="preserve">Section 1. Committees</w:t>
      </w:r>
    </w:p>
    <w:p>
      <w:pPr>
        <w:spacing w:after="160"/>
      </w:pPr>
      <w:r>
        <w:t xml:space="preserve">The Board, by resolution, may designate one or more committees, each consisting of two or more directors (and, where appropriate, non-director advisors), to assist the Board in carrying out its duties. Such committees shall have and may exercise the authority delegated to them by the Board, subject to such limitations as the Board may prescribe, provided that no committee shall have the authority to take action reserved to the full Board under the Georgia Nonprofit Corporation Code, the Articles of Incorporation, or these Bylaws.</w:t>
      </w:r>
    </w:p>
    <w:p>
      <w:pPr>
        <w:pStyle w:val="Heading2"/>
      </w:pPr>
      <w:r>
        <w:t xml:space="preserve">Section 2. Committee Procedures</w:t>
      </w:r>
    </w:p>
    <w:p>
      <w:pPr>
        <w:spacing w:after="160"/>
      </w:pPr>
      <w:r>
        <w:t xml:space="preserve">Except as otherwise provided by the Board, each committee shall determine its own rules of procedure, consistent with these Bylaws.</w:t>
      </w:r>
    </w:p>
    <w:p>
      <w:pPr>
        <w:pStyle w:val="Heading1"/>
      </w:pPr>
      <w:r>
        <w:t xml:space="preserve">Article V: Conflict of Interest</w:t>
      </w:r>
    </w:p>
    <w:p>
      <w:pPr>
        <w:pStyle w:val="Heading2"/>
      </w:pPr>
      <w:r>
        <w:t xml:space="preserve">Section 1. Purpose</w:t>
      </w:r>
    </w:p>
    <w:p>
      <w:pPr>
        <w:spacing w:after="160"/>
      </w:pPr>
      <w:r>
        <w:t xml:space="preserve">The purpose of this conflict of interest policy is to protect this tax-exempt organization's interests when it is contemplating entering into a transaction or arrangement that might benefit the private interest of a director, officer, or committee member, or that might otherwise result in a possible excess benefit transaction.</w:t>
      </w:r>
    </w:p>
    <w:p>
      <w:pPr>
        <w:pStyle w:val="Heading2"/>
      </w:pPr>
      <w:r>
        <w:t xml:space="preserve">Section 2. Definitions</w:t>
      </w:r>
    </w:p>
    <w:p>
      <w:pPr>
        <w:spacing w:after="160"/>
      </w:pPr>
      <w:r>
        <w:t xml:space="preserve">(a) Interested Person: Any director, officer, or member of a committee with Board-delegated powers who has a direct or indirect financial interest, as defined below, is an interested person.</w:t>
      </w:r>
    </w:p>
    <w:p>
      <w:pPr>
        <w:spacing w:after="160"/>
      </w:pPr>
      <w:r>
        <w:t xml:space="preserve">(b) Financial Interest: A person has a financial interest if the person has, directly or indirectly, through business, investment, or family, an ownership or investment interest in any entity with which the corporation has a transaction or arrangement, a compensation arrangement with the corporation or with any entity or individual with which the corporation has a transaction or arrangement, or a potential ownership or investment interest in, or compensation arrangement with, any entity or individual with which the corporation is negotiating a transaction or arrangement.</w:t>
      </w:r>
    </w:p>
    <w:p>
      <w:pPr>
        <w:pStyle w:val="Heading2"/>
      </w:pPr>
      <w:r>
        <w:t xml:space="preserve">Section 3. Procedures</w:t>
      </w:r>
    </w:p>
    <w:p>
      <w:pPr>
        <w:spacing w:after="160"/>
      </w:pPr>
      <w:r>
        <w:t xml:space="preserve">(a) Duty to Disclose: An interested person must disclose the existence and nature of any financial interest and must be given the opportunity to disclose all material facts to the directors and committee members considering the proposed transaction or arrangement.</w:t>
      </w:r>
    </w:p>
    <w:p>
      <w:pPr>
        <w:spacing w:after="160"/>
      </w:pPr>
      <w:r>
        <w:t xml:space="preserve">(b) Determining Whether a Conflict Exists: After disclosure and any discussion with the interested person, that person shall leave the Board or committee meeting while the determination of whether a conflict of interest exists is discussed and voted upon.</w:t>
      </w:r>
    </w:p>
    <w:p>
      <w:pPr>
        <w:spacing w:after="160"/>
      </w:pPr>
      <w:r>
        <w:t xml:space="preserve">(c) Recusal: An interested person shall not vote on, or otherwise participate in the Board's or a committee's deliberation or decision regarding, any transaction or arrangement in which the person has a conflict of interest, except to provide information as requested.</w:t>
      </w:r>
    </w:p>
    <w:p>
      <w:pPr>
        <w:pStyle w:val="Heading2"/>
      </w:pPr>
      <w:r>
        <w:t xml:space="preserve">Section 4. Detailed Policy Governs</w:t>
      </w:r>
    </w:p>
    <w:p>
      <w:pPr>
        <w:spacing w:after="160"/>
      </w:pPr>
      <w:r>
        <w:t xml:space="preserve">The corporation maintains a separate, more detailed Conflict of Interest Policy, adopted and as may be amended from time to time by the Board, which sets forth additional procedures, annual disclosure statement requirements, and compliance/violation provisions applicable to directors, officers, and key staff. That Conflict of Interest Policy is incorporated by reference into these Bylaws and controls with respect to the specific procedures it addresses; in the event of any conflict between this Article V and the separate Conflict of Interest Policy, the more detailed procedures of the separate policy shall govern, provided they are not inconsistent with applicable law.</w:t>
      </w:r>
    </w:p>
    <w:p>
      <w:pPr>
        <w:pStyle w:val="Heading1"/>
      </w:pPr>
      <w:r>
        <w:t xml:space="preserve">Article VI: Fiscal Year</w:t>
      </w:r>
    </w:p>
    <w:p>
      <w:pPr>
        <w:spacing w:after="160"/>
      </w:pPr>
      <w:r>
        <w:t xml:space="preserve">The corporation's fiscal year shall begin on the first day of January and end on the last day of December of each year, unless otherwise changed by resolution of the Board.</w:t>
      </w:r>
    </w:p>
    <w:p>
      <w:pPr>
        <w:pStyle w:val="Heading1"/>
      </w:pPr>
      <w:r>
        <w:t xml:space="preserve">Article VII: Indemnification</w:t>
      </w:r>
    </w:p>
    <w:p>
      <w:pPr>
        <w:spacing w:after="160"/>
      </w:pPr>
      <w:r>
        <w:t xml:space="preserve">The corporation shall indemnify its directors, officers, employees, and agents against liability incurred in connection with any proceeding arising from their service to the corporation, to the fullest extent permitted by the Georgia Nonprofit Corporation Code and other applicable law, provided that the corporation shall not indemnify any person for conduct that applicable law does not permit to be indemnified. The Board may authorize the purchase of insurance on behalf of any director, officer, employee, or agent against liability arising from their service to the corporation, whether or not the corporation would have power to indemnify such person against such liability under this Article.</w:t>
      </w:r>
    </w:p>
    <w:p>
      <w:pPr>
        <w:pStyle w:val="Heading1"/>
      </w:pPr>
      <w:r>
        <w:t xml:space="preserve">Article VIII: Nonprofit Status and Dissolution</w:t>
      </w:r>
    </w:p>
    <w:p>
      <w:pPr>
        <w:spacing w:after="160"/>
      </w:pPr>
      <w:r>
        <w:t xml:space="preserve">The corporation is organized and shall be operated exclusively for the purposes set forth in its Articles of Incorporation, consistent with section 501(c)(3) of the Internal Revenue Code. No part of the net earnings of the corporation shall inure to the benefit of any director, officer, or other private person, except for reasonable compensation for services rendered and payments in furtherance of the corporation's exempt purposes. Upon dissolution of the corporation, its assets shall be distributed in accordance with the dissolution provisions of the corporation's Articles of Incorporation.</w:t>
      </w:r>
    </w:p>
    <w:p>
      <w:pPr>
        <w:pStyle w:val="Heading1"/>
      </w:pPr>
      <w:r>
        <w:t xml:space="preserve">Article IX: Statement of Faith</w:t>
      </w:r>
    </w:p>
    <w:p>
      <w:pPr>
        <w:spacing w:after="160"/>
      </w:pPr>
      <w:r>
        <w:t xml:space="preserve">The corporation's Statement of Faith, as set forth in the Articles of Incorporation, is incorporated into these Bylaws by reference. All directors, officers, and voting committee members shall be expected to affirm and act in a manner consistent with the Statement of Faith.</w:t>
      </w:r>
    </w:p>
    <w:p>
      <w:pPr>
        <w:pStyle w:val="Heading1"/>
      </w:pPr>
      <w:r>
        <w:t xml:space="preserve">Article X: Amendments</w:t>
      </w:r>
    </w:p>
    <w:p>
      <w:pPr>
        <w:spacing w:after="160"/>
      </w:pPr>
      <w:r>
        <w:t xml:space="preserve">These Bylaws may be altered, amended, or repealed, and new bylaws may be adopted, by a two-thirds (2/3) majority of the directors present at any regular or special meeting of the Board at which a quorum is present, provided that at least twenty-one (21) days' written notice of the intention to alter, amend, or repeal these Bylaws, or to adopt new bylaws, is given to each director in advance of such meeting, together with a summary or copy of the proposed change.</w:t>
      </w:r>
    </w:p>
    <w:p>
      <w:r>
        <w:br w:type="page"/>
      </w:r>
    </w:p>
    <w:p>
      <w:pPr>
        <w:pStyle w:val="Heading2"/>
      </w:pPr>
      <w:r>
        <w:t xml:space="preserve">Certification and Adoption</w:t>
      </w:r>
    </w:p>
    <w:p>
      <w:pPr>
        <w:spacing w:after="160"/>
      </w:pPr>
      <w:r>
        <w:t xml:space="preserve">These Amended and Restated Bylaws have been adopted by resolution of the Board of Directors of Living Water Network Inc., and supersede and replace the corporation's original Bylaws adopted April 13, 2023.</w:t>
      </w:r>
    </w:p>
    <w:p>
      <w:pPr>
        <w:spacing w:after="160"/>
      </w:pPr>
      <w:r>
        <w:rPr>
          <w:i/>
          <w:iCs/>
          <w:color w:val="444444"/>
          <w:sz w:val="20"/>
          <w:szCs w:val="20"/>
        </w:rPr>
        <w:t xml:space="preserve">The undersigned, being all of the current directors/officers of the corporation, evidence their approval below (to be signed upon adoption):</w:t>
      </w:r>
    </w:p>
    <w:p>
      <w:pPr>
        <w:spacing w:after="40" w:before="480"/>
      </w:pPr>
      <w:r>
        <w:t xml:space="preserve">______________________________</w:t>
      </w:r>
    </w:p>
    <w:p>
      <w:pPr>
        <w:spacing w:after="40"/>
      </w:pPr>
      <w:r>
        <w:rPr>
          <w:sz w:val="20"/>
          <w:szCs w:val="20"/>
        </w:rPr>
        <w:t xml:space="preserve">Omar Fandino, Founder &amp; CEO / Director</w:t>
      </w:r>
    </w:p>
    <w:p>
      <w:pPr>
        <w:spacing w:after="200"/>
      </w:pPr>
      <w:r>
        <w:rPr>
          <w:sz w:val="20"/>
          <w:szCs w:val="20"/>
        </w:rPr>
        <w:t xml:space="preserve">Date: ____________________</w:t>
      </w:r>
    </w:p>
    <w:p>
      <w:pPr>
        <w:spacing w:after="40" w:before="480"/>
      </w:pPr>
      <w:r>
        <w:t xml:space="preserve">______________________________</w:t>
      </w:r>
    </w:p>
    <w:p>
      <w:pPr>
        <w:spacing w:after="40"/>
      </w:pPr>
      <w:r>
        <w:rPr>
          <w:sz w:val="20"/>
          <w:szCs w:val="20"/>
        </w:rPr>
        <w:t xml:space="preserve">Rickya Fandino, CFO / Director</w:t>
      </w:r>
    </w:p>
    <w:p>
      <w:pPr>
        <w:spacing w:after="200"/>
      </w:pPr>
      <w:r>
        <w:rPr>
          <w:sz w:val="20"/>
          <w:szCs w:val="20"/>
        </w:rPr>
        <w:t xml:space="preserve">Date: ____________________</w:t>
      </w:r>
    </w:p>
    <w:p>
      <w:pPr>
        <w:spacing w:after="40" w:before="480"/>
      </w:pPr>
      <w:r>
        <w:t xml:space="preserve">______________________________</w:t>
      </w:r>
    </w:p>
    <w:p>
      <w:pPr>
        <w:spacing w:after="40"/>
      </w:pPr>
      <w:r>
        <w:rPr>
          <w:sz w:val="20"/>
          <w:szCs w:val="20"/>
        </w:rPr>
        <w:t xml:space="preserve">Nancy Rockenstyre, Secretary / Director</w:t>
      </w:r>
    </w:p>
    <w:p>
      <w:pPr>
        <w:spacing w:after="200"/>
      </w:pPr>
      <w:r>
        <w:rPr>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Living Water Network Inc. — Amended and Restated Bylaws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b/>
        <w:bCs/>
        <w:color w:val="990000"/>
        <w:sz w:val="16"/>
        <w:szCs w:val="16"/>
      </w:rPr>
      <w:t xml:space="preserve">Living Water Network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A2A47"/>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0A2A47"/>
      <w:sz w:val="24"/>
      <w:szCs w:val="24"/>
    </w:rPr>
  </w:style>
  <w:style w:type="paragraph" w:styleId="Title">
    <w:name w:val="Title"/>
    <w:basedOn w:val="Normal"/>
    <w:next w:val="Normal"/>
    <w:qFormat/>
    <w:pPr>
      <w:spacing w:after="120" w:before="0"/>
      <w:jc w:val="center"/>
    </w:pPr>
    <w:rPr>
      <w:rFonts w:ascii="Calibri" w:cs="Calibri" w:eastAsia="Calibri" w:hAnsi="Calibri"/>
      <w:b/>
      <w:bCs/>
      <w:color w:val="0A2A47"/>
      <w:sz w:val="36"/>
      <w:szCs w:val="36"/>
    </w:rPr>
  </w:style>
  <w:style w:type="paragraph" w:styleId="Subtitle">
    <w:name w:val="Subtitle"/>
    <w:basedOn w:val="Normal"/>
    <w:next w:val="Normal"/>
    <w:qFormat/>
    <w:pPr>
      <w:spacing w:after="360" w:before="0"/>
      <w:jc w:val="center"/>
    </w:pPr>
    <w:rPr>
      <w:rFonts w:ascii="Calibri" w:cs="Calibri" w:eastAsia="Calibri" w:hAnsi="Calibri"/>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2026-07-05T06:24:12.505Z</dcterms:created>
  <dcterms:modified xsi:type="dcterms:W3CDTF">2026-07-05T06:24:12.505Z</dcterms:modified>
</cp:coreProperties>
</file>

<file path=docProps/custom.xml><?xml version="1.0" encoding="utf-8"?>
<Properties xmlns="http://schemas.openxmlformats.org/officeDocument/2006/custom-properties" xmlns:vt="http://schemas.openxmlformats.org/officeDocument/2006/docPropsVTypes"/>
</file>