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A2A47"/>
          <w:sz w:val="40"/>
          <w:szCs w:val="40"/>
        </w:rPr>
        <w:t xml:space="preserve">LIVING WATER NETWORK INC.</w:t>
      </w:r>
    </w:p>
    <w:p>
      <w:pPr>
        <w:spacing w:after="40"/>
        <w:jc w:val="center"/>
      </w:pPr>
      <w:r>
        <w:rPr>
          <w:b/>
          <w:bCs/>
          <w:color w:val="C05A12"/>
          <w:sz w:val="30"/>
          <w:szCs w:val="30"/>
        </w:rPr>
        <w:t xml:space="preserve">Governance &amp; Risk Policy Manual</w:t>
      </w:r>
    </w:p>
    <w:p>
      <w:pPr>
        <w:spacing w:after="300"/>
        <w:jc w:val="center"/>
      </w:pPr>
      <w:r>
        <w:rPr>
          <w:color w:val="444444"/>
          <w:sz w:val="20"/>
          <w:szCs w:val="20"/>
        </w:rPr>
        <w:t xml:space="preserve">EIN 93-1859873  |  Georgia Domestic Nonprofit Corporation, Control No. 23092502</w:t>
      </w:r>
    </w:p>
    <w:p>
      <w:pPr>
        <w:spacing w:after="160"/>
      </w:pPr>
      <w:r>
        <w:rPr>
          <w:b/>
          <w:bCs/>
        </w:rPr>
        <w:t xml:space="preserve">About this document: </w:t>
      </w:r>
      <w:r>
        <w:t xml:space="preserve">This manual is the official policy manual of Living Water Network Inc. (“LWN” or the “Organization”), comprising five internal governance and risk-management policies adopted by the Board of Directors.</w:t>
      </w:r>
    </w:p>
    <w:p>
      <w:r>
        <w:br w:type="page"/>
      </w:r>
    </w:p>
    <w:p>
      <w:pPr>
        <w:pStyle w:val="Heading1"/>
      </w:pPr>
      <w:r>
        <w:t xml:space="preserve">Contents</w:t>
      </w:r>
    </w:p>
    <w:p>
      <w:pPr>
        <w:pStyle w:val="ListParagraph"/>
        <w:numPr>
          <w:ilvl w:val="0"/>
          <w:numId w:val="2"/>
        </w:numPr>
        <w:spacing w:after="100"/>
      </w:pPr>
      <w:r>
        <w:t xml:space="preserve">Section 1 — Conflict of Interest Policy</w:t>
      </w:r>
    </w:p>
    <w:p>
      <w:pPr>
        <w:pStyle w:val="ListParagraph"/>
        <w:numPr>
          <w:ilvl w:val="0"/>
          <w:numId w:val="2"/>
        </w:numPr>
        <w:spacing w:after="100"/>
      </w:pPr>
      <w:r>
        <w:t xml:space="preserve">Section 2 — Whistleblower Policy</w:t>
      </w:r>
    </w:p>
    <w:p>
      <w:pPr>
        <w:pStyle w:val="ListParagraph"/>
        <w:numPr>
          <w:ilvl w:val="0"/>
          <w:numId w:val="2"/>
        </w:numPr>
        <w:spacing w:after="100"/>
      </w:pPr>
      <w:r>
        <w:t xml:space="preserve">Section 3 — Document Retention &amp; Destruction Policy</w:t>
      </w:r>
    </w:p>
    <w:p>
      <w:pPr>
        <w:pStyle w:val="ListParagraph"/>
        <w:numPr>
          <w:ilvl w:val="0"/>
          <w:numId w:val="2"/>
        </w:numPr>
        <w:spacing w:after="100"/>
      </w:pPr>
      <w:r>
        <w:t xml:space="preserve">Section 4 — Gift Acceptance Policy</w:t>
      </w:r>
    </w:p>
    <w:p>
      <w:pPr>
        <w:pStyle w:val="ListParagraph"/>
        <w:numPr>
          <w:ilvl w:val="0"/>
          <w:numId w:val="2"/>
        </w:numPr>
        <w:spacing w:after="100"/>
      </w:pPr>
      <w:r>
        <w:t xml:space="preserve">Section 5 — Child &amp; Youth Protection Policy</w:t>
      </w:r>
    </w:p>
    <w:p>
      <w:r>
        <w:br w:type="page"/>
      </w:r>
    </w:p>
    <w:p>
      <w:pPr>
        <w:pStyle w:val="Heading1"/>
      </w:pPr>
      <w:r>
        <w:t xml:space="preserve">Section 1. Conflict of Interest Policy</w:t>
      </w:r>
    </w:p>
    <w:p>
      <w:pPr>
        <w:pStyle w:val="Heading2"/>
      </w:pPr>
      <w:r>
        <w:t xml:space="preserve">1.1 Purpose</w:t>
      </w:r>
    </w:p>
    <w:p>
      <w:pPr>
        <w:spacing w:after="160"/>
      </w:pPr>
      <w:r>
        <w:t xml:space="preserve">This policy protects the interests of Living Water Network Inc. (“LWN”) when it is contemplating entering into a transaction or arrangement that might benefit the private interest of an officer, director, or key employee of LWN, or that might result in a possible excess benefit transaction under IRS rules governing tax-exempt organizations. This policy is intended to supplement, not replace, applicable Georgia nonprofit law and federal tax law.</w:t>
      </w:r>
    </w:p>
    <w:p>
      <w:pPr>
        <w:pStyle w:val="Heading2"/>
      </w:pPr>
      <w:r>
        <w:t xml:space="preserve">1.2 Definition of a Conflict of Interest</w:t>
      </w:r>
    </w:p>
    <w:p>
      <w:pPr>
        <w:spacing w:after="160"/>
      </w:pPr>
      <w:r>
        <w:t xml:space="preserve">A conflict of interest exists when a person who has authority to make or influence a decision on behalf of LWN (a “Covered Person,” meaning any director, officer, or key employee) also has a financial, familial, or other personal interest in the outcome of that decision that could reasonably be expected to affect their independent judgment. Examples include, but are not limited to:</w:t>
      </w:r>
    </w:p>
    <w:p>
      <w:pPr>
        <w:pStyle w:val="ListParagraph"/>
        <w:numPr>
          <w:ilvl w:val="0"/>
          <w:numId w:val="2"/>
        </w:numPr>
        <w:spacing w:after="100"/>
      </w:pPr>
      <w:r>
        <w:t xml:space="preserve">A Covered Person, or a family member of a Covered Person, has an ownership or investment interest in an entity with which LWN is considering doing business.</w:t>
      </w:r>
    </w:p>
    <w:p>
      <w:pPr>
        <w:pStyle w:val="ListParagraph"/>
        <w:numPr>
          <w:ilvl w:val="0"/>
          <w:numId w:val="2"/>
        </w:numPr>
        <w:spacing w:after="100"/>
      </w:pPr>
      <w:r>
        <w:t xml:space="preserve">A Covered Person, or a family member of a Covered Person, receives compensation, gifts, or favors from an entity doing business with, or seeking to do business with, LWN.</w:t>
      </w:r>
    </w:p>
    <w:p>
      <w:pPr>
        <w:pStyle w:val="ListParagraph"/>
        <w:numPr>
          <w:ilvl w:val="0"/>
          <w:numId w:val="2"/>
        </w:numPr>
        <w:spacing w:after="100"/>
      </w:pPr>
      <w:r>
        <w:t xml:space="preserve">A Covered Person serves as a director, officer, or employee of an organization that is competing with LWN for the same grant, donor, or resource.</w:t>
      </w:r>
    </w:p>
    <w:p>
      <w:pPr>
        <w:pStyle w:val="ListParagraph"/>
        <w:numPr>
          <w:ilvl w:val="0"/>
          <w:numId w:val="2"/>
        </w:numPr>
        <w:spacing w:after="100"/>
      </w:pPr>
      <w:r>
        <w:t xml:space="preserve">A Covered Person uses their position at LWN, or nonpublic information gained through that position, for personal advantage.</w:t>
      </w:r>
    </w:p>
    <w:p>
      <w:pPr>
        <w:pStyle w:val="Heading2"/>
      </w:pPr>
      <w:r>
        <w:t xml:space="preserve">1.3 Disclosure Obligations</w:t>
      </w:r>
    </w:p>
    <w:p>
      <w:pPr>
        <w:spacing w:after="160"/>
      </w:pPr>
      <w:r>
        <w:t xml:space="preserve">Each Covered Person has an ongoing duty to disclose any actual, potential, or perceived conflict of interest as soon as they become aware of it. Disclosure should be made in writing to the Board Secretary (or, if the Secretary has the conflict, to another officer or board member) and should describe the nature of the interest and the matter to which it relates.</w:t>
      </w:r>
    </w:p>
    <w:p>
      <w:pPr>
        <w:pStyle w:val="Heading2"/>
      </w:pPr>
      <w:r>
        <w:t xml:space="preserve">1.4 Annual Disclosure Statement</w:t>
      </w:r>
    </w:p>
    <w:p>
      <w:pPr>
        <w:spacing w:after="160"/>
      </w:pPr>
      <w:r>
        <w:t xml:space="preserve">Each director, officer, and key employee shall complete and sign an annual conflict-of-interest disclosure statement, identifying any relationships, positions, or financial interests that could give rise to a conflict. Completed statements shall be reviewed by the Board (or, prior to a seated board, by the officers collectively) and retained in LWN's corporate records consistent with the Document Retention &amp; Destruction Policy in Section 3 of this manual.</w:t>
      </w:r>
    </w:p>
    <w:p>
      <w:pPr>
        <w:pStyle w:val="Heading2"/>
      </w:pPr>
      <w:r>
        <w:t xml:space="preserve">1.5 Procedure for Recusal from a Vote</w:t>
      </w:r>
    </w:p>
    <w:p>
      <w:pPr>
        <w:spacing w:after="160"/>
      </w:pPr>
      <w:r>
        <w:t xml:space="preserve">When a matter involving a possible conflict of interest is to be discussed or voted on:</w:t>
      </w:r>
    </w:p>
    <w:p>
      <w:pPr>
        <w:pStyle w:val="ListParagraph"/>
        <w:numPr>
          <w:ilvl w:val="0"/>
          <w:numId w:val="3"/>
        </w:numPr>
        <w:spacing w:after="100"/>
      </w:pPr>
      <w:r>
        <w:t xml:space="preserve">The interested Covered Person shall disclose the existence and nature of the conflict to the Board or committee prior to discussion of the matter.</w:t>
      </w:r>
    </w:p>
    <w:p>
      <w:pPr>
        <w:pStyle w:val="ListParagraph"/>
        <w:numPr>
          <w:ilvl w:val="0"/>
          <w:numId w:val="3"/>
        </w:numPr>
        <w:spacing w:after="100"/>
      </w:pPr>
      <w:r>
        <w:t xml:space="preserve">The interested Covered Person shall leave the meeting (or portion of a call) during discussion and voting on the matter, unless asked to remain solely to answer factual questions.</w:t>
      </w:r>
    </w:p>
    <w:p>
      <w:pPr>
        <w:pStyle w:val="ListParagraph"/>
        <w:numPr>
          <w:ilvl w:val="0"/>
          <w:numId w:val="3"/>
        </w:numPr>
        <w:spacing w:after="100"/>
      </w:pPr>
      <w:r>
        <w:t xml:space="preserve">The remaining disinterested directors shall determine whether a conflict of interest exists and, if so, shall discuss and vote on whether the transaction or arrangement is in LWN's best interest, fair, and reasonable.</w:t>
      </w:r>
    </w:p>
    <w:p>
      <w:pPr>
        <w:pStyle w:val="ListParagraph"/>
        <w:numPr>
          <w:ilvl w:val="0"/>
          <w:numId w:val="3"/>
        </w:numPr>
        <w:spacing w:after="100"/>
      </w:pPr>
      <w:r>
        <w:t xml:space="preserve">The interested person shall not vote on the matter, and their presence shall not be counted toward quorum for that specific vote if practicable.</w:t>
      </w:r>
    </w:p>
    <w:p>
      <w:pPr>
        <w:pStyle w:val="ListParagraph"/>
        <w:numPr>
          <w:ilvl w:val="0"/>
          <w:numId w:val="3"/>
        </w:numPr>
        <w:spacing w:after="100"/>
      </w:pPr>
      <w:r>
        <w:t xml:space="preserve">The minutes of the meeting shall reflect: the name of the interested person, the nature of the conflict, that the person was not present for discussion or voting, and the outcome of the vote.</w:t>
      </w:r>
    </w:p>
    <w:p>
      <w:pPr>
        <w:pStyle w:val="Heading2"/>
      </w:pPr>
      <w:r>
        <w:t xml:space="preserve">1.6 Violations</w:t>
      </w:r>
    </w:p>
    <w:p>
      <w:pPr>
        <w:spacing w:after="160"/>
      </w:pPr>
      <w:r>
        <w:t xml:space="preserve">If the Board has reasonable cause to believe a Covered Person has failed to disclose an actual or possible conflict of interest, it shall inform the person of the basis for that belief and afford the person an opportunity to explain the alleged failure to disclose. If, after hearing the person's response, the Board determines the person has in fact failed to disclose an actual or possible conflict of interest, it shall take appropriate corrective action.</w:t>
      </w:r>
    </w:p>
    <w:p>
      <w:r>
        <w:br w:type="page"/>
      </w:r>
    </w:p>
    <w:p>
      <w:pPr>
        <w:pStyle w:val="Heading2"/>
      </w:pPr>
      <w:r>
        <w:t xml:space="preserve">1.7 Signature Page — Annual Conflict of Interest Disclosure &amp; Acknowledgment</w:t>
      </w:r>
    </w:p>
    <w:p>
      <w:pPr>
        <w:spacing w:after="160"/>
      </w:pPr>
      <w:r>
        <w:t xml:space="preserve">By signing below, each individual acknowledges that they have read and understand the LWN Conflict of Interest Policy, agree to comply with it, and affirm that (except as separately disclosed in writing) they are not aware of any conflict of interest with respect to LWN as of the date signed.</w:t>
      </w:r>
    </w:p>
    <w:p>
      <w:pPr>
        <w:spacing w:after="60" w:before="300"/>
      </w:pPr>
      <w:r>
        <w:rPr>
          <w:b/>
          <w:bCs/>
        </w:rPr>
        <w:t xml:space="preserve">Signature: </w:t>
      </w:r>
      <w:r>
        <w:t xml:space="preserve">_______________________________________________</w:t>
      </w:r>
    </w:p>
    <w:p>
      <w:pPr>
        <w:spacing w:after="60"/>
      </w:pPr>
      <w:r>
        <w:rPr>
          <w:b/>
          <w:bCs/>
        </w:rPr>
        <w:t xml:space="preserve">Print Name: </w:t>
      </w:r>
      <w:r>
        <w:t xml:space="preserve">Omar Fandino — CEO / Founder</w:t>
      </w:r>
    </w:p>
    <w:p>
      <w:pPr>
        <w:spacing w:after="300"/>
      </w:pPr>
      <w:r>
        <w:rPr>
          <w:b/>
          <w:bCs/>
        </w:rPr>
        <w:t xml:space="preserve">Date: </w:t>
      </w:r>
      <w:r>
        <w:t xml:space="preserve">_______________________________________________</w:t>
      </w:r>
    </w:p>
    <w:p>
      <w:pPr>
        <w:spacing w:after="60" w:before="300"/>
      </w:pPr>
      <w:r>
        <w:rPr>
          <w:b/>
          <w:bCs/>
        </w:rPr>
        <w:t xml:space="preserve">Signature: </w:t>
      </w:r>
      <w:r>
        <w:t xml:space="preserve">_______________________________________________</w:t>
      </w:r>
    </w:p>
    <w:p>
      <w:pPr>
        <w:spacing w:after="60"/>
      </w:pPr>
      <w:r>
        <w:rPr>
          <w:b/>
          <w:bCs/>
        </w:rPr>
        <w:t xml:space="preserve">Print Name: </w:t>
      </w:r>
      <w:r>
        <w:t xml:space="preserve">Rickya Fandino — CFO</w:t>
      </w:r>
    </w:p>
    <w:p>
      <w:pPr>
        <w:spacing w:after="300"/>
      </w:pPr>
      <w:r>
        <w:rPr>
          <w:b/>
          <w:bCs/>
        </w:rPr>
        <w:t xml:space="preserve">Date: </w:t>
      </w:r>
      <w:r>
        <w:t xml:space="preserve">_______________________________________________</w:t>
      </w:r>
    </w:p>
    <w:p>
      <w:pPr>
        <w:spacing w:after="60" w:before="300"/>
      </w:pPr>
      <w:r>
        <w:rPr>
          <w:b/>
          <w:bCs/>
        </w:rPr>
        <w:t xml:space="preserve">Signature: </w:t>
      </w:r>
      <w:r>
        <w:t xml:space="preserve">_______________________________________________</w:t>
      </w:r>
    </w:p>
    <w:p>
      <w:pPr>
        <w:spacing w:after="60"/>
      </w:pPr>
      <w:r>
        <w:rPr>
          <w:b/>
          <w:bCs/>
        </w:rPr>
        <w:t xml:space="preserve">Print Name: </w:t>
      </w:r>
      <w:r>
        <w:t xml:space="preserve">Nancy Rockenstyre — Secretary</w:t>
      </w:r>
    </w:p>
    <w:p>
      <w:pPr>
        <w:spacing w:after="300"/>
      </w:pPr>
      <w:r>
        <w:rPr>
          <w:b/>
          <w:bCs/>
        </w:rPr>
        <w:t xml:space="preserve">Date: </w:t>
      </w:r>
      <w:r>
        <w:t xml:space="preserve">_______________________________________________</w:t>
      </w:r>
    </w:p>
    <w:p>
      <w:pPr>
        <w:spacing w:after="160"/>
      </w:pPr>
      <w:r>
        <w:t xml:space="preserve">Additional signature lines for future board members:</w:t>
      </w:r>
    </w:p>
    <w:p>
      <w:pPr>
        <w:spacing w:after="60" w:before="300"/>
      </w:pPr>
      <w:r>
        <w:rPr>
          <w:b/>
          <w:bCs/>
        </w:rPr>
        <w:t xml:space="preserve">Signature: </w:t>
      </w:r>
      <w:r>
        <w:t xml:space="preserve">_______________________________________________</w:t>
      </w:r>
    </w:p>
    <w:p>
      <w:pPr>
        <w:spacing w:after="60"/>
      </w:pPr>
      <w:r>
        <w:rPr>
          <w:b/>
          <w:bCs/>
        </w:rPr>
        <w:t xml:space="preserve">Print Name: </w:t>
      </w:r>
      <w:r>
        <w:t xml:space="preserve">_______________________________________________</w:t>
      </w:r>
    </w:p>
    <w:p>
      <w:pPr>
        <w:spacing w:after="300"/>
      </w:pPr>
      <w:r>
        <w:rPr>
          <w:b/>
          <w:bCs/>
        </w:rPr>
        <w:t xml:space="preserve">Date: </w:t>
      </w:r>
      <w:r>
        <w:t xml:space="preserve">_______________________________________________</w:t>
      </w:r>
    </w:p>
    <w:p>
      <w:pPr>
        <w:spacing w:after="60" w:before="300"/>
      </w:pPr>
      <w:r>
        <w:rPr>
          <w:b/>
          <w:bCs/>
        </w:rPr>
        <w:t xml:space="preserve">Signature: </w:t>
      </w:r>
      <w:r>
        <w:t xml:space="preserve">_______________________________________________</w:t>
      </w:r>
    </w:p>
    <w:p>
      <w:pPr>
        <w:spacing w:after="60"/>
      </w:pPr>
      <w:r>
        <w:rPr>
          <w:b/>
          <w:bCs/>
        </w:rPr>
        <w:t xml:space="preserve">Print Name: </w:t>
      </w:r>
      <w:r>
        <w:t xml:space="preserve">_______________________________________________</w:t>
      </w:r>
    </w:p>
    <w:p>
      <w:pPr>
        <w:spacing w:after="300"/>
      </w:pPr>
      <w:r>
        <w:rPr>
          <w:b/>
          <w:bCs/>
        </w:rPr>
        <w:t xml:space="preserve">Date: </w:t>
      </w:r>
      <w:r>
        <w:t xml:space="preserve">_______________________________________________</w:t>
      </w:r>
    </w:p>
    <w:p>
      <w:pPr>
        <w:spacing w:after="60" w:before="300"/>
      </w:pPr>
      <w:r>
        <w:rPr>
          <w:b/>
          <w:bCs/>
        </w:rPr>
        <w:t xml:space="preserve">Signature: </w:t>
      </w:r>
      <w:r>
        <w:t xml:space="preserve">_______________________________________________</w:t>
      </w:r>
    </w:p>
    <w:p>
      <w:pPr>
        <w:spacing w:after="60"/>
      </w:pPr>
      <w:r>
        <w:rPr>
          <w:b/>
          <w:bCs/>
        </w:rPr>
        <w:t xml:space="preserve">Print Name: </w:t>
      </w:r>
      <w:r>
        <w:t xml:space="preserve">_______________________________________________</w:t>
      </w:r>
    </w:p>
    <w:p>
      <w:pPr>
        <w:spacing w:after="300"/>
      </w:pPr>
      <w:r>
        <w:rPr>
          <w:b/>
          <w:bCs/>
        </w:rPr>
        <w:t xml:space="preserve">Date: </w:t>
      </w:r>
      <w:r>
        <w:t xml:space="preserve">_______________________________________________</w:t>
      </w:r>
    </w:p>
    <w:p>
      <w:r>
        <w:br w:type="page"/>
      </w:r>
    </w:p>
    <w:p>
      <w:pPr>
        <w:pStyle w:val="Heading1"/>
      </w:pPr>
      <w:r>
        <w:t xml:space="preserve">Section 2. Whistleblower Policy</w:t>
      </w:r>
    </w:p>
    <w:p>
      <w:pPr>
        <w:pStyle w:val="Heading2"/>
      </w:pPr>
      <w:r>
        <w:t xml:space="preserve">2.1 Purpose</w:t>
      </w:r>
    </w:p>
    <w:p>
      <w:pPr>
        <w:spacing w:after="160"/>
      </w:pPr>
      <w:r>
        <w:t xml:space="preserve">Living Water Network Inc. is committed to operating with honesty and integrity. This policy encourages directors, officers, employees, volunteers, and contractors (collectively, “Covered Individuals”) to report, in good faith and without fear of retaliation, suspected illegal conduct, unethical conduct, or financial impropriety within the Organization.</w:t>
      </w:r>
    </w:p>
    <w:p>
      <w:pPr>
        <w:pStyle w:val="Heading2"/>
      </w:pPr>
      <w:r>
        <w:t xml:space="preserve">2.2 Protection from Retaliation</w:t>
      </w:r>
    </w:p>
    <w:p>
      <w:pPr>
        <w:spacing w:after="160"/>
      </w:pPr>
      <w:r>
        <w:t xml:space="preserve">LWN prohibits retaliation of any kind against a Covered Individual who, in good faith, reports a suspected violation of law, LWN policy, or financial impropriety, or who cooperates in good faith with an investigation of such a report. Retaliation includes, but is not limited to, termination, demotion, reduction of duties, harassment, or any other adverse treatment taken because a person made a good-faith report. Any individual who retaliates against someone who has reported a concern in good faith is subject to corrective action, up to and including removal from their role.</w:t>
      </w:r>
    </w:p>
    <w:p>
      <w:pPr>
        <w:spacing w:after="160"/>
      </w:pPr>
      <w:r>
        <w:t xml:space="preserve">This policy protects good-faith reports even if the concern is later determined to be mistaken. It does not protect reports known by the reporter to be false, or reports made with malicious intent.</w:t>
      </w:r>
    </w:p>
    <w:p>
      <w:pPr>
        <w:pStyle w:val="Heading2"/>
      </w:pPr>
      <w:r>
        <w:t xml:space="preserve">2.3 Reporting Channels</w:t>
      </w:r>
    </w:p>
    <w:p>
      <w:pPr>
        <w:spacing w:after="160"/>
      </w:pPr>
      <w:r>
        <w:t xml:space="preserve">A Covered Individual who becomes aware of suspected illegal or unethical conduct, or suspected financial impropriety, is encouraged to report the concern through one of the following channels:</w:t>
      </w:r>
    </w:p>
    <w:p>
      <w:pPr>
        <w:pStyle w:val="ListParagraph"/>
        <w:numPr>
          <w:ilvl w:val="0"/>
          <w:numId w:val="2"/>
        </w:numPr>
        <w:spacing w:after="100"/>
      </w:pPr>
      <w:r>
        <w:t xml:space="preserve">Report to the Board Secretary (currently Nancy Rockenstyre), who will document the concern and bring it to the attention of the Board.</w:t>
      </w:r>
    </w:p>
    <w:p>
      <w:pPr>
        <w:pStyle w:val="ListParagraph"/>
        <w:numPr>
          <w:ilvl w:val="0"/>
          <w:numId w:val="2"/>
        </w:numPr>
        <w:spacing w:after="100"/>
      </w:pPr>
      <w:r>
        <w:t xml:space="preserve">If the concern involves an officer, the Secretary, or otherwise presents a conflict, report instead to any other member of the Board of Directors.</w:t>
      </w:r>
    </w:p>
    <w:p>
      <w:pPr>
        <w:spacing w:after="160"/>
      </w:pPr>
      <w:r>
        <w:t xml:space="preserve">Reports may be made verbally or in writing, and may be made anonymously where practical. LWN does not currently maintain a third-party reporting hotline; as the Organization grows, the Board may consider adopting one.</w:t>
      </w:r>
    </w:p>
    <w:p>
      <w:pPr>
        <w:pStyle w:val="Heading2"/>
      </w:pPr>
      <w:r>
        <w:t xml:space="preserve">2.4 Confidentiality</w:t>
      </w:r>
    </w:p>
    <w:p>
      <w:pPr>
        <w:spacing w:after="160"/>
      </w:pPr>
      <w:r>
        <w:t xml:space="preserve">Reports of suspected misconduct will be treated as confidentially as possible, consistent with the need to conduct an adequate investigation. The identity of the reporting individual will not be disclosed beyond those with a legitimate need to know in connection with investigating and resolving the matter, except as required by law.</w:t>
      </w:r>
    </w:p>
    <w:p>
      <w:pPr>
        <w:pStyle w:val="Heading2"/>
      </w:pPr>
      <w:r>
        <w:t xml:space="preserve">2.5 Investigation and Resolution</w:t>
      </w:r>
    </w:p>
    <w:p>
      <w:pPr>
        <w:spacing w:after="160"/>
      </w:pPr>
      <w:r>
        <w:t xml:space="preserve">The Board (or its designee) shall promptly look into all good-faith reports and take appropriate action, which may include corrective action, referral to law enforcement or regulators, or other remedial steps. The person who reports a concern will be given appropriate follow-up regarding the resolution of the matter, to the extent consistent with confidentiality and any ongoing investigation.</w:t>
      </w:r>
    </w:p>
    <w:p>
      <w:r>
        <w:br w:type="page"/>
      </w:r>
    </w:p>
    <w:p>
      <w:pPr>
        <w:pStyle w:val="Heading1"/>
      </w:pPr>
      <w:r>
        <w:t xml:space="preserve">Section 3. Document Retention &amp; Destruction Policy</w:t>
      </w:r>
    </w:p>
    <w:p>
      <w:pPr>
        <w:pStyle w:val="Heading2"/>
      </w:pPr>
      <w:r>
        <w:t xml:space="preserve">3.1 Purpose</w:t>
      </w:r>
    </w:p>
    <w:p>
      <w:pPr>
        <w:spacing w:after="160"/>
      </w:pPr>
      <w:r>
        <w:t xml:space="preserve">This policy establishes guidelines for the retention and destruction of LWN's business and organizational records, consistent with sound recordkeeping practice, IRS recordkeeping expectations, and the Georgia Business Records Act and related state and federal recordkeeping obligations applicable to nonprofit corporations. It also implements procedures required to avoid improper destruction of records, consistent with the concerns underlying the Sarbanes-Oxley Act's document-destruction provisions, which apply to nonprofits as well as public companies with respect to obstruction of justice.</w:t>
      </w:r>
    </w:p>
    <w:p>
      <w:pPr>
        <w:pStyle w:val="Heading2"/>
      </w:pPr>
      <w:r>
        <w:t xml:space="preserve">3.2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0A2A47" w:val="clear"/>
            <w:tcMar>
              <w:top w:type="dxa" w:w="80"/>
              <w:left w:type="dxa" w:w="120"/>
              <w:bottom w:type="dxa" w:w="80"/>
              <w:right w:type="dxa" w:w="120"/>
            </w:tcMar>
          </w:tcPr>
          <w:p>
            <w:r>
              <w:rPr>
                <w:b/>
                <w:bCs/>
                <w:color w:val="FFFFFF"/>
              </w:rPr>
              <w:t xml:space="preserve">Document Type</w:t>
            </w:r>
          </w:p>
        </w:tc>
        <w:tc>
          <w:tcPr>
            <w:tcW w:type="dxa" w:w="3600"/>
            <w:tcBorders>
              <w:top w:val="single" w:color="CCCCCC" w:sz="1"/>
              <w:left w:val="single" w:color="CCCCCC" w:sz="1"/>
              <w:bottom w:val="single" w:color="CCCCCC" w:sz="1"/>
              <w:right w:val="single" w:color="CCCCCC" w:sz="1"/>
            </w:tcBorders>
            <w:shd w:fill="0A2A47" w:val="clear"/>
            <w:tcMar>
              <w:top w:type="dxa" w:w="80"/>
              <w:left w:type="dxa" w:w="120"/>
              <w:bottom w:type="dxa" w:w="80"/>
              <w:right w:type="dxa" w:w="120"/>
            </w:tcMar>
          </w:tcPr>
          <w:p>
            <w:r>
              <w:rPr>
                <w:b/>
                <w:bCs/>
                <w:color w:val="FFFFFF"/>
              </w:rPr>
              <w:t xml:space="preserve">Minimum Retention Period</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Corporate records (Articles of Incorporation, Bylaws, Certificate of Amendment, board resolutions, corporate seal records)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Permanent</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Tax-exemption determination letter and all Form 990 / 990-N filings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Permanent</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Board and committee meeting minutes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Permanent</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Financial records, receipts, bank statements, and general ledgers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 years</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Employment records (personnel files, payroll records, applications)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 years after termination</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Donor records and gift acknowledgment letters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 years</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Contracts and agreements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7 years after expiration or termination</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Electronic records and email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 organizational policy — recommend at least 3 years, unless a longer period applies above (e.g., financial or donor-related correspondence)</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Insurance policies and claims records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Permanent while in force; 7 years after expiration</w:t>
            </w:r>
          </w:p>
        </w:tc>
      </w:tr>
    </w:tbl>
    <w:p>
      <w:pPr>
        <w:spacing w:after="200"/>
      </w:pPr>
    </w:p>
    <w:p>
      <w:pPr>
        <w:pStyle w:val="Heading2"/>
      </w:pPr>
      <w:r>
        <w:t xml:space="preserve">3.3 Legal Holds</w:t>
      </w:r>
    </w:p>
    <w:p>
      <w:pPr>
        <w:spacing w:after="160"/>
      </w:pPr>
      <w:r>
        <w:t xml:space="preserve">Notwithstanding the retention periods above, if LWN becomes aware of pending or threatened litigation, a government investigation, or an audit, all relevant records — regardless of format — must be preserved and must not be destroyed, altered, or deleted until the matter is fully resolved and counsel confirms the hold may be released. The officer who becomes aware of such a matter should promptly notify the Board and, where appropriate, LWN's attorney, and issue a written “legal hold” notice identifying the records to be preserved.</w:t>
      </w:r>
    </w:p>
    <w:p>
      <w:pPr>
        <w:pStyle w:val="Heading2"/>
      </w:pPr>
      <w:r>
        <w:t xml:space="preserve">3.4 Method of Destruction</w:t>
      </w:r>
    </w:p>
    <w:p>
      <w:pPr>
        <w:spacing w:after="160"/>
      </w:pPr>
      <w:r>
        <w:t xml:space="preserve">When the applicable retention period has expired and no legal hold applies, records containing confidential, financial, or personal information should be destroyed by shredding (paper) or secure deletion (electronic), rather than placed in regular trash or recycling.</w:t>
      </w:r>
    </w:p>
    <w:p>
      <w:pPr>
        <w:pStyle w:val="Heading2"/>
      </w:pPr>
      <w:r>
        <w:t xml:space="preserve">3.5 Responsibility</w:t>
      </w:r>
    </w:p>
    <w:p>
      <w:pPr>
        <w:spacing w:after="160"/>
      </w:pPr>
      <w:r>
        <w:t xml:space="preserve">The CFO, in consultation with the CEO, is responsible for overseeing implementation of this policy, including maintaining the organization's official document repository and coordinating periodic review of records eligible for destruction.</w:t>
      </w:r>
    </w:p>
    <w:p>
      <w:r>
        <w:br w:type="page"/>
      </w:r>
    </w:p>
    <w:p>
      <w:pPr>
        <w:pStyle w:val="Heading1"/>
      </w:pPr>
      <w:r>
        <w:t xml:space="preserve">Section 4. Gift Acceptance Policy</w:t>
      </w:r>
    </w:p>
    <w:p>
      <w:pPr>
        <w:pStyle w:val="Heading2"/>
      </w:pPr>
      <w:r>
        <w:t xml:space="preserve">4.1 Purpose</w:t>
      </w:r>
    </w:p>
    <w:p>
      <w:pPr>
        <w:spacing w:after="160"/>
      </w:pPr>
      <w:r>
        <w:t xml:space="preserve">This policy provides guidance to LWN's officers, staff, and volunteers on the types of gifts the Organization accepts, the process for reviewing gifts that require special consideration, and the standards for providing donors with proper acknowledgment. Nothing in this policy is intended to restrict LWN's discretion to decline any gift that does not further its charitable mission.</w:t>
      </w:r>
    </w:p>
    <w:p>
      <w:pPr>
        <w:pStyle w:val="Heading2"/>
      </w:pPr>
      <w:r>
        <w:t xml:space="preserve">4.2 Gifts Accepted Without Special Review</w:t>
      </w:r>
    </w:p>
    <w:p>
      <w:pPr>
        <w:spacing w:after="160"/>
      </w:pPr>
      <w:r>
        <w:t xml:space="preserve">The following types of gifts may be accepted by any authorized officer without further board or committee review, provided they are otherwise unrestricted or subject only to restrictions LWN can readily fulfill:</w:t>
      </w:r>
    </w:p>
    <w:p>
      <w:pPr>
        <w:pStyle w:val="ListParagraph"/>
        <w:numPr>
          <w:ilvl w:val="0"/>
          <w:numId w:val="2"/>
        </w:numPr>
        <w:spacing w:after="100"/>
      </w:pPr>
      <w:r>
        <w:t xml:space="preserve">Cash and checks.</w:t>
      </w:r>
    </w:p>
    <w:p>
      <w:pPr>
        <w:pStyle w:val="ListParagraph"/>
        <w:numPr>
          <w:ilvl w:val="0"/>
          <w:numId w:val="2"/>
        </w:numPr>
        <w:spacing w:after="100"/>
      </w:pPr>
      <w:r>
        <w:t xml:space="preserve">Credit card and online/electronic payments.</w:t>
      </w:r>
    </w:p>
    <w:p>
      <w:pPr>
        <w:pStyle w:val="ListParagraph"/>
        <w:numPr>
          <w:ilvl w:val="0"/>
          <w:numId w:val="2"/>
        </w:numPr>
        <w:spacing w:after="100"/>
      </w:pPr>
      <w:r>
        <w:t xml:space="preserve">Publicly traded, appreciated securities that can be promptly liquidated.</w:t>
      </w:r>
    </w:p>
    <w:p>
      <w:pPr>
        <w:pStyle w:val="ListParagraph"/>
        <w:numPr>
          <w:ilvl w:val="0"/>
          <w:numId w:val="2"/>
        </w:numPr>
        <w:spacing w:after="100"/>
      </w:pPr>
      <w:r>
        <w:t xml:space="preserve">In-kind gifts of goods or services with a reasonably estimated value under $5,000, where LWN has an identifiable use for the item.</w:t>
      </w:r>
    </w:p>
    <w:p>
      <w:pPr>
        <w:pStyle w:val="Heading2"/>
      </w:pPr>
      <w:r>
        <w:t xml:space="preserve">4.3 Gifts Requiring Officer or Board Review Before Acceptance</w:t>
      </w:r>
    </w:p>
    <w:p>
      <w:pPr>
        <w:spacing w:after="160"/>
      </w:pPr>
      <w:r>
        <w:t xml:space="preserve">The following types of gifts require review and approval by an officer (for lower-value or routine items) or the Board (for higher-value, unusual, or higher-risk items) before they may be accepted, because they may carry holding costs, legal complications, restrictions, or reputational considerations:</w:t>
      </w:r>
    </w:p>
    <w:p>
      <w:pPr>
        <w:pStyle w:val="ListParagraph"/>
        <w:numPr>
          <w:ilvl w:val="0"/>
          <w:numId w:val="2"/>
        </w:numPr>
        <w:spacing w:after="100"/>
      </w:pPr>
      <w:r>
        <w:t xml:space="preserve">Gifts of real property (land or buildings).</w:t>
      </w:r>
    </w:p>
    <w:p>
      <w:pPr>
        <w:pStyle w:val="ListParagraph"/>
        <w:numPr>
          <w:ilvl w:val="0"/>
          <w:numId w:val="2"/>
        </w:numPr>
        <w:spacing w:after="100"/>
      </w:pPr>
      <w:r>
        <w:t xml:space="preserve">Gifts of vehicles, boats, or other titled property.</w:t>
      </w:r>
    </w:p>
    <w:p>
      <w:pPr>
        <w:pStyle w:val="ListParagraph"/>
        <w:numPr>
          <w:ilvl w:val="0"/>
          <w:numId w:val="2"/>
        </w:numPr>
        <w:spacing w:after="100"/>
      </w:pPr>
      <w:r>
        <w:t xml:space="preserve">Gifts subject to a donor-imposed restriction on use, timing, or purpose (e.g., “for youth missions trips only”).</w:t>
      </w:r>
    </w:p>
    <w:p>
      <w:pPr>
        <w:pStyle w:val="ListParagraph"/>
        <w:numPr>
          <w:ilvl w:val="0"/>
          <w:numId w:val="2"/>
        </w:numPr>
        <w:spacing w:after="100"/>
      </w:pPr>
      <w:r>
        <w:t xml:space="preserve">Gifts from anonymous sources valued over $5,000.</w:t>
      </w:r>
    </w:p>
    <w:p>
      <w:pPr>
        <w:pStyle w:val="ListParagraph"/>
        <w:numPr>
          <w:ilvl w:val="0"/>
          <w:numId w:val="2"/>
        </w:numPr>
        <w:spacing w:after="100"/>
      </w:pPr>
      <w:r>
        <w:t xml:space="preserve">Cryptocurrency and other digital assets.</w:t>
      </w:r>
    </w:p>
    <w:p>
      <w:pPr>
        <w:pStyle w:val="ListParagraph"/>
        <w:numPr>
          <w:ilvl w:val="0"/>
          <w:numId w:val="2"/>
        </w:numPr>
        <w:spacing w:after="100"/>
      </w:pPr>
      <w:r>
        <w:t xml:space="preserve">Gifts of closely held stock, business interests, or other non-liquid or non-publicly-traded assets.</w:t>
      </w:r>
    </w:p>
    <w:p>
      <w:pPr>
        <w:pStyle w:val="ListParagraph"/>
        <w:numPr>
          <w:ilvl w:val="0"/>
          <w:numId w:val="2"/>
        </w:numPr>
        <w:spacing w:after="100"/>
      </w:pPr>
      <w:r>
        <w:t xml:space="preserve">Bequests, charitable trusts, and other planned or deferred gifts.</w:t>
      </w:r>
    </w:p>
    <w:p>
      <w:pPr>
        <w:spacing w:after="160"/>
      </w:pPr>
      <w:r>
        <w:t xml:space="preserve">For gifts in this category, the reviewing officer or the Board should consider: whether the gift furthers LWN's mission, any costs or liabilities associated with accepting or maintaining the gift, whether LWN can honor any attached restrictions, and whether accepting the gift could expose LWN to reputational or legal risk.</w:t>
      </w:r>
    </w:p>
    <w:p>
      <w:pPr>
        <w:pStyle w:val="Heading2"/>
      </w:pPr>
      <w:r>
        <w:t xml:space="preserve">4.4 Gift Acknowledgment</w:t>
      </w:r>
    </w:p>
    <w:p>
      <w:pPr>
        <w:spacing w:after="160"/>
      </w:pPr>
      <w:r>
        <w:t xml:space="preserve">For every gift, LWN will provide the donor with a timely written acknowledgment appropriate to support the donor's tax records, consistent with IRS substantiation requirements for charitable contributions. Consistent with the language LWN currently uses in its donation acknowledgment letters, written acknowledgments will state the amount or description of the gift and confirm, where accurate, that “no goods or services were provided in exchange for this contribution,” or, where the donor received something of value in return, a good-faith estimate of the value of any goods or services provided.</w:t>
      </w:r>
    </w:p>
    <w:p>
      <w:pPr>
        <w:pStyle w:val="Heading2"/>
      </w:pPr>
      <w:r>
        <w:t xml:space="preserve">4.5 No Tax or Legal Advice to Donors</w:t>
      </w:r>
    </w:p>
    <w:p>
      <w:pPr>
        <w:spacing w:after="160"/>
      </w:pPr>
      <w:r>
        <w:t xml:space="preserve">LWN officers, staff, and volunteers are not attorneys or tax advisors and shall not provide donors with legal, tax, or financial advice regarding the deductibility or tax treatment of a gift. Donors considering a significant, complex, or restricted gift (including real property, business interests, cryptocurrency, or planned gifts) should be encouraged to consult their own independent legal, tax, or financial advisor.</w:t>
      </w:r>
    </w:p>
    <w:p>
      <w:r>
        <w:br w:type="page"/>
      </w:r>
    </w:p>
    <w:p>
      <w:pPr>
        <w:pStyle w:val="Heading1"/>
      </w:pPr>
      <w:r>
        <w:t xml:space="preserve">Section 5. Child &amp; Youth Protection Policy</w:t>
      </w:r>
    </w:p>
    <w:p>
      <w:pPr>
        <w:pStyle w:val="Heading2"/>
      </w:pPr>
      <w:r>
        <w:t xml:space="preserve">5.1 Purpose</w:t>
      </w:r>
    </w:p>
    <w:p>
      <w:pPr>
        <w:spacing w:after="160"/>
      </w:pPr>
      <w:r>
        <w:t xml:space="preserve">Living Water Network Inc.'s programs include youth ministry activities and missions trips in which minors may participate. LWN is committed to providing a safe environment for all minors involved in its programs and to reducing the risk of abuse, misconduct, or harm. This policy applies to all staff, board members, and volunteers who interact with minors through LWN programs (“Youth Workers”).</w:t>
      </w:r>
    </w:p>
    <w:p>
      <w:pPr>
        <w:pStyle w:val="Heading2"/>
      </w:pPr>
      <w:r>
        <w:t xml:space="preserve">5.2 Adult-to-Minor Ratios</w:t>
      </w:r>
    </w:p>
    <w:p>
      <w:pPr>
        <w:spacing w:after="160"/>
      </w:pPr>
      <w:r>
        <w:t xml:space="preserve">As a general guideline, LWN programs involving minors should maintain at least the following adult-to-minor ratios, adjusted upward for younger children, off-site activities, or higher-risk settings (e.g., international travel, swimming, or overnight stays):</w:t>
      </w:r>
    </w:p>
    <w:p>
      <w:pPr>
        <w:pStyle w:val="ListParagraph"/>
        <w:numPr>
          <w:ilvl w:val="0"/>
          <w:numId w:val="2"/>
        </w:numPr>
        <w:spacing w:after="100"/>
      </w:pPr>
      <w:r>
        <w:t xml:space="preserve">Elementary-age children: at least 1 adult per 6 minors.</w:t>
      </w:r>
    </w:p>
    <w:p>
      <w:pPr>
        <w:pStyle w:val="ListParagraph"/>
        <w:numPr>
          <w:ilvl w:val="0"/>
          <w:numId w:val="2"/>
        </w:numPr>
        <w:spacing w:after="100"/>
      </w:pPr>
      <w:r>
        <w:t xml:space="preserve">Middle and high school-age youth: at least 1 adult per 8 minors.</w:t>
      </w:r>
    </w:p>
    <w:p>
      <w:pPr>
        <w:pStyle w:val="ListParagraph"/>
        <w:numPr>
          <w:ilvl w:val="0"/>
          <w:numId w:val="2"/>
        </w:numPr>
        <w:spacing w:after="100"/>
      </w:pPr>
      <w:r>
        <w:t xml:space="preserve">Overnight trips or international missions trips: at least 2 unrelated adults present at all times, regardless of group size, in addition to the ratios above.</w:t>
      </w:r>
    </w:p>
    <w:p>
      <w:pPr>
        <w:pStyle w:val="Heading2"/>
      </w:pPr>
      <w:r>
        <w:t xml:space="preserve">5.3 The Two-Adult Rule</w:t>
      </w:r>
    </w:p>
    <w:p>
      <w:pPr>
        <w:spacing w:after="160"/>
      </w:pPr>
      <w:r>
        <w:t xml:space="preserve">No adult should be alone with a single minor (or single small group of minors) out of sight of at least one other adult, except in a genuine emergency. This applies to transportation, counseling conversations, overnight lodging, and all program activities. Restrooms, changing areas, and sleeping arrangements must maintain appropriate separation and adult oversight without one-on-one isolation.</w:t>
      </w:r>
    </w:p>
    <w:p>
      <w:pPr>
        <w:pStyle w:val="Heading2"/>
      </w:pPr>
      <w:r>
        <w:t xml:space="preserve">5.4 Background Checks</w:t>
      </w:r>
    </w:p>
    <w:p>
      <w:pPr>
        <w:spacing w:after="160"/>
      </w:pPr>
      <w:r>
        <w:t xml:space="preserve">Any adult who will have regular or unsupervised access to minors through an LWN program — including staff, board members, and recurring volunteers — must complete a criminal background check before beginning that role, and periodically thereafter (recommended every 2-3 years), before being permitted unsupervised access to minors. LWN should retain records of completed background checks consistent with the Document Retention &amp; Destruction Policy.</w:t>
      </w:r>
    </w:p>
    <w:p>
      <w:pPr>
        <w:pStyle w:val="Heading2"/>
      </w:pPr>
      <w:r>
        <w:t xml:space="preserve">5.5 Code of Conduct for Adults Working with Youth</w:t>
      </w:r>
    </w:p>
    <w:p>
      <w:pPr>
        <w:spacing w:after="160"/>
      </w:pPr>
      <w:r>
        <w:t xml:space="preserve">Adults serving in roles involving minors agree to:</w:t>
      </w:r>
    </w:p>
    <w:p>
      <w:pPr>
        <w:pStyle w:val="ListParagraph"/>
        <w:numPr>
          <w:ilvl w:val="0"/>
          <w:numId w:val="2"/>
        </w:numPr>
        <w:spacing w:after="100"/>
      </w:pPr>
      <w:r>
        <w:t xml:space="preserve">Comply with the Two-Adult Rule and applicable adult-to-minor ratios at all times.</w:t>
      </w:r>
    </w:p>
    <w:p>
      <w:pPr>
        <w:pStyle w:val="ListParagraph"/>
        <w:numPr>
          <w:ilvl w:val="0"/>
          <w:numId w:val="2"/>
        </w:numPr>
        <w:spacing w:after="100"/>
      </w:pPr>
      <w:r>
        <w:t xml:space="preserve">Use appropriate physical contact only (e.g., side hugs, high-fives), and never contact that is private, prolonged, or inappropriate.</w:t>
      </w:r>
    </w:p>
    <w:p>
      <w:pPr>
        <w:pStyle w:val="ListParagraph"/>
        <w:numPr>
          <w:ilvl w:val="0"/>
          <w:numId w:val="2"/>
        </w:numPr>
        <w:spacing w:after="100"/>
      </w:pPr>
      <w:r>
        <w:t xml:space="preserve">Refrain from private electronic communication (texting, direct messaging, social media) with a minor outside of group or parent-visible channels.</w:t>
      </w:r>
    </w:p>
    <w:p>
      <w:pPr>
        <w:pStyle w:val="ListParagraph"/>
        <w:numPr>
          <w:ilvl w:val="0"/>
          <w:numId w:val="2"/>
        </w:numPr>
        <w:spacing w:after="100"/>
      </w:pPr>
      <w:r>
        <w:t xml:space="preserve">Never provide minors with alcohol, drugs, tobacco, or age-inappropriate content.</w:t>
      </w:r>
    </w:p>
    <w:p>
      <w:pPr>
        <w:pStyle w:val="ListParagraph"/>
        <w:numPr>
          <w:ilvl w:val="0"/>
          <w:numId w:val="2"/>
        </w:numPr>
        <w:spacing w:after="100"/>
      </w:pPr>
      <w:r>
        <w:t xml:space="preserve">Immediately report any suspected abuse, neglect, or boundary violation, whether by themselves, another adult, or another minor, using the procedure in Section 5.6.</w:t>
      </w:r>
    </w:p>
    <w:p>
      <w:pPr>
        <w:pStyle w:val="ListParagraph"/>
        <w:numPr>
          <w:ilvl w:val="0"/>
          <w:numId w:val="2"/>
        </w:numPr>
        <w:spacing w:after="100"/>
      </w:pPr>
      <w:r>
        <w:t xml:space="preserve">Never use discipline that is physical, humiliating, or abusive.</w:t>
      </w:r>
    </w:p>
    <w:p>
      <w:pPr>
        <w:pStyle w:val="Heading2"/>
      </w:pPr>
      <w:r>
        <w:t xml:space="preserve">5.6 Incident Reporting Procedure</w:t>
      </w:r>
    </w:p>
    <w:p>
      <w:pPr>
        <w:spacing w:after="160"/>
      </w:pPr>
      <w:r>
        <w:t xml:space="preserve">Any Youth Worker who witnesses, suspects, or receives a report of abuse, neglect, or a boundary violation involving a minor must:</w:t>
      </w:r>
    </w:p>
    <w:p>
      <w:pPr>
        <w:pStyle w:val="ListParagraph"/>
        <w:numPr>
          <w:ilvl w:val="0"/>
          <w:numId w:val="4"/>
        </w:numPr>
        <w:spacing w:after="100"/>
      </w:pPr>
      <w:r>
        <w:t xml:space="preserve">Ensure the immediate safety of the minor.</w:t>
      </w:r>
    </w:p>
    <w:p>
      <w:pPr>
        <w:pStyle w:val="ListParagraph"/>
        <w:numPr>
          <w:ilvl w:val="0"/>
          <w:numId w:val="4"/>
        </w:numPr>
        <w:spacing w:after="100"/>
      </w:pPr>
      <w:r>
        <w:t xml:space="preserve">Report the incident as soon as possible (same day, whenever feasible) to the CEO or, if the CEO is implicated, to the Secretary or another board member.</w:t>
      </w:r>
    </w:p>
    <w:p>
      <w:pPr>
        <w:pStyle w:val="ListParagraph"/>
        <w:numPr>
          <w:ilvl w:val="0"/>
          <w:numId w:val="4"/>
        </w:numPr>
        <w:spacing w:after="100"/>
      </w:pPr>
      <w:r>
        <w:t xml:space="preserve">Where the report involves suspected abuse or a crime, contact local law enforcement or Georgia's Division of Family and Children Services, as appropriate; LWN leadership will not discourage or delay a report to civil authorities.</w:t>
      </w:r>
    </w:p>
    <w:p>
      <w:pPr>
        <w:pStyle w:val="ListParagraph"/>
        <w:numPr>
          <w:ilvl w:val="0"/>
          <w:numId w:val="4"/>
        </w:numPr>
        <w:spacing w:after="100"/>
      </w:pPr>
      <w:r>
        <w:t xml:space="preserve">Document the incident in writing as soon as possible, including date, time, individuals involved, and what was observed or reported.</w:t>
      </w:r>
    </w:p>
    <w:p>
      <w:pPr>
        <w:pStyle w:val="ListParagraph"/>
        <w:numPr>
          <w:ilvl w:val="0"/>
          <w:numId w:val="4"/>
        </w:numPr>
        <w:spacing w:after="100"/>
      </w:pPr>
      <w:r>
        <w:t xml:space="preserve">Preserve confidentiality of the minor and reporting individual to the greatest extent consistent with safety and any legal reporting obligations.</w:t>
      </w:r>
    </w:p>
    <w:p>
      <w:pPr>
        <w:spacing w:after="160"/>
      </w:pPr>
      <w:r>
        <w:t xml:space="preserve">LWN leadership will take suspected violations seriously and will remove an individual from youth-facing roles, pending or following investigation, where warranted to protect minors.</w:t>
      </w:r>
    </w:p>
    <w:p>
      <w:pPr>
        <w:pStyle w:val="Heading2"/>
      </w:pPr>
      <w:r>
        <w:t xml:space="preserve">5.7 Parental Consent and Waivers</w:t>
      </w:r>
    </w:p>
    <w:p>
      <w:pPr>
        <w:spacing w:after="160"/>
      </w:pPr>
      <w:r>
        <w:t xml:space="preserve">No minor may participate in an LWN trip or activity (including missions trips, outings, or overnight events) without a parent or legal guardian first completing a written consent and liability waiver specific to that trip or event. A separate, event-specific waiver form (covering matters such as emergency medical authorization, media/photo release, and assumption of risk) should be prepared for each trip or activity; this policy does not itself serve as that waiver. LWN should retain executed waivers consistent with the retention schedule in Section 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Living Water Network Inc. — Governance &amp; Risk Policy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A2A47"/>
      <w:sz w:val="32"/>
      <w:szCs w:val="32"/>
    </w:rPr>
  </w:style>
  <w:style w:type="paragraph" w:styleId="Heading2">
    <w:name w:val="Heading 2"/>
    <w:basedOn w:val="Normal"/>
    <w:next w:val="Normal"/>
    <w:qFormat/>
    <w:pPr>
      <w:spacing w:after="160" w:before="260"/>
      <w:outlineLvl w:val="1"/>
    </w:pPr>
    <w:rPr>
      <w:rFonts w:ascii="Calibri" w:cs="Calibri" w:eastAsia="Calibri" w:hAnsi="Calibri"/>
      <w:b/>
      <w:bCs/>
      <w:color w:val="C05A1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2026-07-05T06:12:55.913Z</dcterms:created>
  <dcterms:modified xsi:type="dcterms:W3CDTF">2026-07-05T06:12:55.913Z</dcterms:modified>
</cp:coreProperties>
</file>

<file path=docProps/custom.xml><?xml version="1.0" encoding="utf-8"?>
<Properties xmlns="http://schemas.openxmlformats.org/officeDocument/2006/custom-properties" xmlns:vt="http://schemas.openxmlformats.org/officeDocument/2006/docPropsVTypes"/>
</file>