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0A2A47"/>
          <w:sz w:val="40"/>
          <w:szCs w:val="40"/>
        </w:rPr>
        <w:t xml:space="preserve">LIVING WATER NETWORK</w:t>
      </w:r>
    </w:p>
    <w:p>
      <w:pPr>
        <w:spacing w:after="80"/>
      </w:pPr>
      <w:r>
        <w:rPr>
          <w:rFonts w:ascii="Arial" w:cs="Arial" w:eastAsia="Arial" w:hAnsi="Arial"/>
          <w:b/>
          <w:bCs/>
          <w:color w:val="C05A12"/>
          <w:sz w:val="30"/>
          <w:szCs w:val="30"/>
        </w:rPr>
        <w:t xml:space="preserve">Investor Packet</w:t>
      </w:r>
    </w:p>
    <w:p>
      <w:pPr>
        <w:spacing w:after="280"/>
      </w:pPr>
      <w:r>
        <w:rPr>
          <w:rFonts w:ascii="Arial" w:cs="Arial" w:eastAsia="Arial" w:hAnsi="Arial"/>
          <w:i/>
          <w:iCs/>
          <w:color w:val="445563"/>
          <w:sz w:val="20"/>
          <w:szCs w:val="20"/>
        </w:rPr>
        <w:t xml:space="preserve">Prepared for prospective financial partners and sponsors  |  July 2026</w:t>
      </w:r>
    </w:p>
    <w:p>
      <w:pPr>
        <w:spacing w:after="160"/>
      </w:pPr>
      <w:r>
        <w:rPr>
          <w:rFonts w:ascii="Arial" w:cs="Arial" w:eastAsia="Arial" w:hAnsi="Arial"/>
          <w:b w:val="false"/>
          <w:bCs w:val="false"/>
          <w:i w:val="false"/>
          <w:iCs w:val="false"/>
          <w:color w:val="445563"/>
          <w:sz w:val="22"/>
          <w:szCs w:val="22"/>
        </w:rPr>
        <w:t xml:space="preserve">This packet gives a prospective financial partner — a major donor, corporate sponsor, or foundation — what's needed to evaluate Living Water Network (LWN) as an investment: the case for the work, the funding model and return on that investment in leaders formed, and the underlying legal and financial substance behind the pitch. Documents are ordered to be read start to finish, but each stands on its own.</w:t>
      </w:r>
    </w:p>
    <w:p>
      <w:pPr>
        <w:pStyle w:val="Heading1"/>
      </w:pPr>
      <w: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000"/>
        <w:gridCol w:w="5510"/>
      </w:tblGrid>
      <w:tr>
        <w:trPr>
          <w:tblHeader/>
        </w:trPr>
        <w:tc>
          <w:tcPr>
            <w:tcW w:type="dxa" w:w="850"/>
            <w:tcBorders>
              <w:top w:val="single" w:color="CCCCCC" w:sz="1"/>
              <w:left w:val="single" w:color="CCCCCC" w:sz="1"/>
              <w:bottom w:val="single" w:color="CCCCCC" w:sz="1"/>
              <w:right w:val="single" w:color="CCCCCC" w:sz="1"/>
            </w:tcBorders>
            <w:shd w:fill="0A2A47" w:val="clear"/>
            <w:tcMar>
              <w:top w:type="dxa" w:w="100"/>
              <w:left w:type="dxa" w:w="120"/>
              <w:bottom w:type="dxa" w:w="100"/>
              <w:right w:type="dxa" w:w="120"/>
            </w:tcMa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0A2A47" w:val="clear"/>
            <w:tcMar>
              <w:top w:type="dxa" w:w="100"/>
              <w:left w:type="dxa" w:w="120"/>
              <w:bottom w:type="dxa" w:w="100"/>
              <w:right w:type="dxa" w:w="120"/>
            </w:tcMar>
          </w:tcPr>
          <w:p>
            <w:r>
              <w:rPr>
                <w:rFonts w:ascii="Arial" w:cs="Arial" w:eastAsia="Arial" w:hAnsi="Arial"/>
                <w:b/>
                <w:bCs/>
                <w:color w:val="FFFFFF"/>
                <w:sz w:val="19"/>
                <w:szCs w:val="19"/>
              </w:rPr>
              <w:t xml:space="preserve">Document</w:t>
            </w:r>
          </w:p>
        </w:tc>
        <w:tc>
          <w:tcPr>
            <w:tcW w:type="dxa" w:w="5510"/>
            <w:tcBorders>
              <w:top w:val="single" w:color="CCCCCC" w:sz="1"/>
              <w:left w:val="single" w:color="CCCCCC" w:sz="1"/>
              <w:bottom w:val="single" w:color="CCCCCC" w:sz="1"/>
              <w:right w:val="single" w:color="CCCCCC" w:sz="1"/>
            </w:tcBorders>
            <w:shd w:fill="0A2A47" w:val="clear"/>
            <w:tcMar>
              <w:top w:type="dxa" w:w="100"/>
              <w:left w:type="dxa" w:w="120"/>
              <w:bottom w:type="dxa" w:w="100"/>
              <w:right w:type="dxa" w:w="120"/>
            </w:tcMar>
          </w:tcPr>
          <w:p>
            <w:r>
              <w:rPr>
                <w:rFonts w:ascii="Arial" w:cs="Arial" w:eastAsia="Arial" w:hAnsi="Arial"/>
                <w:b/>
                <w:bCs/>
                <w:color w:val="FFFFFF"/>
                <w:sz w:val="19"/>
                <w:szCs w:val="19"/>
              </w:rPr>
              <w:t xml:space="preserve">Why it's here</w:t>
            </w:r>
          </w:p>
        </w:tc>
      </w:tr>
      <w:tr>
        <w:tc>
          <w:tcPr>
            <w:tcW w:type="dxa" w:w="85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445563"/>
                <w:sz w:val="20"/>
                <w:szCs w:val="20"/>
              </w:rPr>
              <w:t xml:space="preserve">01</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445563"/>
                <w:sz w:val="20"/>
                <w:szCs w:val="20"/>
              </w:rPr>
              <w:t xml:space="preserve">Partner Investment Pitch Deck</w:t>
            </w:r>
          </w:p>
        </w:tc>
        <w:tc>
          <w:tcPr>
            <w:tcW w:type="dxa" w:w="5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val="false"/>
                <w:bCs w:val="false"/>
                <w:color w:val="445563"/>
                <w:sz w:val="20"/>
                <w:szCs w:val="20"/>
              </w:rPr>
              <w:t xml:space="preserve">The primary investor-facing pitch — the problem, the model, the ask, and the four partnership tiers ($5,000 to $60,000+). Kept in native PowerPoint format (not converted to PDF) so it can be presented live or forwarded for a partner's own team to page through; every figure in it matches the numbers elsewhere in this packet.</w:t>
            </w:r>
          </w:p>
        </w:tc>
      </w:tr>
      <w:tr>
        <w:tc>
          <w:tcPr>
            <w:tcW w:type="dxa" w:w="85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445563"/>
                <w:sz w:val="20"/>
                <w:szCs w:val="20"/>
              </w:rPr>
              <w:t xml:space="preserve">02</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445563"/>
                <w:sz w:val="20"/>
                <w:szCs w:val="20"/>
              </w:rPr>
              <w:t xml:space="preserve">Sponsorship Prospectus 2026</w:t>
            </w:r>
          </w:p>
        </w:tc>
        <w:tc>
          <w:tcPr>
            <w:tcW w:type="dxa" w:w="5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val="false"/>
                <w:bCs w:val="false"/>
                <w:color w:val="445563"/>
                <w:sz w:val="20"/>
                <w:szCs w:val="20"/>
              </w:rPr>
              <w:t xml:space="preserve">The fuller donor- and partner-facing case for support: program structure, all giving tiers (annual, monthly, Gala), the 3–year funding roadmap, and the program allocation breakdown.</w:t>
            </w:r>
          </w:p>
        </w:tc>
      </w:tr>
      <w:tr>
        <w:tc>
          <w:tcPr>
            <w:tcW w:type="dxa" w:w="85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445563"/>
                <w:sz w:val="20"/>
                <w:szCs w:val="20"/>
              </w:rPr>
              <w:t xml:space="preserve">03</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445563"/>
                <w:sz w:val="20"/>
                <w:szCs w:val="20"/>
              </w:rPr>
              <w:t xml:space="preserve">Articles of Incorporation</w:t>
            </w:r>
          </w:p>
        </w:tc>
        <w:tc>
          <w:tcPr>
            <w:tcW w:type="dxa" w:w="5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val="false"/>
                <w:bCs w:val="false"/>
                <w:color w:val="445563"/>
                <w:sz w:val="20"/>
                <w:szCs w:val="20"/>
              </w:rPr>
              <w:t xml:space="preserve">Proof of legal standing: Georgia 501(c)(3) nonprofit, EIN 93-1859873, registered agent and office address, dissolution and private-inurement clauses. The document a diligence-minded partner will ask for first.</w:t>
            </w:r>
          </w:p>
        </w:tc>
      </w:tr>
      <w:tr>
        <w:tc>
          <w:tcPr>
            <w:tcW w:type="dxa" w:w="85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445563"/>
                <w:sz w:val="20"/>
                <w:szCs w:val="20"/>
              </w:rPr>
              <w:t xml:space="preserve">04</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445563"/>
                <w:sz w:val="20"/>
                <w:szCs w:val="20"/>
              </w:rPr>
              <w:t xml:space="preserve">Governance &amp; Risk Policy Manual</w:t>
            </w:r>
          </w:p>
        </w:tc>
        <w:tc>
          <w:tcPr>
            <w:tcW w:type="dxa" w:w="5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val="false"/>
                <w:bCs w:val="false"/>
                <w:color w:val="445563"/>
                <w:sz w:val="20"/>
                <w:szCs w:val="20"/>
              </w:rPr>
              <w:t xml:space="preserve">Conflict of interest, whistleblower, document retention, gift acceptance, and child/youth protection policies — included so a partner can see LWN has real institutional controls in place, not just a founder and a vision.</w:t>
            </w:r>
          </w:p>
        </w:tc>
      </w:tr>
      <w:tr>
        <w:tc>
          <w:tcPr>
            <w:tcW w:type="dxa" w:w="85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445563"/>
                <w:sz w:val="20"/>
                <w:szCs w:val="20"/>
              </w:rPr>
              <w:t xml:space="preserve">05</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445563"/>
                <w:sz w:val="20"/>
                <w:szCs w:val="20"/>
              </w:rPr>
              <w:t xml:space="preserve">Internal Staffing &amp; Financial Plan (CONFIDENTIAL)</w:t>
            </w:r>
          </w:p>
        </w:tc>
        <w:tc>
          <w:tcPr>
            <w:tcW w:type="dxa" w:w="551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val="false"/>
                <w:bCs w:val="false"/>
                <w:color w:val="445563"/>
                <w:sz w:val="20"/>
                <w:szCs w:val="20"/>
              </w:rPr>
              <w:t xml:space="preserve">Full budget detail and staffing model — including actual salary figures — included at the founder's explicit direction for complete financial transparency with prospective partners. See the note below before sharing this section further.</w:t>
            </w:r>
          </w:p>
        </w:tc>
      </w:tr>
    </w:tbl>
    <w:p>
      <w:pPr>
        <w:pStyle w:val="Heading1"/>
      </w:pPr>
      <w:r>
        <w:t xml:space="preserve">A Note on the Internal Staffing &amp; Financial Plan</w:t>
      </w:r>
    </w:p>
    <w:p>
      <w:pPr>
        <w:spacing w:after="160"/>
      </w:pPr>
      <w:r>
        <w:rPr>
          <w:rFonts w:ascii="Arial" w:cs="Arial" w:eastAsia="Arial" w:hAnsi="Arial"/>
          <w:b w:val="false"/>
          <w:bCs w:val="false"/>
          <w:i w:val="false"/>
          <w:iCs w:val="false"/>
          <w:color w:val="445563"/>
          <w:sz w:val="22"/>
          <w:szCs w:val="22"/>
        </w:rPr>
        <w:t xml:space="preserve">Document 05 is included at Omar Fandino's explicit request, in the interest of full transparency with financial partners at this early stage. It contains internal detail not normally shared outside the organization — including actual base salary figures for both founding staff members (Omar Fandino and Rickya Fandino), loaded cost-of-employment calculations, and a preliminary IRS functional-expense allocation intended for a future Form 990.</w:t>
      </w:r>
    </w:p>
    <w:p>
      <w:pPr>
        <w:spacing w:after="160"/>
      </w:pPr>
      <w:r>
        <w:rPr>
          <w:rFonts w:ascii="Arial" w:cs="Arial" w:eastAsia="Arial" w:hAnsi="Arial"/>
          <w:b w:val="false"/>
          <w:bCs w:val="false"/>
          <w:i w:val="false"/>
          <w:iCs w:val="false"/>
          <w:color w:val="445563"/>
          <w:sz w:val="22"/>
          <w:szCs w:val="22"/>
        </w:rPr>
        <w:t xml:space="preserve">Please treat this section as confidential. It is shared to demonstrate that the fundraising targets elsewhere in this packet are grounded in a real, defensible budget — not to be redistributed or published.</w:t>
      </w:r>
    </w:p>
    <w:p>
      <w:pPr>
        <w:pStyle w:val="Heading1"/>
      </w:pPr>
      <w:r>
        <w:t xml:space="preserve">Why These Documents, and Not Others</w:t>
      </w:r>
    </w:p>
    <w:p>
      <w:pPr>
        <w:spacing w:after="160"/>
      </w:pPr>
      <w:r>
        <w:rPr>
          <w:rFonts w:ascii="Arial" w:cs="Arial" w:eastAsia="Arial" w:hAnsi="Arial"/>
          <w:b w:val="false"/>
          <w:bCs w:val="false"/>
          <w:i w:val="false"/>
          <w:iCs w:val="false"/>
          <w:color w:val="445563"/>
          <w:sz w:val="22"/>
          <w:szCs w:val="22"/>
        </w:rPr>
        <w:t xml:space="preserve">This packet is built for an investment decision, not a governance decision — so it emphasizes the funding case, the program model, and proof of financial and legal substance over board mechanics. A few choices worth explaining:</w:t>
      </w:r>
    </w:p>
    <w:p>
      <w:pPr>
        <w:pStyle w:val="ListParagraph"/>
        <w:numPr>
          <w:ilvl w:val="0"/>
          <w:numId w:val="2"/>
        </w:numPr>
        <w:spacing w:after="80"/>
      </w:pPr>
      <w:r>
        <w:rPr>
          <w:rFonts w:ascii="Arial" w:cs="Arial" w:eastAsia="Arial" w:hAnsi="Arial"/>
          <w:color w:val="445563"/>
          <w:sz w:val="22"/>
          <w:szCs w:val="22"/>
        </w:rPr>
        <w:t xml:space="preserve">Bylaws are not included. They govern board composition, officer roles, and internal voting procedure — relevant to a board candidate, not to a funding decision. The Governance &amp; Risk Policy Manual (04) covers the institutional-controls questions a sophisticated investor actually asks (conflict of interest, gift acceptance, whistleblower protection, child/youth safeguarding).</w:t>
      </w:r>
    </w:p>
    <w:p>
      <w:pPr>
        <w:pStyle w:val="ListParagraph"/>
        <w:numPr>
          <w:ilvl w:val="0"/>
          <w:numId w:val="2"/>
        </w:numPr>
        <w:spacing w:after="80"/>
      </w:pPr>
      <w:r>
        <w:rPr>
          <w:rFonts w:ascii="Arial" w:cs="Arial" w:eastAsia="Arial" w:hAnsi="Arial"/>
          <w:color w:val="445563"/>
          <w:sz w:val="22"/>
          <w:szCs w:val="22"/>
        </w:rPr>
        <w:t xml:space="preserve">The Board Prospectus is not included, even though it exists in the source materials. It carries an older set of financial figures ($50,000 / $100,000 / $150,000-per-year goals and a 55% / 20% / 15% / 10% program allocation) that predate the correction to the figures used everywhere else in this packet and on lwnetwork.org/partnership ($145,000 / $190,000 / $275,000+ and 45% / 15% / 12% / 28%). It's a flattened PDF rather than an editable source file, so it wasn't caught in the earlier document QA pass and wasn't re-checked as part of this packet's assembly. Recommend regenerating it from source with current figures before it's used with any external audience, including the board.</w:t>
      </w:r>
    </w:p>
    <w:p>
      <w:pPr>
        <w:pStyle w:val="ListParagraph"/>
        <w:numPr>
          <w:ilvl w:val="0"/>
          <w:numId w:val="2"/>
        </w:numPr>
        <w:spacing w:after="80"/>
      </w:pPr>
      <w:r>
        <w:rPr>
          <w:rFonts w:ascii="Arial" w:cs="Arial" w:eastAsia="Arial" w:hAnsi="Arial"/>
          <w:color w:val="445563"/>
          <w:sz w:val="22"/>
          <w:szCs w:val="22"/>
        </w:rPr>
        <w:t xml:space="preserve">The Media Kit One-Pager is left out for the same reason: this exact file still reads “Groundwork 55% · Pastoral Support 20% · Missions 15% · Operations 10%,” which conflicts with the corrected allocation used in Documents 01 and 02. It would be a useful leave-behind once regenerated with current numbers — just not accurate as it stands today.</w:t>
      </w:r>
    </w:p>
    <w:p>
      <w:pPr>
        <w:pStyle w:val="ListParagraph"/>
        <w:numPr>
          <w:ilvl w:val="0"/>
          <w:numId w:val="2"/>
        </w:numPr>
        <w:spacing w:after="80"/>
      </w:pPr>
      <w:r>
        <w:rPr>
          <w:rFonts w:ascii="Arial" w:cs="Arial" w:eastAsia="Arial" w:hAnsi="Arial"/>
          <w:color w:val="445563"/>
          <w:sz w:val="22"/>
          <w:szCs w:val="22"/>
        </w:rPr>
        <w:t xml:space="preserve">The Foundational Documents Checklist (CONFIDENTIAL) is excluded, as it was from the board packet. It's now stale — it describes name inconsistencies in the Articles and Bylaws that have already been corrected in the versions of those documents in circulation — and including it would raise questions about problems that no longer exist.</w:t>
      </w:r>
    </w:p>
    <w:p>
      <w:pPr>
        <w:pStyle w:val="Heading1"/>
      </w:pPr>
      <w:r>
        <w:t xml:space="preserve">A Note on What Was Already Fixed</w:t>
      </w:r>
    </w:p>
    <w:p>
      <w:pPr>
        <w:spacing w:after="160"/>
      </w:pPr>
      <w:r>
        <w:rPr>
          <w:rFonts w:ascii="Arial" w:cs="Arial" w:eastAsia="Arial" w:hAnsi="Arial"/>
          <w:b w:val="false"/>
          <w:bCs w:val="false"/>
          <w:i w:val="false"/>
          <w:iCs w:val="false"/>
          <w:color w:val="445563"/>
          <w:sz w:val="22"/>
          <w:szCs w:val="22"/>
        </w:rPr>
        <w:t xml:space="preserve">Before this packet was assembled, every document in the source folder was checked for consistency and the following real conflicts were found and corrected in place:</w:t>
      </w:r>
    </w:p>
    <w:p>
      <w:pPr>
        <w:pStyle w:val="ListParagraph"/>
        <w:numPr>
          <w:ilvl w:val="0"/>
          <w:numId w:val="2"/>
        </w:numPr>
        <w:spacing w:after="80"/>
      </w:pPr>
      <w:r>
        <w:rPr>
          <w:rFonts w:ascii="Arial" w:cs="Arial" w:eastAsia="Arial" w:hAnsi="Arial"/>
          <w:color w:val="445563"/>
          <w:sz w:val="22"/>
          <w:szCs w:val="22"/>
        </w:rPr>
        <w:t xml:space="preserve">The registered office address was inconsistent across documents — all now read 4150 Ashford Dunwoody Rd, Unit 1225, Brookhaven, GA 30319, matching the Articles of Incorporation.</w:t>
      </w:r>
    </w:p>
    <w:p>
      <w:pPr>
        <w:pStyle w:val="ListParagraph"/>
        <w:numPr>
          <w:ilvl w:val="0"/>
          <w:numId w:val="2"/>
        </w:numPr>
        <w:spacing w:after="80"/>
      </w:pPr>
      <w:r>
        <w:rPr>
          <w:rFonts w:ascii="Arial" w:cs="Arial" w:eastAsia="Arial" w:hAnsi="Arial"/>
          <w:color w:val="445563"/>
          <w:sz w:val="22"/>
          <w:szCs w:val="22"/>
        </w:rPr>
        <w:t xml:space="preserve">The Year 1 fundraising goal was stated as three different numbers across documents. All now read $145,000, with Year 2 at $190,000 and Year 3 at $275,000+, matching what's live on lwnetwork.org/partnership.</w:t>
      </w:r>
    </w:p>
    <w:p>
      <w:pPr>
        <w:pStyle w:val="ListParagraph"/>
        <w:numPr>
          <w:ilvl w:val="0"/>
          <w:numId w:val="2"/>
        </w:numPr>
        <w:spacing w:after="80"/>
      </w:pPr>
      <w:r>
        <w:rPr>
          <w:rFonts w:ascii="Arial" w:cs="Arial" w:eastAsia="Arial" w:hAnsi="Arial"/>
          <w:color w:val="445563"/>
          <w:sz w:val="22"/>
          <w:szCs w:val="22"/>
        </w:rPr>
        <w:t xml:space="preserve">The program budget allocation now consistently reads 45% Groundwork / 15% Pastoral &amp; Therapeutic Support / 12% Missions / 28% Staffing, Operations &amp; Development across the Pitch Deck and Sponsorship Prospectus in this packet.</w:t>
      </w:r>
    </w:p>
    <w:p>
      <w:pPr>
        <w:pStyle w:val="ListParagraph"/>
        <w:numPr>
          <w:ilvl w:val="0"/>
          <w:numId w:val="2"/>
        </w:numPr>
        <w:spacing w:after="80"/>
      </w:pPr>
      <w:r>
        <w:rPr>
          <w:rFonts w:ascii="Arial" w:cs="Arial" w:eastAsia="Arial" w:hAnsi="Arial"/>
          <w:color w:val="445563"/>
          <w:sz w:val="22"/>
          <w:szCs w:val="22"/>
        </w:rPr>
        <w:t xml:space="preserve">Placeholder text and an off-brand stock photo were corrected in both LWN pitch decks, including the application-link placeholder on the Partner Investment deck's “next steps” slide.</w:t>
      </w:r>
    </w:p>
    <w:p>
      <w:pPr>
        <w:spacing w:after="160"/>
      </w:pPr>
      <w:r>
        <w:rPr>
          <w:rFonts w:ascii="Arial" w:cs="Arial" w:eastAsia="Arial" w:hAnsi="Arial"/>
          <w:b w:val="false"/>
          <w:bCs w:val="false"/>
          <w:i w:val="false"/>
          <w:iCs w:val="false"/>
          <w:color w:val="445563"/>
          <w:sz w:val="22"/>
          <w:szCs w:val="22"/>
        </w:rPr>
        <w:t xml:space="preserve">The two exceptions — the Board Prospectus PDF and the Media Kit One-Pager PDF — were not part of that correction pass and still carry the old figures, which is why they've been left out of this packet rather than included with an asterisk. Both are simple to regenerate once the source slide or document is updated and re-exported.</w:t>
      </w:r>
    </w:p>
    <w:p>
      <w:pPr>
        <w:pStyle w:val="Heading1"/>
      </w:pPr>
      <w:r>
        <w:t xml:space="preserve">A Note on the Founder's Story</w:t>
      </w:r>
    </w:p>
    <w:p>
      <w:pPr>
        <w:spacing w:after="160"/>
      </w:pPr>
      <w:r>
        <w:rPr>
          <w:rFonts w:ascii="Arial" w:cs="Arial" w:eastAsia="Arial" w:hAnsi="Arial"/>
          <w:b w:val="false"/>
          <w:bCs w:val="false"/>
          <w:i w:val="false"/>
          <w:iCs w:val="false"/>
          <w:color w:val="445563"/>
          <w:sz w:val="22"/>
          <w:szCs w:val="22"/>
        </w:rPr>
        <w:t xml:space="preserve">Omar Fandino's public testimony includes coming to faith while incarcerated. Every document in this packet references that story only in general terms, consistent with LWN's standing policy — no correctional facility is named anywhere in this packet.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5563"/>
        <w:sz w:val="16"/>
        <w:szCs w:val="16"/>
      </w:rPr>
      <w:t xml:space="preserve">Page </w:t>
    </w:r>
    <w:r>
      <w:rPr>
        <w:rFonts w:ascii="Arial" w:cs="Arial" w:eastAsia="Arial" w:hAnsi="Arial"/>
        <w:color w:val="44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C05A12"/>
        <w:sz w:val="16"/>
        <w:szCs w:val="16"/>
      </w:rPr>
      <w:t xml:space="preserve">LIVING WATER NETWORK — INVESTOR PACKET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A2A4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A2A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2026-07-06T01:34:52.988Z</dcterms:created>
  <dcterms:modified xsi:type="dcterms:W3CDTF">2026-07-06T01:34:52.989Z</dcterms:modified>
</cp:coreProperties>
</file>

<file path=docProps/custom.xml><?xml version="1.0" encoding="utf-8"?>
<Properties xmlns="http://schemas.openxmlformats.org/officeDocument/2006/custom-properties" xmlns:vt="http://schemas.openxmlformats.org/officeDocument/2006/docPropsVTypes"/>
</file>