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A2A47"/>
          <w:sz w:val="40"/>
          <w:szCs w:val="40"/>
        </w:rPr>
        <w:t xml:space="preserve">Georgia Charitable Organization Registration Packet</w:t>
      </w:r>
    </w:p>
    <w:p>
      <w:pPr>
        <w:spacing w:after="200"/>
        <w:jc w:val="center"/>
      </w:pPr>
      <w:r>
        <w:rPr>
          <w:rFonts w:ascii="Calibri" w:cs="Calibri" w:eastAsia="Calibri" w:hAnsi="Calibri"/>
          <w:color w:val="C05A12"/>
          <w:sz w:val="24"/>
          <w:szCs w:val="24"/>
        </w:rPr>
        <w:t xml:space="preserve">Living Water Network Inc.  |  Prepared for Founder Review &amp;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2"/>
              <w:left w:val="single" w:color="B00020" w:sz="2"/>
              <w:bottom w:val="single" w:color="B00020" w:sz="2"/>
              <w:right w:val="single" w:color="B00020" w:sz="2"/>
            </w:tcBorders>
            <w:shd w:fill="B00020" w:val="clear"/>
            <w:tcMar>
              <w:top w:type="dxa" w:w="160"/>
              <w:left w:type="dxa" w:w="200"/>
              <w:bottom w:type="dxa" w:w="160"/>
              <w:right w:type="dxa" w:w="200"/>
            </w:tcMar>
          </w:tcPr>
          <w:p>
            <w:pPr>
              <w:jc w:val="center"/>
            </w:pPr>
            <w:r>
              <w:rPr>
                <w:rFonts w:ascii="Calibri" w:cs="Calibri" w:eastAsia="Calibri" w:hAnsi="Calibri"/>
                <w:b/>
                <w:bCs/>
                <w:color w:val="FFFFFF"/>
                <w:sz w:val="24"/>
                <w:szCs w:val="24"/>
              </w:rPr>
              <w:t xml:space="preserve">DRAFT — VERIFY CURRENT REQUIREMENTS BEFORE FILING</w:t>
            </w:r>
          </w:p>
          <w:p>
            <w:pPr>
              <w:spacing w:before="60"/>
              <w:jc w:val="center"/>
            </w:pPr>
            <w:r>
              <w:rPr>
                <w:rFonts w:ascii="Calibri" w:cs="Calibri" w:eastAsia="Calibri" w:hAnsi="Calibri"/>
                <w:color w:val="FFFFFF"/>
                <w:sz w:val="18"/>
                <w:szCs w:val="18"/>
              </w:rPr>
              <w:t xml:space="preserve">This packet is prep material only. It is not a filed or filing-ready state form. Confirm current fees, form version, and requirements at sos.ga.gov before signing or submitting anything.</w:t>
            </w:r>
          </w:p>
        </w:tc>
      </w:tr>
    </w:tbl>
    <w:p>
      <w:pPr>
        <w:spacing w:after="120"/>
      </w:pPr>
    </w:p>
    <w:p>
      <w:pPr>
        <w:pStyle w:val="Heading1"/>
      </w:pPr>
      <w:r>
        <w:t xml:space="preserve">1. Cover Memo</w:t>
      </w:r>
    </w:p>
    <w:p>
      <w:pPr>
        <w:spacing w:after="160"/>
      </w:pPr>
      <w:r>
        <w:rPr>
          <w:rFonts w:ascii="Calibri" w:cs="Calibri" w:eastAsia="Calibri" w:hAnsi="Calibri"/>
          <w:b w:val="false"/>
          <w:bCs w:val="false"/>
          <w:i w:val="false"/>
          <w:iCs w:val="false"/>
          <w:color w:val="444444"/>
          <w:sz w:val="22"/>
          <w:szCs w:val="22"/>
        </w:rPr>
        <w:t xml:space="preserve">To: Omar Fandino, Founder &amp; CEO, Living Water Network Inc.</w:t>
      </w:r>
    </w:p>
    <w:p>
      <w:pPr>
        <w:spacing w:after="160"/>
      </w:pPr>
      <w:r>
        <w:rPr>
          <w:rFonts w:ascii="Calibri" w:cs="Calibri" w:eastAsia="Calibri" w:hAnsi="Calibri"/>
          <w:b w:val="false"/>
          <w:bCs w:val="false"/>
          <w:i w:val="false"/>
          <w:iCs w:val="false"/>
          <w:color w:val="444444"/>
          <w:sz w:val="22"/>
          <w:szCs w:val="22"/>
        </w:rPr>
        <w:t xml:space="preserve">From: Prepared by Claude (LWN administrative support) at Omar's request</w:t>
      </w:r>
    </w:p>
    <w:p>
      <w:pPr>
        <w:spacing w:after="160"/>
      </w:pPr>
      <w:r>
        <w:rPr>
          <w:rFonts w:ascii="Calibri" w:cs="Calibri" w:eastAsia="Calibri" w:hAnsi="Calibri"/>
          <w:b w:val="false"/>
          <w:bCs w:val="false"/>
          <w:i w:val="false"/>
          <w:iCs w:val="false"/>
          <w:color w:val="444444"/>
          <w:sz w:val="22"/>
          <w:szCs w:val="22"/>
        </w:rPr>
        <w:t xml:space="preserve">Date: July 5, 2026</w:t>
      </w:r>
    </w:p>
    <w:p>
      <w:pPr>
        <w:spacing w:after="160"/>
      </w:pPr>
      <w:r>
        <w:rPr>
          <w:rFonts w:ascii="Calibri" w:cs="Calibri" w:eastAsia="Calibri" w:hAnsi="Calibri"/>
          <w:b w:val="false"/>
          <w:bCs w:val="false"/>
          <w:i w:val="false"/>
          <w:iCs w:val="false"/>
          <w:color w:val="444444"/>
          <w:sz w:val="22"/>
          <w:szCs w:val="22"/>
        </w:rPr>
        <w:t xml:space="preserve">Re: Georgia charitable solicitation registration — background and next steps</w:t>
      </w:r>
    </w:p>
    <w:p>
      <w:pPr>
        <w:pStyle w:val="Heading2"/>
      </w:pPr>
      <w:r>
        <w:t xml:space="preserve">What this registration is</w:t>
      </w:r>
    </w:p>
    <w:p>
      <w:pPr>
        <w:spacing w:after="160"/>
      </w:pPr>
      <w:r>
        <w:rPr>
          <w:rFonts w:ascii="Calibri" w:cs="Calibri" w:eastAsia="Calibri" w:hAnsi="Calibri"/>
          <w:b w:val="false"/>
          <w:bCs w:val="false"/>
          <w:i w:val="false"/>
          <w:iCs w:val="false"/>
          <w:color w:val="444444"/>
          <w:sz w:val="22"/>
          <w:szCs w:val="22"/>
        </w:rPr>
        <w:t xml:space="preserve">Georgia's Charitable Solicitations Act of 1988, as amended (O.C.G.A. § 43-17 et seq.), generally requires any organization that solicits charitable contributions from the public in or from Georgia to register with the Charities Division of the Georgia Secretary of State before soliciting, unless a specific statutory exemption applies (O.C.G.A. § 43-17-9). Registration is a separate requirement from (a) incorporating as a Georgia nonprofit corporation and (b) obtaining 501(c)(3) tax-exempt status from the IRS — LWN has already completed both of those steps, but charitable solicitation registration is a distinct, ongoing filing.</w:t>
      </w:r>
    </w:p>
    <w:p>
      <w:pPr>
        <w:pStyle w:val="Heading2"/>
      </w:pPr>
      <w:r>
        <w:t xml:space="preserve">Why LWN needs it</w:t>
      </w:r>
    </w:p>
    <w:p>
      <w:pPr>
        <w:spacing w:after="160"/>
      </w:pPr>
      <w:r>
        <w:rPr>
          <w:rFonts w:ascii="Calibri" w:cs="Calibri" w:eastAsia="Calibri" w:hAnsi="Calibri"/>
          <w:b w:val="false"/>
          <w:bCs w:val="false"/>
          <w:i w:val="false"/>
          <w:iCs w:val="false"/>
          <w:color w:val="444444"/>
          <w:sz w:val="22"/>
          <w:szCs w:val="22"/>
        </w:rPr>
        <w:t xml:space="preserve">LWN actively solicits contributions from the public — including an annual fundraising gala, donor email campaigns, sponsorship asks to businesses, and a live “Donate” page on lwnetwork.org. A live search of the Secretary of State's charity registry at verify.sos.ga.gov (Profession: Charities) for “Living Water*” and “Hydatos*” returned zero results, confirming LWN is not currently registered. Because the founder has decided to proceed with registering now rather than pursue an exemption analysis, this packet prepares the registration filing (Form C-100) for his review and signature.</w:t>
      </w:r>
    </w:p>
    <w:p>
      <w:pPr>
        <w:pStyle w:val="Heading2"/>
      </w:pPr>
      <w:r>
        <w:t xml:space="preserve">What this packet is — and is not</w:t>
      </w:r>
    </w:p>
    <w:p>
      <w:pPr>
        <w:spacing w:after="160"/>
      </w:pPr>
      <w:r>
        <w:rPr>
          <w:rFonts w:ascii="Calibri" w:cs="Calibri" w:eastAsia="Calibri" w:hAnsi="Calibri"/>
          <w:b w:val="false"/>
          <w:bCs w:val="false"/>
          <w:i w:val="false"/>
          <w:iCs w:val="false"/>
          <w:color w:val="444444"/>
          <w:sz w:val="22"/>
          <w:szCs w:val="22"/>
        </w:rPr>
        <w:t xml:space="preserve">This is prep only. It is not a completed, filing-ready state form, and nothing in this packet has been submitted or paid for. Before filing, the founder must:</w:t>
      </w:r>
    </w:p>
    <w:p>
      <w:pPr>
        <w:pStyle w:val="ListParagraph"/>
        <w:numPr>
          <w:ilvl w:val="0"/>
          <w:numId w:val="2"/>
        </w:numPr>
        <w:spacing w:after="100"/>
      </w:pPr>
      <w:r>
        <w:rPr>
          <w:rFonts w:ascii="Calibri" w:cs="Calibri" w:eastAsia="Calibri" w:hAnsi="Calibri"/>
          <w:b w:val="false"/>
          <w:bCs w:val="false"/>
          <w:color w:val="444444"/>
          <w:sz w:val="22"/>
          <w:szCs w:val="22"/>
        </w:rPr>
        <w:t xml:space="preserve">Independently verify current requirements, form version, and fees on sos.ga.gov (the Charities Division updates its how-to guide and forms periodically).</w:t>
      </w:r>
    </w:p>
    <w:p>
      <w:pPr>
        <w:pStyle w:val="ListParagraph"/>
        <w:numPr>
          <w:ilvl w:val="0"/>
          <w:numId w:val="2"/>
        </w:numPr>
        <w:spacing w:after="100"/>
      </w:pPr>
      <w:r>
        <w:rPr>
          <w:rFonts w:ascii="Calibri" w:cs="Calibri" w:eastAsia="Calibri" w:hAnsi="Calibri"/>
          <w:b w:val="false"/>
          <w:bCs w:val="false"/>
          <w:color w:val="444444"/>
          <w:sz w:val="22"/>
          <w:szCs w:val="22"/>
        </w:rPr>
        <w:t xml:space="preserve">Gather the required attachments (see Section 3 checklist below) — including the IRS determination letter, financial information, and officer/director information.</w:t>
      </w:r>
    </w:p>
    <w:p>
      <w:pPr>
        <w:pStyle w:val="ListParagraph"/>
        <w:numPr>
          <w:ilvl w:val="0"/>
          <w:numId w:val="2"/>
        </w:numPr>
        <w:spacing w:after="100"/>
      </w:pPr>
      <w:r>
        <w:rPr>
          <w:rFonts w:ascii="Calibri" w:cs="Calibri" w:eastAsia="Calibri" w:hAnsi="Calibri"/>
          <w:b w:val="false"/>
          <w:bCs w:val="false"/>
          <w:color w:val="444444"/>
          <w:sz w:val="22"/>
          <w:szCs w:val="22"/>
        </w:rPr>
        <w:t xml:space="preserve">Sign the actual state form himself. Georgia's application instructions state each application must be completed, signed, and notarized before submission — plan to have this notarized (e.g., at a bank branch, UPS Store, or notary public) before filing.</w:t>
      </w:r>
    </w:p>
    <w:p>
      <w:pPr>
        <w:pStyle w:val="ListParagraph"/>
        <w:numPr>
          <w:ilvl w:val="0"/>
          <w:numId w:val="2"/>
        </w:numPr>
        <w:spacing w:after="100"/>
      </w:pPr>
      <w:r>
        <w:rPr>
          <w:rFonts w:ascii="Calibri" w:cs="Calibri" w:eastAsia="Calibri" w:hAnsi="Calibri"/>
          <w:b w:val="false"/>
          <w:bCs w:val="false"/>
          <w:color w:val="444444"/>
          <w:sz w:val="22"/>
          <w:szCs w:val="22"/>
        </w:rPr>
        <w:t xml:space="preserve">Submit the filing and any required fee himself, either through the state's online portal (GASeamlessGov) or by mail. No filing or payment has been made on LWN's behalf.</w:t>
      </w:r>
    </w:p>
    <w:p>
      <w:pPr>
        <w:pStyle w:val="Heading1"/>
      </w:pPr>
      <w:r>
        <w:t xml:space="preserve">2. Form C-100 — Pre-Filled Field Reference</w:t>
      </w:r>
    </w:p>
    <w:p>
      <w:pPr>
        <w:spacing w:after="160"/>
      </w:pPr>
      <w:r>
        <w:rPr>
          <w:rFonts w:ascii="Calibri" w:cs="Calibri" w:eastAsia="Calibri" w:hAnsi="Calibri"/>
          <w:b w:val="false"/>
          <w:bCs w:val="false"/>
          <w:i w:val="false"/>
          <w:iCs w:val="false"/>
          <w:color w:val="444444"/>
          <w:sz w:val="22"/>
          <w:szCs w:val="22"/>
        </w:rPr>
        <w:t xml:space="preserve">The table below maps LWN's known facts to the informational fields typically requested on Georgia's Charitable Organization Registration Statement (Form C-100). This is a reference for transcription onto the actual current form obtained from sos.ga.gov — it intentionally does not attempt to replicate the state's exact PDF layout, since that layout may change. Confirm the live form fields at the link in Section 3 before completing the official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Organization Identification</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Legal Name</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Living Water Network Inc.</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Federal EIN</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93-1859873</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Georgia Control Number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23092502 (status: Active/Compliance)</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Principal Office Address</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3343 Peachtree Rd NE, Ste 145 PMB 2806, Atlanta, GA 30326</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Registered Agent</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Omar Fandino, 4150 Ashford Dunwoody Rd, Unit 1225, Brookhaven, GA 30319</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Website</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lwnetwork.org</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Organization Contact Email</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ofandino@lwnetwork.org</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Fiscal Year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Calendar year (January 1 – December 31), per IRS determination letter</w:t>
            </w:r>
          </w:p>
        </w:tc>
      </w:tr>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Tax-Exempt Status</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501(c)(3) Determination</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IRS Letter 947, effective April 13, 2023 (attach copy — see checklist)</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Entity Type</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Georgia nonprofit corporation, 501(c)(3) public charity</w:t>
            </w:r>
          </w:p>
        </w:tc>
      </w:tr>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Officers / Directors</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Chief Executive Officer / Founder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Omar Fandino</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Chief Financial Officer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Rickya Fandino</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Secretary</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Nancy Rockenstyre</w:t>
            </w:r>
          </w:p>
        </w:tc>
      </w:tr>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Mission / Purpose Statement (brief, for form narrative field)</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Charitable Purpose</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Living Water Network Inc. is a Georgia 501(c)(3) nonprofit organized to support individuals and families through counseling, mentorship, and community-based programs rooted in faith, connection, and practical support — funded in part through public donations, sponsorships, and an annual fundraising gala.</w:t>
            </w:r>
          </w:p>
        </w:tc>
      </w:tr>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Solicitation Activity</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Methods of Solicitation</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Website donation page (lwnetwork.org/donate), email solicitations to donors, sponsorship requests to businesses, in-person/event solicitation at an annual fundraising gala</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Fundraising Counsel / Solicitor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None retained — LWN solicits directly; no paid solicitor or fundraising counsel is used at this time</w:t>
            </w:r>
          </w:p>
        </w:tc>
      </w:tr>
      <w:tr>
        <w:tc>
          <w:tcPr>
            <w:tcW w:type="dxa" w:w="9360"/>
            <w:gridSpan w:val="2"/>
            <w:tcBorders>
              <w:top w:val="single" w:color="CCCCCC" w:sz="2"/>
              <w:left w:val="single" w:color="CCCCCC" w:sz="2"/>
              <w:bottom w:val="single" w:color="CCCCCC" w:sz="2"/>
              <w:right w:val="single" w:color="CCCCCC" w:sz="2"/>
            </w:tcBorders>
            <w:shd w:fill="C05A12" w:val="clear"/>
            <w:tcMar>
              <w:top w:type="dxa" w:w="80"/>
              <w:left w:type="dxa" w:w="120"/>
              <w:bottom w:type="dxa" w:w="80"/>
              <w:right w:type="dxa" w:w="120"/>
            </w:tcMar>
          </w:tcPr>
          <w:p>
            <w:r>
              <w:rPr>
                <w:rFonts w:ascii="Calibri" w:cs="Calibri" w:eastAsia="Calibri" w:hAnsi="Calibri"/>
                <w:b/>
                <w:bCs/>
                <w:color w:val="FFFFFF"/>
                <w:sz w:val="21"/>
                <w:szCs w:val="21"/>
              </w:rPr>
              <w:t xml:space="preserve">Execution</w:t>
            </w:r>
          </w:p>
        </w:tc>
      </w:tr>
      <w:tr>
        <w:tc>
          <w:tcPr>
            <w:tcW w:type="dxa" w:w="2900"/>
            <w:tcBorders>
              <w:top w:val="single" w:color="CCCCCC" w:sz="2"/>
              <w:left w:val="single" w:color="CCCCCC" w:sz="2"/>
              <w:bottom w:val="single" w:color="CCCCCC" w:sz="2"/>
              <w:right w:val="single" w:color="CCCCCC" w:sz="2"/>
            </w:tcBorders>
            <w:shd w:fill="E7ECF1" w:val="clear"/>
            <w:tcMar>
              <w:top w:type="dxa" w:w="80"/>
              <w:left w:type="dxa" w:w="120"/>
              <w:bottom w:type="dxa" w:w="80"/>
              <w:right w:type="dxa" w:w="120"/>
            </w:tcMar>
            <w:vAlign w:val="center"/>
          </w:tcPr>
          <w:p>
            <w:pPr>
              <w:jc w:val="left"/>
            </w:pPr>
            <w:r>
              <w:rPr>
                <w:rFonts w:ascii="Calibri" w:cs="Calibri" w:eastAsia="Calibri" w:hAnsi="Calibri"/>
                <w:b/>
                <w:bCs/>
                <w:color w:val="0A2A47"/>
                <w:sz w:val="20"/>
                <w:szCs w:val="20"/>
              </w:rPr>
              <w:t xml:space="preserve">Signing Officer</w:t>
            </w:r>
          </w:p>
        </w:tc>
        <w:tc>
          <w:tcPr>
            <w:tcW w:type="dxa" w:w="6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rFonts w:ascii="Calibri" w:cs="Calibri" w:eastAsia="Calibri" w:hAnsi="Calibri"/>
                <w:b w:val="false"/>
                <w:bCs w:val="false"/>
                <w:color w:val="444444"/>
                <w:sz w:val="20"/>
                <w:szCs w:val="20"/>
              </w:rPr>
              <w:t xml:space="preserve">Omar Fandino, CEO/Founder (signature required; see notarization note in Section 3)</w:t>
            </w:r>
          </w:p>
        </w:tc>
      </w:tr>
    </w:tbl>
    <w:p>
      <w:pPr>
        <w:pStyle w:val="Heading1"/>
      </w:pPr>
      <w:r>
        <w:t xml:space="preserve">3. Attachments &amp; Steps Checklist Before Filing</w:t>
      </w:r>
    </w:p>
    <w:p>
      <w:pPr>
        <w:spacing w:after="160"/>
      </w:pPr>
      <w:r>
        <w:rPr>
          <w:rFonts w:ascii="Calibri" w:cs="Calibri" w:eastAsia="Calibri" w:hAnsi="Calibri"/>
          <w:b w:val="false"/>
          <w:bCs w:val="false"/>
          <w:i w:val="false"/>
          <w:iCs w:val="false"/>
          <w:color w:val="444444"/>
          <w:sz w:val="22"/>
          <w:szCs w:val="22"/>
        </w:rPr>
        <w:t xml:space="preserve">Complete each item below before submitting the registration. Sourced from the Georgia Secretary of State Charities Division's current “How-To Guide: Charities” page (verified live — see citation at end of this section).</w:t>
      </w:r>
    </w:p>
    <w:p>
      <w:pPr>
        <w:pStyle w:val="Heading2"/>
      </w:pPr>
      <w:r>
        <w:t xml:space="preserve">Core form and identity documents</w:t>
      </w:r>
    </w:p>
    <w:p>
      <w:pPr>
        <w:pStyle w:val="ListParagraph"/>
        <w:numPr>
          <w:ilvl w:val="0"/>
          <w:numId w:val="3"/>
        </w:numPr>
        <w:spacing w:after="120"/>
      </w:pPr>
      <w:r>
        <w:rPr>
          <w:rFonts w:ascii="Calibri" w:cs="Calibri" w:eastAsia="Calibri" w:hAnsi="Calibri"/>
          <w:color w:val="444444"/>
          <w:sz w:val="22"/>
          <w:szCs w:val="22"/>
        </w:rPr>
        <w:t xml:space="preserve">Obtain the current Form C-100 directly from sos.ga.gov (link below) — do not rely on any previously saved copy without checking the site for a newer version.</w:t>
      </w:r>
    </w:p>
    <w:p>
      <w:pPr>
        <w:pStyle w:val="ListParagraph"/>
        <w:numPr>
          <w:ilvl w:val="0"/>
          <w:numId w:val="3"/>
        </w:numPr>
        <w:spacing w:after="120"/>
      </w:pPr>
      <w:r>
        <w:rPr>
          <w:rFonts w:ascii="Calibri" w:cs="Calibri" w:eastAsia="Calibri" w:hAnsi="Calibri"/>
          <w:color w:val="444444"/>
          <w:sz w:val="22"/>
          <w:szCs w:val="22"/>
        </w:rPr>
        <w:t xml:space="preserve">Copy of IRS 501(c)(3) determination letter (Letter 947, effective 4/13/2023). Georgia requires a copy of the determination letter with the initial registration, or — if not yet received — a written statement committing to file it within 30 days of receipt.</w:t>
      </w:r>
    </w:p>
    <w:p>
      <w:pPr>
        <w:pStyle w:val="ListParagraph"/>
        <w:numPr>
          <w:ilvl w:val="0"/>
          <w:numId w:val="3"/>
        </w:numPr>
        <w:spacing w:after="120"/>
      </w:pPr>
      <w:r>
        <w:rPr>
          <w:rFonts w:ascii="Calibri" w:cs="Calibri" w:eastAsia="Calibri" w:hAnsi="Calibri"/>
          <w:color w:val="444444"/>
          <w:sz w:val="22"/>
          <w:szCs w:val="22"/>
        </w:rPr>
        <w:t xml:space="preserve">Copy of Georgia nonprofit corporate registration confirmation (Control No. 23092502) for reference — not typically required as an attachment, but useful to have on hand.</w:t>
      </w:r>
    </w:p>
    <w:p>
      <w:pPr>
        <w:pStyle w:val="ListParagraph"/>
        <w:numPr>
          <w:ilvl w:val="0"/>
          <w:numId w:val="3"/>
        </w:numPr>
        <w:spacing w:after="120"/>
      </w:pPr>
      <w:r>
        <w:rPr>
          <w:rFonts w:ascii="Calibri" w:cs="Calibri" w:eastAsia="Calibri" w:hAnsi="Calibri"/>
          <w:color w:val="444444"/>
          <w:sz w:val="22"/>
          <w:szCs w:val="22"/>
        </w:rPr>
        <w:t xml:space="preserve">List of current officers/directors (Omar Fandino, Rickya Fandino, Nancy Rockenstyre) with titles.</w:t>
      </w:r>
    </w:p>
    <w:p>
      <w:pPr>
        <w:pStyle w:val="Heading2"/>
      </w:pPr>
      <w:r>
        <w:t xml:space="preserve">Financial information — LWN's pre-990 situation</w:t>
      </w:r>
    </w:p>
    <w:p>
      <w:pPr>
        <w:spacing w:after="160"/>
      </w:pPr>
      <w:r>
        <w:rPr>
          <w:rFonts w:ascii="Calibri" w:cs="Calibri" w:eastAsia="Calibri" w:hAnsi="Calibri"/>
          <w:b w:val="false"/>
          <w:bCs w:val="false"/>
          <w:i w:val="false"/>
          <w:iCs w:val="false"/>
          <w:color w:val="444444"/>
          <w:sz w:val="22"/>
          <w:szCs w:val="22"/>
        </w:rPr>
        <w:t xml:space="preserve">LWN has only filed IRS Form 990-N e-Postcards to date (gross receipts under $50,000 each year, 2022–2024) and has not yet filed a full Form 990 or 990-EZ. This matters directly for the Georgia filing:</w:t>
      </w:r>
    </w:p>
    <w:p>
      <w:pPr>
        <w:pStyle w:val="ListParagraph"/>
        <w:numPr>
          <w:ilvl w:val="0"/>
          <w:numId w:val="3"/>
        </w:numPr>
        <w:spacing w:after="120"/>
      </w:pPr>
      <w:r>
        <w:rPr>
          <w:rFonts w:ascii="Calibri" w:cs="Calibri" w:eastAsia="Calibri" w:hAnsi="Calibri"/>
          <w:color w:val="444444"/>
          <w:sz w:val="22"/>
          <w:szCs w:val="22"/>
        </w:rPr>
        <w:t xml:space="preserve">Georgia does NOT accept Form 990-N in any capacity. Because LWN filed 990-N rather than a full 990/990-EZ, LWN must instead complete and submit Georgia's own Form C-200 for the preceding fiscal year (available at sos.ga.gov/sites/default/files/forms/C-200.pdf) in place of the 990-N.</w:t>
      </w:r>
    </w:p>
    <w:p>
      <w:pPr>
        <w:pStyle w:val="ListParagraph"/>
        <w:numPr>
          <w:ilvl w:val="0"/>
          <w:numId w:val="3"/>
        </w:numPr>
        <w:spacing w:after="120"/>
      </w:pPr>
      <w:r>
        <w:rPr>
          <w:rFonts w:ascii="Calibri" w:cs="Calibri" w:eastAsia="Calibri" w:hAnsi="Calibri"/>
          <w:color w:val="444444"/>
          <w:sz w:val="22"/>
          <w:szCs w:val="22"/>
        </w:rPr>
        <w:t xml:space="preserve">Financial statements: Georgia's tiered requirement is based on amounts received/collected in the preceding fiscal year — audited statement if over $1,000,000; CPA-reviewed statement if $500,000–$1,000,000; an uncertified financial statement (not a ledger) if under $500,000. Given LWN's revenue level (under $50,000/year), an uncertified financial statement for the preceding fiscal year should suffice — prepare a simple statement of revenue/expenses (a basic income statement) rather than relying on the 990-N confirmation alone, since the 990-N itself is not an accepted substitute.</w:t>
      </w:r>
    </w:p>
    <w:p>
      <w:pPr>
        <w:pStyle w:val="ListParagraph"/>
        <w:numPr>
          <w:ilvl w:val="0"/>
          <w:numId w:val="3"/>
        </w:numPr>
        <w:spacing w:after="120"/>
      </w:pPr>
      <w:r>
        <w:rPr>
          <w:rFonts w:ascii="Calibri" w:cs="Calibri" w:eastAsia="Calibri" w:hAnsi="Calibri"/>
          <w:color w:val="444444"/>
          <w:sz w:val="22"/>
          <w:szCs w:val="22"/>
        </w:rPr>
        <w:t xml:space="preserve">N/A — pre-990 startup: if LWN had received no contributions at all in a prior fiscal year, a signed officer statement to that effect could substitute for financial statements; this does NOT apply to LWN since it has received donations, so a basic financial statement (see above) is the right substitute, not a no-funds-received statement.</w:t>
      </w:r>
    </w:p>
    <w:p>
      <w:pPr>
        <w:pStyle w:val="Heading2"/>
      </w:pPr>
      <w:r>
        <w:t xml:space="preserve">Fee</w:t>
      </w:r>
    </w:p>
    <w:p>
      <w:pPr>
        <w:pStyle w:val="ListParagraph"/>
        <w:numPr>
          <w:ilvl w:val="0"/>
          <w:numId w:val="3"/>
        </w:numPr>
        <w:spacing w:after="120"/>
      </w:pPr>
      <w:r>
        <w:rPr>
          <w:rFonts w:ascii="Calibri" w:cs="Calibri" w:eastAsia="Calibri" w:hAnsi="Calibri"/>
          <w:color w:val="444444"/>
          <w:sz w:val="22"/>
          <w:szCs w:val="22"/>
        </w:rPr>
        <w:t xml:space="preserve">Registration fee: $35, per the Secretary of State's current fee schedule (Register = $35; Renew = $20; Reinstate = $35; Withdraw/Amend = no fee). Confirm this has not changed before paying. Fee may be paid by VISA/MasterCard via the state's GASeamlessGov online portal, or by check/money order payable to “Georgia Secretary of State” if filing by mail.</w:t>
      </w:r>
    </w:p>
    <w:p>
      <w:pPr>
        <w:pStyle w:val="Heading2"/>
      </w:pPr>
      <w:r>
        <w:t xml:space="preserve">Signature &amp; notarization</w:t>
      </w:r>
    </w:p>
    <w:p>
      <w:pPr>
        <w:pStyle w:val="ListParagraph"/>
        <w:numPr>
          <w:ilvl w:val="0"/>
          <w:numId w:val="3"/>
        </w:numPr>
        <w:spacing w:after="120"/>
      </w:pPr>
      <w:r>
        <w:rPr>
          <w:rFonts w:ascii="Calibri" w:cs="Calibri" w:eastAsia="Calibri" w:hAnsi="Calibri"/>
          <w:color w:val="444444"/>
          <w:sz w:val="22"/>
          <w:szCs w:val="22"/>
        </w:rPr>
        <w:t xml:space="preserve">The Secretary of State's instructions direct applicants to “complete your specific application, get it signed and notarized, and pay the required fee” before submitting. Plan for Omar Fandino (as the signing officer) to sign the completed C-100 in front of a notary — confirm on the current form itself whether notarization is required for the specific signature block used, since state instructions and form language should both be checked.</w:t>
      </w:r>
    </w:p>
    <w:p>
      <w:pPr>
        <w:pStyle w:val="ListParagraph"/>
        <w:numPr>
          <w:ilvl w:val="0"/>
          <w:numId w:val="3"/>
        </w:numPr>
        <w:spacing w:after="120"/>
      </w:pPr>
      <w:r>
        <w:rPr>
          <w:rFonts w:ascii="Calibri" w:cs="Calibri" w:eastAsia="Calibri" w:hAnsi="Calibri"/>
          <w:color w:val="444444"/>
          <w:sz w:val="22"/>
          <w:szCs w:val="22"/>
        </w:rPr>
        <w:t xml:space="preserve">Signature must be an authorized executive officer of the organization (Omar Fandino, CEO/Founder, is appropriate).</w:t>
      </w:r>
    </w:p>
    <w:p>
      <w:pPr>
        <w:pStyle w:val="Heading2"/>
      </w:pPr>
      <w:r>
        <w:t xml:space="preserve">Filing method</w:t>
      </w:r>
    </w:p>
    <w:p>
      <w:pPr>
        <w:pStyle w:val="ListParagraph"/>
        <w:numPr>
          <w:ilvl w:val="0"/>
          <w:numId w:val="3"/>
        </w:numPr>
        <w:spacing w:after="120"/>
      </w:pPr>
      <w:r>
        <w:rPr>
          <w:rFonts w:ascii="Calibri" w:cs="Calibri" w:eastAsia="Calibri" w:hAnsi="Calibri"/>
          <w:color w:val="444444"/>
          <w:sz w:val="22"/>
          <w:szCs w:val="22"/>
        </w:rPr>
        <w:t xml:space="preserve">File online via the state's GASeamlessGov portal (georgiasos.seamlessdocs.com/sc/charitiesdivision) — faster processing, card payment only (Visa/Mastercard).</w:t>
      </w:r>
    </w:p>
    <w:p>
      <w:pPr>
        <w:pStyle w:val="ListParagraph"/>
        <w:numPr>
          <w:ilvl w:val="0"/>
          <w:numId w:val="3"/>
        </w:numPr>
        <w:spacing w:after="120"/>
      </w:pPr>
      <w:r>
        <w:rPr>
          <w:rFonts w:ascii="Calibri" w:cs="Calibri" w:eastAsia="Calibri" w:hAnsi="Calibri"/>
          <w:color w:val="444444"/>
          <w:sz w:val="22"/>
          <w:szCs w:val="22"/>
        </w:rPr>
        <w:t xml:space="preserve">Or file by mail: Charities Division, Office of the Georgia Secretary of State, 2 Martin Luther King Jr. Drive SE, Suite 317 West Tower, Atlanta, GA 30334 — expect slower processing.</w:t>
      </w:r>
    </w:p>
    <w:p>
      <w:pPr>
        <w:pStyle w:val="Heading2"/>
      </w:pPr>
      <w:r>
        <w:t xml:space="preserve">Sources checked (current as of this research)</w:t>
      </w:r>
    </w:p>
    <w:p>
      <w:pPr>
        <w:spacing w:after="80"/>
      </w:pPr>
      <w:hyperlink w:history="1" r:id="rIdhs-fhpezuppt6-jxn7c5z">
        <w:r>
          <w:rPr>
            <w:rStyle w:val="Hyperlink"/>
            <w:rFonts w:ascii="Calibri" w:cs="Calibri" w:eastAsia="Calibri" w:hAnsi="Calibri"/>
            <w:sz w:val="20"/>
            <w:szCs w:val="20"/>
          </w:rPr>
          <w:t xml:space="preserve">sos.ga.gov/how-to-guide/how-guide-charities</w:t>
        </w:r>
      </w:hyperlink>
      <w:r>
        <w:rPr>
          <w:rFonts w:ascii="Calibri" w:cs="Calibri" w:eastAsia="Calibri" w:hAnsi="Calibri"/>
          <w:color w:val="444444"/>
          <w:sz w:val="20"/>
          <w:szCs w:val="20"/>
        </w:rPr>
        <w:t xml:space="preserve"> — primary source for all requirements above; confirmed live and current at time of drafting.</w:t>
      </w:r>
    </w:p>
    <w:p>
      <w:pPr>
        <w:spacing w:after="80"/>
      </w:pPr>
      <w:hyperlink w:history="1" r:id="rIdtaypvkzbgu9sqvdyothpe">
        <w:r>
          <w:rPr>
            <w:rStyle w:val="Hyperlink"/>
            <w:rFonts w:ascii="Calibri" w:cs="Calibri" w:eastAsia="Calibri" w:hAnsi="Calibri"/>
            <w:sz w:val="20"/>
            <w:szCs w:val="20"/>
          </w:rPr>
          <w:t xml:space="preserve">sos.ga.gov Form C-100 (initial/reinstatement)</w:t>
        </w:r>
      </w:hyperlink>
      <w:r>
        <w:rPr>
          <w:rFonts w:ascii="Calibri" w:cs="Calibri" w:eastAsia="Calibri" w:hAnsi="Calibri"/>
          <w:color w:val="444444"/>
          <w:sz w:val="20"/>
          <w:szCs w:val="20"/>
        </w:rPr>
        <w:t xml:space="preserve"> — this filename is dated 2018/2022, but it is still the version linked from the current how-to-guide page as of this research; re-check the how-to-guide link directly in case a newer version has since been posted.</w:t>
      </w:r>
    </w:p>
    <w:p>
      <w:pPr>
        <w:spacing w:after="80"/>
      </w:pPr>
      <w:hyperlink w:history="1" r:id="rIdtz9kllrn6tisebs0jwiic">
        <w:r>
          <w:rPr>
            <w:rStyle w:val="Hyperlink"/>
            <w:rFonts w:ascii="Calibri" w:cs="Calibri" w:eastAsia="Calibri" w:hAnsi="Calibri"/>
            <w:sz w:val="20"/>
            <w:szCs w:val="20"/>
          </w:rPr>
          <w:t xml:space="preserve">sos.ga.gov Form C-200</w:t>
        </w:r>
      </w:hyperlink>
      <w:r>
        <w:rPr>
          <w:rFonts w:ascii="Calibri" w:cs="Calibri" w:eastAsia="Calibri" w:hAnsi="Calibri"/>
          <w:color w:val="444444"/>
          <w:sz w:val="20"/>
          <w:szCs w:val="20"/>
        </w:rPr>
        <w:t xml:space="preserve"> — required in lieu of Form 990-N.</w:t>
      </w:r>
    </w:p>
    <w:p>
      <w:pPr>
        <w:spacing w:after="80"/>
      </w:pPr>
      <w:hyperlink w:history="1" r:id="rIdevopmmq4zbsho9mdilcvv">
        <w:r>
          <w:rPr>
            <w:rStyle w:val="Hyperlink"/>
            <w:rFonts w:ascii="Calibri" w:cs="Calibri" w:eastAsia="Calibri" w:hAnsi="Calibri"/>
            <w:sz w:val="20"/>
            <w:szCs w:val="20"/>
          </w:rPr>
          <w:t xml:space="preserve">sos.ga.gov Registration Checklist (PDF)</w:t>
        </w:r>
      </w:hyperlink>
      <w:r>
        <w:rPr>
          <w:rFonts w:ascii="Calibri" w:cs="Calibri" w:eastAsia="Calibri" w:hAnsi="Calibri"/>
          <w:color w:val="444444"/>
          <w:sz w:val="20"/>
          <w:szCs w:val="20"/>
        </w:rPr>
        <w:t xml:space="preserve"> — companion checklist referenced by the how-to guide.</w:t>
      </w:r>
    </w:p>
    <w:p>
      <w:pPr>
        <w:spacing w:after="80"/>
      </w:pPr>
      <w:hyperlink w:history="1" r:id="rIdpg0vlr4n1vboihc8jtb6j">
        <w:r>
          <w:rPr>
            <w:rStyle w:val="Hyperlink"/>
            <w:rFonts w:ascii="Calibri" w:cs="Calibri" w:eastAsia="Calibri" w:hAnsi="Calibri"/>
            <w:sz w:val="20"/>
            <w:szCs w:val="20"/>
          </w:rPr>
          <w:t xml:space="preserve">GASeamlessGov online filing portal</w:t>
        </w:r>
      </w:hyperlink>
      <w:r>
        <w:rPr>
          <w:rFonts w:ascii="Calibri" w:cs="Calibri" w:eastAsia="Calibri" w:hAnsi="Calibri"/>
          <w:color w:val="444444"/>
          <w:sz w:val="20"/>
          <w:szCs w:val="20"/>
        </w:rPr>
        <w:t xml:space="preserve"> — online submission platform.</w:t>
      </w:r>
    </w:p>
    <w:p>
      <w:pPr>
        <w:pStyle w:val="Heading1"/>
      </w:pPr>
      <w:r>
        <w:t xml:space="preserve">4. Closing Note — Ongoing Compliance</w:t>
      </w:r>
    </w:p>
    <w:p>
      <w:pPr>
        <w:spacing w:after="160"/>
      </w:pPr>
      <w:r>
        <w:rPr>
          <w:rFonts w:ascii="Calibri" w:cs="Calibri" w:eastAsia="Calibri" w:hAnsi="Calibri"/>
          <w:b w:val="false"/>
          <w:bCs w:val="false"/>
          <w:i w:val="false"/>
          <w:iCs w:val="false"/>
          <w:color w:val="444444"/>
          <w:sz w:val="22"/>
          <w:szCs w:val="22"/>
        </w:rPr>
        <w:t xml:space="preserve">Once registered, a Georgia charitable organization registration is valid for 24 months from its effective date and must be renewed on or before its expiration date (renewal fee currently $20; renewal window opens 90 days before expiration, and the Division typically sends a renewal notice about 45 days before the deadline). Because LWN's fundraising activity is ongoing, mark the registration's effective and expiration dates on the organization's compliance calendar as soon as the initial registration is approved, and plan to renew before it lapses — an expired registration would put LWN back in the same unregistered position this packet is meant to resolve.</w:t>
      </w:r>
    </w:p>
    <w:p>
      <w:pPr>
        <w:spacing w:after="160"/>
      </w:pPr>
      <w:r>
        <w:rPr>
          <w:rFonts w:ascii="Calibri" w:cs="Calibri" w:eastAsia="Calibri" w:hAnsi="Calibri"/>
          <w:b w:val="false"/>
          <w:bCs w:val="false"/>
          <w:i w:val="false"/>
          <w:iCs w:val="false"/>
          <w:color w:val="444444"/>
          <w:sz w:val="22"/>
          <w:szCs w:val="22"/>
        </w:rPr>
        <w:t xml:space="preserve">This concludes the prep packet. Next step: the founder should verify the items above directly on sos.ga.gov, assemble the attachments, sign (with notarization), and submit.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A2A47"/>
        <w:sz w:val="16"/>
        <w:szCs w:val="16"/>
      </w:rPr>
      <w:t xml:space="preserve">Living Water Network Inc.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A12" w:sz="8" w:space="4"/>
      </w:pBdr>
      <w:spacing w:after="200" w:before="280"/>
      <w:outlineLvl w:val="0"/>
    </w:pPr>
    <w:rPr>
      <w:rFonts w:ascii="Calibri" w:cs="Calibri" w:eastAsia="Calibri" w:hAnsi="Calibri"/>
      <w:b/>
      <w:bCs/>
      <w:color w:val="0A2A47"/>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C05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s-fhpezuppt6-jxn7c5z" Type="http://schemas.openxmlformats.org/officeDocument/2006/relationships/hyperlink" Target="https://sos.ga.gov/how-to-guide/how-guide-charities" TargetMode="External"/><Relationship Id="rIdtaypvkzbgu9sqvdyothpe" Type="http://schemas.openxmlformats.org/officeDocument/2006/relationships/hyperlink" Target="https://sos.ga.gov/sites/default/files/2022-01/c-100_initial_and_reinstatement_charity_registration_update_11.8_.2018_4.pdf" TargetMode="External"/><Relationship Id="rIdtz9kllrn6tisebs0jwiic" Type="http://schemas.openxmlformats.org/officeDocument/2006/relationships/hyperlink" Target="https://sos.ga.gov/sites/default/files/forms/C-200.pdf" TargetMode="External"/><Relationship Id="rIdevopmmq4zbsho9mdilcvv" Type="http://schemas.openxmlformats.org/officeDocument/2006/relationships/hyperlink" Target="https://sos.ga.gov/sites/default/files/2022-01/initial_app_checklist_v2.pdf" TargetMode="External"/><Relationship Id="rIdpg0vlr4n1vboihc8jtb6j" Type="http://schemas.openxmlformats.org/officeDocument/2006/relationships/hyperlink" Target="https://georgiasos.seamlessdocs.com/sc/charitiesdivis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2026-07-05T06:25:06.292Z</dcterms:created>
  <dcterms:modified xsi:type="dcterms:W3CDTF">2026-07-05T06:25:06.292Z</dcterms:modified>
</cp:coreProperties>
</file>

<file path=docProps/custom.xml><?xml version="1.0" encoding="utf-8"?>
<Properties xmlns="http://schemas.openxmlformats.org/officeDocument/2006/custom-properties" xmlns:vt="http://schemas.openxmlformats.org/officeDocument/2006/docPropsVTypes"/>
</file>