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rPr>
          <w:b/>
          <w:bCs/>
          <w:color w:val="0A2A47"/>
          <w:sz w:val="40"/>
          <w:szCs w:val="40"/>
        </w:rPr>
        <w:t xml:space="preserve">LIVING WATER NETWORK</w:t>
      </w:r>
    </w:p>
    <w:p>
      <w:pPr>
        <w:spacing w:after="300"/>
        <w:jc w:val="center"/>
      </w:pPr>
      <w:r>
        <w:rPr>
          <w:i/>
          <w:iCs/>
          <w:color w:val="C05A12"/>
          <w:sz w:val="30"/>
          <w:szCs w:val="30"/>
        </w:rPr>
        <w:t xml:space="preserve">Internal Staffing &amp; Financial Plan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CONFIDENTIAL — Internal Planning Document</w:t>
      </w:r>
    </w:p>
    <w:p>
      <w:pPr>
        <w:spacing w:after="100"/>
        <w:jc w:val="center"/>
      </w:pPr>
      <w:r>
        <w:rPr>
          <w:i/>
          <w:iCs/>
          <w:color w:val="445563"/>
          <w:sz w:val="20"/>
          <w:szCs w:val="20"/>
        </w:rPr>
        <w:t xml:space="preserve">Not for public distribution, donor sharing, or the website.</w:t>
      </w:r>
    </w:p>
    <w:p>
      <w:pPr>
        <w:spacing w:after="500"/>
        <w:jc w:val="center"/>
      </w:pPr>
      <w:r>
        <w:rPr>
          <w:color w:val="445563"/>
          <w:sz w:val="20"/>
          <w:szCs w:val="20"/>
        </w:rPr>
        <w:t xml:space="preserve">Prepared July 2026</w:t>
      </w:r>
    </w:p>
    <w:p>
      <w:pPr>
        <w:spacing w:after="160"/>
      </w:pPr>
      <w:r>
        <w:t xml:space="preserve">Purpose: The public website currently understates what it actually costs to run Living Water Network. This document works out a realistic, defensible staffing and operating budget — grounded in real cost-of-living data for Atlanta — so the fundraising targets on the public site (and the ones you take into donor and board conversations) are honest and sustainable from day one.</w:t>
      </w:r>
    </w:p>
    <w:p>
      <w:pPr>
        <w:spacing w:after="160"/>
      </w:pPr>
      <w:r>
        <w:rPr>
          <w:i/>
          <w:iCs/>
          <w:color w:val="445563"/>
        </w:rPr>
        <w:t xml:space="preserve">This is a planning document, not tax, legal, or accounting advice. Before finalizing payroll, benefits, or entity structure, review this with a nonprofit CPA or bookkeeper (many will do a free or low-cost initial consult) and, ideally, an employment attorney familiar with Georgia nonprofit employer obligations.</w:t>
      </w:r>
    </w:p>
    <w:p>
      <w:r>
        <w:br w:type="page"/>
      </w:r>
    </w:p>
    <w:p>
      <w:pPr>
        <w:pStyle w:val="Heading1"/>
      </w:pPr>
      <w:r>
        <w:t xml:space="preserve">1. Staffing Plan</w:t>
      </w:r>
    </w:p>
    <w:p>
      <w:pPr>
        <w:spacing w:after="160"/>
      </w:pPr>
      <w:r>
        <w:t xml:space="preserve">Two founding staff roles, reflecting the actual division of labor you described:</w:t>
      </w:r>
    </w:p>
    <w:p>
      <w:pPr>
        <w:pStyle w:val="Heading2"/>
      </w:pPr>
      <w:r>
        <w:t xml:space="preserve">Omar Fandino — Founder &amp; Executive Director</w:t>
      </w:r>
    </w:p>
    <w:p>
      <w:pPr>
        <w:spacing w:after="60"/>
      </w:pPr>
      <w:r>
        <w:rPr>
          <w:b/>
          <w:bCs/>
        </w:rPr>
        <w:t xml:space="preserve">Commitment: </w:t>
      </w:r>
      <w:r>
        <w:t xml:space="preserve">Full-time, 40+ hours/week</w:t>
      </w:r>
    </w:p>
    <w:p>
      <w:pPr>
        <w:spacing w:after="60"/>
      </w:pPr>
      <w:r>
        <w:rPr>
          <w:b/>
          <w:bCs/>
        </w:rPr>
        <w:t xml:space="preserve">Focus: </w:t>
      </w:r>
      <w:r>
        <w:t xml:space="preserve">Vision casting, partnership development, board relationships, curriculum &amp; program oversight</w:t>
      </w:r>
    </w:p>
    <w:p>
      <w:pPr>
        <w:spacing w:after="60"/>
      </w:pPr>
      <w:r>
        <w:rPr>
          <w:b/>
          <w:bCs/>
        </w:rPr>
        <w:t xml:space="preserve">Employment status: </w:t>
      </w:r>
      <w:r>
        <w:t xml:space="preserve">W-2 employee of Living Water Network Inc.</w:t>
      </w:r>
    </w:p>
    <w:p>
      <w:pPr>
        <w:spacing w:after="60"/>
      </w:pPr>
      <w:r>
        <w:rPr>
          <w:b/>
          <w:bCs/>
        </w:rPr>
        <w:t xml:space="preserve">Target base salary: </w:t>
      </w:r>
      <w:r>
        <w:t xml:space="preserve">$65,000/year</w:t>
      </w:r>
    </w:p>
    <w:p>
      <w:pPr>
        <w:pStyle w:val="Heading2"/>
      </w:pPr>
      <w:r>
        <w:t xml:space="preserve">Rickya Fandino — Director of Events &amp; Partnerships</w:t>
      </w:r>
    </w:p>
    <w:p>
      <w:pPr>
        <w:spacing w:after="60"/>
      </w:pPr>
      <w:r>
        <w:rPr>
          <w:b/>
          <w:bCs/>
        </w:rPr>
        <w:t xml:space="preserve">Commitment: </w:t>
      </w:r>
      <w:r>
        <w:t xml:space="preserve">Part-time, approx. 20 hours/week</w:t>
      </w:r>
    </w:p>
    <w:p>
      <w:pPr>
        <w:spacing w:after="60"/>
      </w:pPr>
      <w:r>
        <w:rPr>
          <w:b/>
          <w:bCs/>
        </w:rPr>
        <w:t xml:space="preserve">Focus: </w:t>
      </w:r>
      <w:r>
        <w:t xml:space="preserve">Full-scale Gala production — venue sourcing and touring, sponsor acquisition, vendor management, event execution end-to-end</w:t>
      </w:r>
    </w:p>
    <w:p>
      <w:pPr>
        <w:spacing w:after="60"/>
      </w:pPr>
      <w:r>
        <w:rPr>
          <w:b/>
          <w:bCs/>
        </w:rPr>
        <w:t xml:space="preserve">Employment status: </w:t>
      </w:r>
      <w:r>
        <w:t xml:space="preserve">W-2 employee of Living Water Network Inc.</w:t>
      </w:r>
    </w:p>
    <w:p>
      <w:pPr>
        <w:spacing w:after="60"/>
      </w:pPr>
      <w:r>
        <w:rPr>
          <w:b/>
          <w:bCs/>
        </w:rPr>
        <w:t xml:space="preserve">Target base salary: </w:t>
      </w:r>
      <w:r>
        <w:t xml:space="preserve">$28,000/year</w:t>
      </w:r>
    </w:p>
    <w:p>
      <w:pPr>
        <w:spacing w:after="160"/>
      </w:pPr>
      <w:r>
        <w:rPr>
          <w:b/>
          <w:bCs/>
        </w:rPr>
        <w:t xml:space="preserve">Combined household gross wages: $93,000/year, before employer payroll costs and any benefits.</w:t>
      </w:r>
    </w:p>
    <w:p>
      <w:pPr>
        <w:pStyle w:val="Heading1"/>
      </w:pPr>
      <w:r>
        <w:t xml:space="preserve">2. Why These Numbers — Living Wage Benchmark</w:t>
      </w:r>
    </w:p>
    <w:p>
      <w:pPr>
        <w:spacing w:after="160"/>
      </w:pPr>
      <w:r>
        <w:t xml:space="preserve">Source: MIT Living Wage Calculator, Atlanta-Sandy Springs-Roswell, GA metro area, data last updated February 15, 2026 (livingwage.mit.edu/metros/12060). Figures below are for a household of 2 adults + 1 child, which matches your family.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Household 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Required Income (before tax)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Per Working Adult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adults, 1 child — one adult working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$82,370/yr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$39.60/hr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adults, 1 child — both adults working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$96,499/yr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$23.20/hr each</w:t>
            </w:r>
          </w:p>
        </w:tc>
      </w:tr>
    </w:tbl>
    <w:p>
      <w:pPr>
        <w:spacing w:after="160" w:before="200"/>
      </w:pPr>
      <w:r>
        <w:t xml:space="preserve">Your proposed combined salary of $93,000 sits between these two benchmarks — appropriate, since your household has two income sources but one (Events &amp; Partnerships) is part-time rather than a full equal-earning role. This is a defensible, research-backed target, not an arbitrary number.</w:t>
      </w:r>
    </w:p>
    <w:p>
      <w:pPr>
        <w:pStyle w:val="Heading1"/>
      </w:pPr>
      <w:r>
        <w:t xml:space="preserve">3. True Cost of Employment (Loaded Cost)</w:t>
      </w:r>
    </w:p>
    <w:p>
      <w:pPr>
        <w:spacing w:after="160"/>
      </w:pPr>
      <w:r>
        <w:t xml:space="preserve">A W-2 employee costs more than their salary. Mandatory employer payroll costs and optional benefits both add to the real number: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Cost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On $93,000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 combined salary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$93,000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FICA (Social Security + Medicare, employer share)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7.65%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$7,115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Federal &amp; Georgia unemployment insurance (FUTA/SUTA)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~$900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Workers' compensation insurance (low-risk office class)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~$465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Subtotal: payroll taxes &amp; insurance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~9.2%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~$101,500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Modest benefits (health stipend / QSEHRA + small retirement match)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~13%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~$113,500</w:t>
            </w:r>
          </w:p>
        </w:tc>
      </w:tr>
    </w:tbl>
    <w:p>
      <w:pPr>
        <w:spacing w:after="160" w:before="200"/>
      </w:pPr>
      <w:r>
        <w:t xml:space="preserve">Planning number: budget $105,000–$115,000/year in total loaded staffing cost for Year 1, depending on how much benefit support you're able to offer at launch. (National benchmark: employers typically spend 1.25–1.4x base salary once taxes and benefits are included — this plan is on the lean end of that range, appropriate for a startup nonprofit.)</w:t>
      </w:r>
    </w:p>
    <w:p>
      <w:r>
        <w:br w:type="page"/>
      </w:r>
    </w:p>
    <w:p>
      <w:pPr>
        <w:pStyle w:val="Heading1"/>
      </w:pPr>
      <w:r>
        <w:t xml:space="preserve">4. Becoming a W-2 Employer — Setup Checklist</w:t>
      </w:r>
    </w:p>
    <w:p>
      <w:pPr>
        <w:spacing w:after="160"/>
      </w:pPr>
      <w:r>
        <w:t xml:space="preserve">Steps to actually run payroll legally in Georgia. A payroll provider (Gusto, OnPay, QuickBooks Payroll) handles most of this automatically for a small monthly fee ($40–$80/month for 2 employees) and is strongly recommended over doing it manually.</w:t>
      </w:r>
    </w:p>
    <w:p>
      <w:pPr>
        <w:pStyle w:val="Heading2"/>
      </w:pPr>
      <w:r>
        <w:t xml:space="preserve">One-time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your Federal EIN is registered for payroll purposes (you already have EIN 93-1859873 for the nonprofit itself — confirm with your accountant whether payroll requires any additional registration).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 with the Georgia Department of Labor for a State Unemployment Insurance (SUI) employer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 with the Georgia Department of Revenue for state income tax withholding.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Purchase a workers' compensation insurance policy (required in Georgia for most employers with 3+ employees; even below that threshold, it's worth having for 2 employees).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a payroll provider and connect your business bank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both employees complete Form W-4 (federal withholding) and Form I-9 (employment eligibility).</w:t>
      </w:r>
    </w:p>
    <w:p>
      <w:pPr>
        <w:pStyle w:val="Heading2"/>
      </w:pPr>
      <w:r>
        <w:t xml:space="preserve">Ongoing / per pay period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payroll on a consistent schedule (biweekly or semi-monthly is standard).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Payroll provider remits federal withholding, FICA, and Georgia state withholding on your behalf.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quarterly Form 941 (federal) — payroll providers typically automate this.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Issue W-2s to both employees by January 31 each year.</w:t>
      </w:r>
    </w:p>
    <w:p>
      <w:pPr>
        <w:pStyle w:val="Heading2"/>
      </w:pPr>
      <w:r>
        <w:t xml:space="preserve">Benefits decisions to make with your accountant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 insurance: with only 2 employees, a traditional small-group health plan may not be available depending on carrier. A QSEHRA (Qualified Small Employer HRA) lets you reimburse employees tax-free for individual marketplace health insurance — often the right fit for an organization this size.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Retirement: a SIMPLE IRA is inexpensive to administer and commonly used by small nonprofits; a standard 401(k) is usually overkill at 2 employees.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Paid time off policy: even a simple written policy (e.g., 2 weeks PTO + holidays) protects you and sets expectations.</w:t>
      </w:r>
    </w:p>
    <w:p>
      <w:pPr>
        <w:pStyle w:val="Heading1"/>
      </w:pPr>
      <w:r>
        <w:t xml:space="preserve">5. Full Year 1–3 Operating Budget</w:t>
      </w:r>
    </w:p>
    <w:p>
      <w:pPr>
        <w:spacing w:after="160"/>
      </w:pPr>
      <w:r>
        <w:t xml:space="preserve">This is the realistic, staffing-inclusive version of the roadmap. The public partnership page now reflects the total-dollar-goal rows below (staffing detail stays internal).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Year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Year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Year 3–5 (/yr)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Staffing (loaded)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$105,000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$115,000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$180,000+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Y3+ assumes added staff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Program delivery (curriculum, pastoral/therapy contractors)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$15,000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$28,000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$45,000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Scales with cohort count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Missions trip subsidy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$10,000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$18,000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$30,000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Partial per-participant subsidy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Operations (insurance, software, accounting, admin)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$12,000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$15,000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$20,000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Bookkeeping, D&amp;O insurance, etc.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~$142,000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~$176,000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~$275,000+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Rounded on public site</w:t>
            </w:r>
          </w:p>
        </w:tc>
      </w:tr>
    </w:tbl>
    <w:p>
      <w:pPr>
        <w:spacing w:after="160" w:before="200"/>
      </w:pPr>
      <w:r>
        <w:t xml:space="preserve">The public partnership page now shows $145,000 / $190,000 / $275,000+ — rounded up slightly from this working model to build in a small buffer, which is standard practice for a first-year nonprofit budget. Note: the Gala's own production budget (already on the partnership page, $46,000–$97,000) is funded by its own ticket/sponsorship revenue and is NOT included in the totals above — it's a self-contained event budget, not part of the core operating ask.</w:t>
      </w:r>
    </w:p>
    <w:p>
      <w:r>
        <w:br w:type="page"/>
      </w:r>
    </w:p>
    <w:p>
      <w:pPr>
        <w:pStyle w:val="Heading1"/>
      </w:pPr>
      <w:r>
        <w:t xml:space="preserve">6. Functional Expense Allocation (For Future Form 990)</w:t>
      </w:r>
    </w:p>
    <w:p>
      <w:pPr>
        <w:spacing w:after="160"/>
      </w:pPr>
      <w:r>
        <w:t xml:space="preserve">Nonprofits report expenses in three IRS-defined buckets: Program Services, Management &amp; General, and Fundraising. Once you're filing a 990, an accountant will want a time-based allocation of each staff member's salary across these categories. A reasonable starting estimate based on how you described your two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Year 1 Estimate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% of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Program Services (curriculum, pastoral support, missions, and the ~50% of Omar's time on cohort design/oversight)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$70,500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Fundraising (Gala production role, partnership development, ~40% of Omar's 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$57,000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Management &amp; General (organizational admin, ~10% of Omar's 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$19,100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13%</w:t>
            </w:r>
          </w:p>
        </w:tc>
      </w:tr>
    </w:tbl>
    <w:p>
      <w:pPr>
        <w:spacing w:after="160" w:before="200"/>
      </w:pPr>
      <w:r>
        <w:t xml:space="preserve">Flag for awareness: a ~39% fundraising ratio is high by charity-watchdog standards (Charity Navigator and similar often look for under 35%). This is normal and defensible for a launch year that's building donor relationships and producing a first-time Gala from scratch — but expect it to come down in Year 2–3 as the base of recurring donors grows and less founder time goes to one-time relationship-building. Don't publish this exact breakdown publicly yet; it's the kind of number that needs a full year of actuals and an accountant's sign-off before it goes on a 990 or annual report.</w:t>
      </w:r>
    </w:p>
    <w:p>
      <w:pPr>
        <w:pStyle w:val="Heading1"/>
      </w:pPr>
      <w:r>
        <w:t xml:space="preserve">7. What This Changed on the Public Website</w:t>
      </w:r>
    </w:p>
    <w:p>
      <w:pPr>
        <w:spacing w:after="160"/>
      </w:pPr>
      <w:r>
        <w:t xml:space="preserve">Already implemented, based on this analysis: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/donate — “Resources &amp; Operations” (10%) renamed “Staffing, Operations &amp; Development” and raised to 28%; Groundwork/Pastoral/Missions percentages adjusted down proportionally (45% / 15% / 12%). Added a line stating LWN has a founding full-time ED and part-time Director of Events &amp; Partnerships, so staffing isn't hidden.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/partnership — multi-year roadmap updated from $50K/$100K/$150K to $145,000 / $190,000 / $275,000+, with “fund founding staff leadership” and “sustain founding staff” added to the Year 1–2 descriptions.</w:t>
      </w:r>
    </w:p>
    <w:p>
      <w:pPr>
        <w:spacing w:after="160"/>
      </w:pPr>
      <w:r>
        <w:t xml:space="preserve">Deliberately NOT put on the public site — kept here instead: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Individual salary figures for you or your wife by 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detailed functional expense percentages (Section 6) — not yet accountant-reviewed or backed by a full year of actuals.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Anything about W-2 setup, payroll provider choice, or benefits structure — this is internal HR/operations, not donor-facing content.</w:t>
      </w:r>
    </w:p>
    <w:p>
      <w:pPr>
        <w:spacing w:after="160"/>
      </w:pPr>
      <w:r>
        <w:rPr>
          <w:i/>
          <w:iCs/>
          <w:color w:val="445563"/>
        </w:rPr>
        <w:t xml:space="preserve">This mirrors common practice among comparable organizations (e.g., Denver Institute for Faith &amp; Work publishes an annual report and 990s after each fiscal year closes, with ECFA accreditation — but doesn't publish live salary negotiations or setup checklists). Once Year 1 closes and your books are accountant-reviewed, publishing an annual report and pursuing GuideStar/Candid Seal or ECFA accreditation is a strong next step for donor trust — revisit then.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Living Water Network — Internal Staffing &amp; Financial Plan  ·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A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0A2A4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2026-07-05T02:45:44.029Z</dcterms:created>
  <dcterms:modified xsi:type="dcterms:W3CDTF">2026-07-05T02:45:44.030Z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