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2C5F8A"/>
          <w:sz w:val="32"/>
        </w:rPr>
        <w:t>NON-DISCLOSURE AGREEMENT</w:t>
      </w:r>
    </w:p>
    <w:p>
      <w:pPr>
        <w:spacing w:before="0" w:after="40"/>
        <w:jc w:val="center"/>
      </w:pPr>
      <w:r>
        <w:rPr>
          <w:i/>
          <w:color w:val="555555"/>
          <w:sz w:val="24"/>
        </w:rPr>
        <w:t>Confidential Pre-Publication Review</w:t>
      </w:r>
    </w:p>
    <w:p>
      <w:pPr>
        <w:spacing w:before="0" w:after="120"/>
        <w:jc w:val="center"/>
      </w:pPr>
      <w:r>
        <w:rPr>
          <w:b/>
          <w:sz w:val="22"/>
        </w:rPr>
        <w:t>Living Water Network</w:t>
      </w:r>
    </w:p>
    <w:p>
      <w:pPr>
        <w:pBdr>
          <w:bottom w:val="single" w:sz="6" w:space="1" w:color="2C5F8A"/>
        </w:pBdr>
        <w:spacing w:before="0" w:after="0"/>
      </w:pPr>
    </w:p>
    <w:p>
      <w:pPr>
        <w:spacing w:before="200" w:after="120"/>
      </w:pPr>
      <w:r>
        <w:rPr>
          <w:sz w:val="22"/>
        </w:rPr>
        <w:t>This Non-Disclosure Agreement ("Agreement") is entered into as of the date signed below ("Effective Date") by and between:</w:t>
      </w:r>
    </w:p>
    <w:tbl>
      <w:tblPr>
        <w:tblStyle w:val="TableGrid"/>
        <w:tblW w:type="auto" w:w="0"/>
        <w:tblLook w:firstColumn="1" w:firstRow="1" w:lastColumn="0" w:lastRow="0" w:noHBand="0" w:noVBand="1" w:val="04A0"/>
      </w:tblPr>
      <w:tblGrid>
        <w:gridCol w:w="1872"/>
        <w:gridCol w:w="7200"/>
      </w:tblGrid>
      <w:tr>
        <w:tc>
          <w:tcPr>
            <w:tcW w:type="dxa" w:w="4320"/>
          </w:tcPr>
          <w:p>
            <w:pPr>
              <w:spacing w:before="60" w:after="60"/>
            </w:pPr>
            <w:r>
              <w:rPr>
                <w:b/>
                <w:sz w:val="22"/>
              </w:rPr>
              <w:t>Disclosing Party:</w:t>
            </w:r>
          </w:p>
        </w:tc>
        <w:tc>
          <w:tcPr>
            <w:tcW w:type="dxa" w:w="4320"/>
          </w:tcPr>
          <w:p>
            <w:pPr>
              <w:spacing w:before="60" w:after="60"/>
            </w:pPr>
            <w:r>
              <w:rPr>
                <w:b w:val="0"/>
                <w:sz w:val="22"/>
              </w:rPr>
              <w:t>Living Water Network, a Georgia nonprofit 501(c)(3) organization, represented by its Founder, Omar J. Fandino ("LWN"); and</w:t>
            </w:r>
          </w:p>
        </w:tc>
      </w:tr>
      <w:tr>
        <w:tc>
          <w:tcPr>
            <w:tcW w:type="dxa" w:w="4320"/>
          </w:tcPr>
          <w:p>
            <w:pPr>
              <w:spacing w:before="60" w:after="60"/>
            </w:pPr>
            <w:r>
              <w:rPr>
                <w:b/>
                <w:sz w:val="22"/>
              </w:rPr>
              <w:t>Receiving Party:</w:t>
            </w:r>
          </w:p>
        </w:tc>
        <w:tc>
          <w:tcPr>
            <w:tcW w:type="dxa" w:w="4320"/>
          </w:tcPr>
          <w:p>
            <w:pPr>
              <w:spacing w:before="60" w:after="60"/>
            </w:pPr>
            <w:r>
              <w:rPr>
                <w:b w:val="0"/>
                <w:sz w:val="22"/>
              </w:rPr>
              <w:t>_______________________________________________, an individual or entity granted access to review pre-publication materials ("Reviewer").</w:t>
            </w:r>
          </w:p>
        </w:tc>
      </w:tr>
    </w:tbl>
    <w:p>
      <w:pPr>
        <w:spacing w:before="280" w:after="80"/>
      </w:pPr>
      <w:r>
        <w:rPr>
          <w:b/>
          <w:color w:val="2C5F8A"/>
          <w:sz w:val="26"/>
        </w:rPr>
        <w:t>1. Purpose</w:t>
      </w:r>
    </w:p>
    <w:p>
      <w:pPr>
        <w:spacing w:before="40" w:after="100"/>
      </w:pPr>
      <w:r>
        <w:rPr>
          <w:sz w:val="22"/>
        </w:rPr>
        <w:t>LWN is developing a forthcoming formation curriculum titled “At the Table: A Guide to Spiritual and Emotional Formation for Kingdom Leaders” (the “Work”), which has not yet been published, distributed, or released to the public. LWN wishes to share the Work, or portions thereof, with the Reviewer solely for the purpose of review, feedback, collaboration, or evaluation (“Permitted Purpose”). This Agreement governs the Reviewer’s receipt and use of all such materials.</w:t>
      </w:r>
    </w:p>
    <w:p>
      <w:pPr>
        <w:spacing w:before="280" w:after="80"/>
      </w:pPr>
      <w:r>
        <w:rPr>
          <w:b/>
          <w:color w:val="2C5F8A"/>
          <w:sz w:val="26"/>
        </w:rPr>
        <w:t>2. Definition of Confidential Information</w:t>
      </w:r>
    </w:p>
    <w:p>
      <w:pPr>
        <w:spacing w:before="40" w:after="100"/>
      </w:pPr>
      <w:r>
        <w:rPr>
          <w:sz w:val="22"/>
        </w:rPr>
        <w:t>“Confidential Information” means any and all non-public information disclosed by LWN to the Reviewer in connection with this Agreement, whether disclosed in writing, orally, electronically, or by any other means, including but not limited to:</w:t>
      </w:r>
    </w:p>
    <w:p>
      <w:pPr>
        <w:pStyle w:val="ListBullet"/>
        <w:spacing w:before="20" w:after="20"/>
        <w:ind w:left="504"/>
      </w:pPr>
      <w:r>
        <w:rPr>
          <w:sz w:val="22"/>
        </w:rPr>
        <w:t>The full or partial text of the Work (At the Table curriculum), in any draft or final form;</w:t>
      </w:r>
    </w:p>
    <w:p>
      <w:pPr>
        <w:pStyle w:val="ListBullet"/>
        <w:spacing w:before="20" w:after="20"/>
        <w:ind w:left="504"/>
      </w:pPr>
      <w:r>
        <w:rPr>
          <w:sz w:val="22"/>
        </w:rPr>
        <w:t>The structure, outline, framework, and pedagogical approach of the Work;</w:t>
      </w:r>
    </w:p>
    <w:p>
      <w:pPr>
        <w:pStyle w:val="ListBullet"/>
        <w:spacing w:before="20" w:after="20"/>
        <w:ind w:left="504"/>
      </w:pPr>
      <w:r>
        <w:rPr>
          <w:sz w:val="22"/>
        </w:rPr>
        <w:t>Liturgies, practices, facilitator guides, diagnostics, and any supplemental materials;</w:t>
      </w:r>
    </w:p>
    <w:p>
      <w:pPr>
        <w:pStyle w:val="ListBullet"/>
        <w:spacing w:before="20" w:after="20"/>
        <w:ind w:left="504"/>
      </w:pPr>
      <w:r>
        <w:rPr>
          <w:sz w:val="22"/>
        </w:rPr>
        <w:t>LWN’s ministry strategy, cohort model, branding, and business planning;</w:t>
      </w:r>
    </w:p>
    <w:p>
      <w:pPr>
        <w:pStyle w:val="ListBullet"/>
        <w:spacing w:before="20" w:after="20"/>
        <w:ind w:left="504"/>
      </w:pPr>
      <w:r>
        <w:rPr>
          <w:sz w:val="22"/>
        </w:rPr>
        <w:t>Any other materials marked “Confidential” or that a reasonable person would understand to be confidential given the nature of the disclosure.</w:t>
      </w:r>
    </w:p>
    <w:p>
      <w:pPr>
        <w:spacing w:before="280" w:after="80"/>
      </w:pPr>
      <w:r>
        <w:rPr>
          <w:b/>
          <w:color w:val="2C5F8A"/>
          <w:sz w:val="26"/>
        </w:rPr>
        <w:t>3. Obligations of the Reviewer</w:t>
      </w:r>
    </w:p>
    <w:p>
      <w:pPr>
        <w:spacing w:before="40" w:after="100"/>
      </w:pPr>
      <w:r>
        <w:rPr>
          <w:sz w:val="22"/>
        </w:rPr>
        <w:t>The Reviewer agrees to:</w:t>
      </w:r>
    </w:p>
    <w:p>
      <w:pPr>
        <w:pStyle w:val="ListBullet"/>
        <w:spacing w:before="20" w:after="20"/>
        <w:ind w:left="504"/>
      </w:pPr>
      <w:r>
        <w:rPr>
          <w:sz w:val="22"/>
        </w:rPr>
        <w:t>Hold all Confidential Information in strict confidence and protect it with at least the same degree of care used to protect the Reviewer’s own confidential information, but in no event less than reasonable care;</w:t>
      </w:r>
    </w:p>
    <w:p>
      <w:pPr>
        <w:pStyle w:val="ListBullet"/>
        <w:spacing w:before="20" w:after="20"/>
        <w:ind w:left="504"/>
      </w:pPr>
      <w:r>
        <w:rPr>
          <w:sz w:val="22"/>
        </w:rPr>
        <w:t>Not disclose, reproduce, distribute, publish, post, transmit, or share any Confidential Information with any third party without the prior written consent of LWN;</w:t>
      </w:r>
    </w:p>
    <w:p>
      <w:pPr>
        <w:pStyle w:val="ListBullet"/>
        <w:spacing w:before="20" w:after="20"/>
        <w:ind w:left="504"/>
      </w:pPr>
      <w:r>
        <w:rPr>
          <w:sz w:val="22"/>
        </w:rPr>
        <w:t>Use the Confidential Information solely for the Permitted Purpose and for no other purpose;</w:t>
      </w:r>
    </w:p>
    <w:p>
      <w:pPr>
        <w:pStyle w:val="ListBullet"/>
        <w:spacing w:before="20" w:after="20"/>
        <w:ind w:left="504"/>
      </w:pPr>
      <w:r>
        <w:rPr>
          <w:sz w:val="22"/>
        </w:rPr>
        <w:t>Not use the Confidential Information to develop, create, or contribute to any competing curriculum, publication, or ministry resource;</w:t>
      </w:r>
    </w:p>
    <w:p>
      <w:pPr>
        <w:pStyle w:val="ListBullet"/>
        <w:spacing w:before="20" w:after="20"/>
        <w:ind w:left="504"/>
      </w:pPr>
      <w:r>
        <w:rPr>
          <w:sz w:val="22"/>
        </w:rPr>
        <w:t>Promptly notify LWN in writing upon discovering any unauthorized use or disclosure of the Confidential Information.</w:t>
      </w:r>
    </w:p>
    <w:p>
      <w:pPr>
        <w:spacing w:before="280" w:after="80"/>
      </w:pPr>
      <w:r>
        <w:rPr>
          <w:b/>
          <w:color w:val="2C5F8A"/>
          <w:sz w:val="26"/>
        </w:rPr>
        <w:t>4. Exceptions</w:t>
      </w:r>
    </w:p>
    <w:p>
      <w:pPr>
        <w:spacing w:before="40" w:after="100"/>
      </w:pPr>
      <w:r>
        <w:rPr>
          <w:sz w:val="22"/>
        </w:rPr>
        <w:t>The obligations of this Agreement shall not apply to information that the Reviewer can demonstrate:</w:t>
      </w:r>
    </w:p>
    <w:p>
      <w:pPr>
        <w:pStyle w:val="ListBullet"/>
        <w:spacing w:before="20" w:after="20"/>
        <w:ind w:left="504"/>
      </w:pPr>
      <w:r>
        <w:rPr>
          <w:sz w:val="22"/>
        </w:rPr>
        <w:t>Was already in the Reviewer’s possession, without restriction, prior to disclosure by LWN;</w:t>
      </w:r>
    </w:p>
    <w:p>
      <w:pPr>
        <w:pStyle w:val="ListBullet"/>
        <w:spacing w:before="20" w:after="20"/>
        <w:ind w:left="504"/>
      </w:pPr>
      <w:r>
        <w:rPr>
          <w:sz w:val="22"/>
        </w:rPr>
        <w:t>Is or becomes publicly known through no fault or breach by the Reviewer;</w:t>
      </w:r>
    </w:p>
    <w:p>
      <w:pPr>
        <w:pStyle w:val="ListBullet"/>
        <w:spacing w:before="20" w:after="20"/>
        <w:ind w:left="504"/>
      </w:pPr>
      <w:r>
        <w:rPr>
          <w:sz w:val="22"/>
        </w:rPr>
        <w:t>Is independently developed by the Reviewer without reference to the Confidential Information; or</w:t>
      </w:r>
    </w:p>
    <w:p>
      <w:pPr>
        <w:pStyle w:val="ListBullet"/>
        <w:spacing w:before="20" w:after="20"/>
        <w:ind w:left="504"/>
      </w:pPr>
      <w:r>
        <w:rPr>
          <w:sz w:val="22"/>
        </w:rPr>
        <w:t>Is required to be disclosed by applicable law or court order, provided the Reviewer gives LWN prompt prior written notice sufficient to allow LWN to seek a protective order.</w:t>
      </w:r>
    </w:p>
    <w:p>
      <w:pPr>
        <w:spacing w:before="280" w:after="80"/>
      </w:pPr>
      <w:r>
        <w:rPr>
          <w:b/>
          <w:color w:val="2C5F8A"/>
          <w:sz w:val="26"/>
        </w:rPr>
        <w:t>5. Intellectual Property</w:t>
      </w:r>
    </w:p>
    <w:p>
      <w:pPr>
        <w:spacing w:before="40" w:after="100"/>
      </w:pPr>
      <w:r>
        <w:rPr>
          <w:sz w:val="22"/>
        </w:rPr>
        <w:t>Nothing in this Agreement grants the Reviewer any license, right, title, or interest in or to the Work or any other Confidential Information. All right, title, and interest in the Work remains exclusively with LWN. The Reviewer’s receipt of Confidential Information does not confer any rights to publish, reproduce, adapt, distribute, or create derivative works based on the Confidential Information.</w:t>
      </w:r>
    </w:p>
    <w:p>
      <w:pPr>
        <w:spacing w:before="280" w:after="80"/>
      </w:pPr>
      <w:r>
        <w:rPr>
          <w:b/>
          <w:color w:val="2C5F8A"/>
          <w:sz w:val="26"/>
        </w:rPr>
        <w:t>6. Return or Destruction of Materials</w:t>
      </w:r>
    </w:p>
    <w:p>
      <w:pPr>
        <w:spacing w:before="40" w:after="100"/>
      </w:pPr>
      <w:r>
        <w:rPr>
          <w:sz w:val="22"/>
        </w:rPr>
        <w:t>Upon LWN’s written request, or upon conclusion of the Permitted Purpose, the Reviewer shall promptly return to LWN or permanently destroy all Confidential Information in the Reviewer’s possession or control, including all copies, notes, and summaries thereof, in any form or medium. The Reviewer shall certify such destruction or return in writing upon LWN’s request.</w:t>
      </w:r>
    </w:p>
    <w:p>
      <w:pPr>
        <w:spacing w:before="280" w:after="80"/>
      </w:pPr>
      <w:r>
        <w:rPr>
          <w:b/>
          <w:color w:val="2C5F8A"/>
          <w:sz w:val="26"/>
        </w:rPr>
        <w:t>7. Term</w:t>
      </w:r>
    </w:p>
    <w:p>
      <w:pPr>
        <w:spacing w:before="40" w:after="100"/>
      </w:pPr>
      <w:r>
        <w:rPr>
          <w:sz w:val="22"/>
        </w:rPr>
        <w:t>This Agreement shall remain in full force and effect for a period of three (3) years from the Effective Date, unless earlier terminated by LWN in writing. The obligations of confidentiality with respect to the Work shall survive termination of this Agreement for so long as the Work remains unpublished, and for a minimum of two (2) additional years following any publication.</w:t>
      </w:r>
    </w:p>
    <w:p>
      <w:pPr>
        <w:spacing w:before="280" w:after="80"/>
      </w:pPr>
      <w:r>
        <w:rPr>
          <w:b/>
          <w:color w:val="2C5F8A"/>
          <w:sz w:val="26"/>
        </w:rPr>
        <w:t>8. Remedies</w:t>
      </w:r>
    </w:p>
    <w:p>
      <w:pPr>
        <w:spacing w:before="40" w:after="100"/>
      </w:pPr>
      <w:r>
        <w:rPr>
          <w:sz w:val="22"/>
        </w:rPr>
        <w:t>The Reviewer acknowledges that any breach or threatened breach of this Agreement may cause irreparable harm to LWN for which monetary damages would be an inadequate remedy. Accordingly, LWN shall be entitled to seek equitable relief, including injunction and specific performance, in addition to all other remedies available at law or in equity, without the requirement of posting a bond or proving actual damages.</w:t>
      </w:r>
    </w:p>
    <w:p>
      <w:pPr>
        <w:spacing w:before="280" w:after="80"/>
      </w:pPr>
      <w:r>
        <w:rPr>
          <w:b/>
          <w:color w:val="2C5F8A"/>
          <w:sz w:val="26"/>
        </w:rPr>
        <w:t>9. Governing Law</w:t>
      </w:r>
    </w:p>
    <w:p>
      <w:pPr>
        <w:spacing w:before="40" w:after="100"/>
      </w:pPr>
      <w:r>
        <w:rPr>
          <w:sz w:val="22"/>
        </w:rPr>
        <w:t>This Agreement shall be governed by and construed in accordance with the laws of the State of Georgia, without regard to its conflict of law provisions. Any dispute arising out of or relating to this Agreement shall be resolved in the state or federal courts located in the State of Georgia, and the parties hereby consent to the personal jurisdiction of such courts.</w:t>
      </w:r>
    </w:p>
    <w:p>
      <w:pPr>
        <w:spacing w:before="280" w:after="80"/>
      </w:pPr>
      <w:r>
        <w:rPr>
          <w:b/>
          <w:color w:val="2C5F8A"/>
          <w:sz w:val="26"/>
        </w:rPr>
        <w:t>10. Entire Agreement</w:t>
      </w:r>
    </w:p>
    <w:p>
      <w:pPr>
        <w:spacing w:before="40" w:after="100"/>
      </w:pPr>
      <w:r>
        <w:rPr>
          <w:sz w:val="22"/>
        </w:rPr>
        <w:t>This Agreement constitutes the entire agreement between the parties with respect to its subject matter and supersedes all prior discussions, representations, or understandings. This Agreement may not be amended or modified except by a written instrument signed by both parties. If any provision of this Agreement is found to be unenforceable, the remaining provisions shall remain in full force and effect.</w:t>
      </w:r>
    </w:p>
    <w:p>
      <w:pPr>
        <w:pBdr>
          <w:bottom w:val="single" w:sz="6" w:space="1" w:color="2C5F8A"/>
        </w:pBdr>
        <w:spacing w:before="0" w:after="0"/>
      </w:pPr>
    </w:p>
    <w:p>
      <w:pPr>
        <w:spacing w:before="200" w:after="80"/>
      </w:pPr>
      <w:r>
        <w:rPr>
          <w:i/>
          <w:sz w:val="22"/>
        </w:rPr>
        <w:t>IN WITNESS WHEREOF, the parties have executed this Agreement as of the date written below.</w:t>
      </w:r>
    </w:p>
    <w:tbl>
      <w:tblPr>
        <w:tblW w:type="auto" w:w="0"/>
        <w:tblLook w:firstColumn="1" w:firstRow="1" w:lastColumn="0" w:lastRow="0" w:noHBand="0" w:noVBand="1" w:val="04A0"/>
      </w:tblPr>
      <w:tblGrid>
        <w:gridCol w:w="4464"/>
        <w:gridCol w:w="4608"/>
      </w:tblGrid>
      <w:tr>
        <w:tc>
          <w:tcPr>
            <w:tcW w:type="dxa" w:w="4320"/>
          </w:tcPr>
          <w:p>
            <w:r>
              <w:rPr>
                <w:b/>
                <w:color w:val="2C5F8A"/>
                <w:sz w:val="20"/>
              </w:rPr>
              <w:t>DISCLOSING PARTY — Living Water Network</w:t>
            </w:r>
          </w:p>
          <w:p>
            <w:pPr>
              <w:spacing w:before="400" w:after="0"/>
            </w:pPr>
            <w:r>
              <w:rPr>
                <w:sz w:val="22"/>
              </w:rPr>
              <w:t>______________________________________</w:t>
            </w:r>
          </w:p>
          <w:p>
            <w:pPr>
              <w:spacing w:before="20" w:after="160"/>
            </w:pPr>
            <w:r>
              <w:rPr>
                <w:color w:val="555555"/>
                <w:sz w:val="18"/>
              </w:rPr>
              <w:t>Signature</w:t>
            </w:r>
          </w:p>
          <w:p>
            <w:pPr>
              <w:spacing w:before="400" w:after="0"/>
            </w:pPr>
            <w:r>
              <w:rPr>
                <w:sz w:val="22"/>
              </w:rPr>
              <w:t>______________________________________</w:t>
            </w:r>
          </w:p>
          <w:p>
            <w:pPr>
              <w:spacing w:before="20" w:after="160"/>
            </w:pPr>
            <w:r>
              <w:rPr>
                <w:color w:val="555555"/>
                <w:sz w:val="18"/>
              </w:rPr>
              <w:t>Printed Name: Omar J. Fandino</w:t>
            </w:r>
          </w:p>
          <w:p>
            <w:pPr>
              <w:spacing w:before="400" w:after="0"/>
            </w:pPr>
            <w:r>
              <w:rPr>
                <w:sz w:val="22"/>
              </w:rPr>
              <w:t>______________________________________</w:t>
            </w:r>
          </w:p>
          <w:p>
            <w:pPr>
              <w:spacing w:before="20" w:after="160"/>
            </w:pPr>
            <w:r>
              <w:rPr>
                <w:color w:val="555555"/>
                <w:sz w:val="18"/>
              </w:rPr>
              <w:t>Title: Founder</w:t>
            </w:r>
          </w:p>
          <w:p>
            <w:pPr>
              <w:spacing w:before="400" w:after="0"/>
            </w:pPr>
            <w:r>
              <w:rPr>
                <w:sz w:val="22"/>
              </w:rPr>
              <w:t>______________________________________</w:t>
            </w:r>
          </w:p>
          <w:p>
            <w:pPr>
              <w:spacing w:before="20" w:after="160"/>
            </w:pPr>
            <w:r>
              <w:rPr>
                <w:color w:val="555555"/>
                <w:sz w:val="18"/>
              </w:rPr>
              <w:t>Date:</w:t>
            </w:r>
          </w:p>
        </w:tc>
        <w:tc>
          <w:tcPr>
            <w:tcW w:type="dxa" w:w="4320"/>
          </w:tcPr>
          <w:p>
            <w:r>
              <w:rPr>
                <w:b/>
                <w:color w:val="2C5F8A"/>
                <w:sz w:val="20"/>
              </w:rPr>
              <w:t>REVIEWER</w:t>
            </w:r>
          </w:p>
          <w:p>
            <w:pPr>
              <w:spacing w:before="400" w:after="0"/>
            </w:pPr>
            <w:r>
              <w:rPr>
                <w:sz w:val="22"/>
              </w:rPr>
              <w:t>______________________________________</w:t>
            </w:r>
          </w:p>
          <w:p>
            <w:pPr>
              <w:spacing w:before="20" w:after="160"/>
            </w:pPr>
            <w:r>
              <w:rPr>
                <w:color w:val="555555"/>
                <w:sz w:val="18"/>
              </w:rPr>
              <w:t>Signature</w:t>
            </w:r>
          </w:p>
          <w:p>
            <w:pPr>
              <w:spacing w:before="400" w:after="0"/>
            </w:pPr>
            <w:r>
              <w:rPr>
                <w:sz w:val="22"/>
              </w:rPr>
              <w:t>______________________________________</w:t>
            </w:r>
          </w:p>
          <w:p>
            <w:pPr>
              <w:spacing w:before="20" w:after="160"/>
            </w:pPr>
            <w:r>
              <w:rPr>
                <w:color w:val="555555"/>
                <w:sz w:val="18"/>
              </w:rPr>
              <w:t>Printed Name: ______________________</w:t>
            </w:r>
          </w:p>
          <w:p>
            <w:pPr>
              <w:spacing w:before="400" w:after="0"/>
            </w:pPr>
            <w:r>
              <w:rPr>
                <w:sz w:val="22"/>
              </w:rPr>
              <w:t>______________________________________</w:t>
            </w:r>
          </w:p>
          <w:p>
            <w:pPr>
              <w:spacing w:before="20" w:after="160"/>
            </w:pPr>
            <w:r>
              <w:rPr>
                <w:color w:val="555555"/>
                <w:sz w:val="18"/>
              </w:rPr>
              <w:t>Title / Organization (if applicable):</w:t>
            </w:r>
          </w:p>
          <w:p>
            <w:pPr>
              <w:spacing w:before="400" w:after="0"/>
            </w:pPr>
            <w:r>
              <w:rPr>
                <w:sz w:val="22"/>
              </w:rPr>
              <w:t>______________________________________</w:t>
            </w:r>
          </w:p>
          <w:p>
            <w:pPr>
              <w:spacing w:before="20" w:after="160"/>
            </w:pPr>
            <w:r>
              <w:rPr>
                <w:color w:val="555555"/>
                <w:sz w:val="18"/>
              </w:rPr>
              <w:t>Date:</w:t>
            </w:r>
          </w:p>
        </w:tc>
      </w:tr>
    </w:tbl>
    <w:p>
      <w:pPr>
        <w:pBdr>
          <w:bottom w:val="single" w:sz="6" w:space="1" w:color="2C5F8A"/>
        </w:pBdr>
        <w:spacing w:before="0" w:after="0"/>
      </w:pPr>
    </w:p>
    <w:p>
      <w:pPr>
        <w:spacing w:before="160" w:after="0"/>
      </w:pPr>
      <w:r>
        <w:rPr>
          <w:i/>
          <w:color w:val="777777"/>
          <w:sz w:val="18"/>
        </w:rPr>
        <w:t>Note: This document is provided as a template for organizational use. Living Water Network recommends consulting a licensed attorney in your jurisdiction before executing this Agreement to ensure it meets your specific legal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