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120"/>
      </w:pPr>
      <w:r>
        <w:rPr>
          <w:rFonts w:ascii="Calibri" w:hAnsi="Calibri"/>
          <w:b/>
          <w:i w:val="0"/>
          <w:caps/>
          <w:color w:val="2E75B6"/>
          <w:sz w:val="22"/>
        </w:rPr>
        <w:t>A Formation Movement for Sent Leaders</w:t>
      </w:r>
    </w:p>
    <w:p>
      <w:pPr>
        <w:spacing w:after="0"/>
      </w:pPr>
      <w:r>
        <w:rPr>
          <w:rFonts w:ascii="Calibri" w:hAnsi="Calibri"/>
          <w:b/>
          <w:i w:val="0"/>
          <w:color w:val="1F3A4D"/>
          <w:sz w:val="68"/>
        </w:rPr>
        <w:t>Living Water Network</w:t>
      </w:r>
    </w:p>
    <w:p>
      <w:pPr>
        <w:spacing w:after="360"/>
      </w:pPr>
      <w:r>
        <w:rPr>
          <w:rFonts w:ascii="Calibri" w:hAnsi="Calibri"/>
          <w:b w:val="0"/>
          <w:i w:val="0"/>
          <w:color w:val="2E75B6"/>
          <w:sz w:val="32"/>
        </w:rPr>
        <w:t>Vision Document · 2026</w:t>
      </w:r>
    </w:p>
    <w:p>
      <w:pPr>
        <w:spacing w:after="360"/>
        <w:pBdr>
          <w:bottom w:val="single" w:sz="18" w:space="1" w:color="C9A961"/>
        </w:pBdr>
      </w:pPr>
    </w:p>
    <w:p>
      <w:pPr>
        <w:spacing w:after="480"/>
      </w:pPr>
      <w:r>
        <w:rPr>
          <w:rFonts w:ascii="Calibri" w:hAnsi="Calibri"/>
          <w:b w:val="0"/>
          <w:i/>
          <w:color w:val="1A1A1A"/>
          <w:sz w:val="26"/>
        </w:rPr>
        <w:t>We form Kingdom leaders in the presence of God and deploy them as the hands and feet of Jesus — locally and globally.</w:t>
      </w:r>
    </w:p>
    <w:p/>
    <w:p/>
    <w:p/>
    <w:p/>
    <w:p/>
    <w:p/>
    <w:p/>
    <w:p/>
    <w:p/>
    <w:p/>
    <w:p>
      <w:pPr>
        <w:spacing w:after="0"/>
      </w:pPr>
      <w:r>
        <w:rPr>
          <w:rFonts w:ascii="Calibri" w:hAnsi="Calibri"/>
          <w:b/>
          <w:i w:val="0"/>
          <w:caps/>
          <w:color w:val="1F3A4D"/>
          <w:sz w:val="21"/>
        </w:rPr>
        <w:t>2026</w:t>
      </w:r>
    </w:p>
    <w:p>
      <w:r>
        <w:rPr>
          <w:rFonts w:ascii="Calibri" w:hAnsi="Calibri"/>
          <w:b w:val="0"/>
          <w:i w:val="0"/>
          <w:color w:val="6B6B6B"/>
          <w:sz w:val="20"/>
        </w:rPr>
        <w:t>A Georgia 501(c)(3) nonprofit  ·  www.lwnetwork.org</w:t>
      </w:r>
    </w:p>
    <w:p>
      <w:r>
        <w:br w:type="page"/>
      </w:r>
    </w:p>
    <w:p>
      <w:pPr>
        <w:keepNext/>
        <w:spacing w:before="360" w:after="80"/>
        <w:pBdr>
          <w:bottom w:val="single" w:sz="10" w:space="1" w:color="2E75B6"/>
        </w:pBdr>
      </w:pPr>
      <w:r>
        <w:rPr>
          <w:rFonts w:ascii="Calibri" w:hAnsi="Calibri"/>
          <w:b/>
          <w:i w:val="0"/>
          <w:color w:val="1F3A4D"/>
          <w:sz w:val="40"/>
        </w:rPr>
        <w:t>Opening</w:t>
      </w:r>
    </w:p>
    <w:p>
      <w:pPr>
        <w:spacing w:after="120"/>
      </w:pPr>
      <w:r>
        <w:rPr>
          <w:rFonts w:ascii="Calibri" w:hAnsi="Calibri"/>
          <w:b w:val="0"/>
          <w:i w:val="0"/>
          <w:color w:val="1A1A1A"/>
          <w:sz w:val="22"/>
        </w:rPr>
        <w:t>There is a reason this document exists.</w:t>
      </w:r>
    </w:p>
    <w:p>
      <w:pPr>
        <w:spacing w:after="120"/>
      </w:pPr>
      <w:r>
        <w:rPr>
          <w:rFonts w:ascii="Calibri" w:hAnsi="Calibri"/>
          <w:b w:val="0"/>
          <w:i w:val="0"/>
          <w:color w:val="1A1A1A"/>
          <w:sz w:val="22"/>
        </w:rPr>
        <w:t>For the last generation, the Church has trained more leaders than any previous era. Seminaries have grown. Conferences have multiplied. Content has flooded every feed. And yet the leaders we form still wait to be sent — and the places that most need them still wait to receive them.</w:t>
      </w:r>
    </w:p>
    <w:p>
      <w:pPr>
        <w:spacing w:after="120"/>
      </w:pPr>
      <w:r>
        <w:rPr>
          <w:rFonts w:ascii="Calibri" w:hAnsi="Calibri"/>
          <w:b w:val="0"/>
          <w:i w:val="0"/>
          <w:color w:val="1A1A1A"/>
          <w:sz w:val="22"/>
        </w:rPr>
        <w:t>Living Water Network exists to close that gap.</w:t>
      </w:r>
    </w:p>
    <w:tbl>
      <w:tblPr>
        <w:tblW w:type="auto" w:w="0"/>
        <w:tblLayout w:type="autofit"/>
        <w:tblLook w:firstColumn="1" w:firstRow="1" w:lastColumn="0" w:lastRow="0" w:noHBand="0" w:noVBand="1" w:val="04A0"/>
      </w:tblPr>
      <w:tblGrid>
        <w:gridCol w:w="9360"/>
      </w:tblGrid>
      <w:tr>
        <w:tc>
          <w:tcPr>
            <w:tcW w:type="dxa" w:w="9360"/>
            <w:shd w:val="clear" w:color="auto" w:fill="F5F1E8"/>
            <w:tcBorders>
              <w:top w:val="single" w:sz="18" w:color="C9A961"/>
              <w:left w:val="single" w:sz="18" w:color="C9A961"/>
              <w:bottom w:val="single" w:sz="18" w:color="C9A961"/>
              <w:right w:val="single" w:sz="18" w:color="C9A961"/>
            </w:tcBorders>
          </w:tcPr>
          <w:p>
            <w:pPr>
              <w:spacing w:after="60"/>
            </w:pPr>
            <w:r/>
            <w:r>
              <w:rPr>
                <w:rFonts w:ascii="Calibri" w:hAnsi="Calibri"/>
                <w:b/>
                <w:i w:val="0"/>
                <w:caps/>
                <w:color w:val="1F3A4D"/>
                <w:sz w:val="21"/>
              </w:rPr>
              <w:t>Our Defining Statement</w:t>
            </w:r>
          </w:p>
          <w:p>
            <w:pPr>
              <w:spacing w:after="0"/>
            </w:pPr>
            <w:r>
              <w:rPr>
                <w:rFonts w:ascii="Calibri" w:hAnsi="Calibri"/>
                <w:b w:val="0"/>
                <w:i/>
                <w:color w:val="1A1A1A"/>
                <w:sz w:val="23"/>
              </w:rPr>
              <w:t>We form Kingdom leaders in the presence of God and deploy them as the hands and feet of Jesus — locally and globally.</w:t>
            </w:r>
          </w:p>
        </w:tc>
      </w:tr>
    </w:tbl>
    <w:p>
      <w:pPr>
        <w:spacing w:after="120"/>
      </w:pPr>
    </w:p>
    <w:p>
      <w:pPr>
        <w:keepNext/>
        <w:spacing w:before="360" w:after="80"/>
        <w:pBdr>
          <w:bottom w:val="single" w:sz="10" w:space="1" w:color="2E75B6"/>
        </w:pBdr>
      </w:pPr>
      <w:r>
        <w:rPr>
          <w:rFonts w:ascii="Calibri" w:hAnsi="Calibri"/>
          <w:b/>
          <w:i w:val="0"/>
          <w:color w:val="1F3A4D"/>
          <w:sz w:val="40"/>
        </w:rPr>
        <w:t>What Is At Stake</w:t>
      </w:r>
    </w:p>
    <w:p>
      <w:pPr>
        <w:spacing w:after="120"/>
      </w:pPr>
      <w:r>
        <w:rPr>
          <w:rFonts w:ascii="Calibri" w:hAnsi="Calibri"/>
          <w:b w:val="0"/>
          <w:i w:val="0"/>
          <w:color w:val="1A1A1A"/>
          <w:sz w:val="22"/>
        </w:rPr>
        <w:t>When leaders are trained but never formed, the Church produces information without transformation. When leaders are sent without being formed, missions becomes activity without fruit. When formation is isolated from sending, discipleship stalls. A generation is asking for more than content. They are asking to be formed and sent — together.</w:t>
      </w:r>
    </w:p>
    <w:p>
      <w:pPr>
        <w:keepNext/>
        <w:spacing w:before="360" w:after="80"/>
        <w:pBdr>
          <w:bottom w:val="single" w:sz="10" w:space="1" w:color="2E75B6"/>
        </w:pBdr>
      </w:pPr>
      <w:r>
        <w:rPr>
          <w:rFonts w:ascii="Calibri" w:hAnsi="Calibri"/>
          <w:b/>
          <w:i w:val="0"/>
          <w:color w:val="1F3A4D"/>
          <w:sz w:val="40"/>
        </w:rPr>
        <w:t>Who We Are</w:t>
      </w:r>
    </w:p>
    <w:p>
      <w:pPr>
        <w:spacing w:after="120"/>
      </w:pPr>
      <w:r>
        <w:rPr>
          <w:rFonts w:ascii="Calibri" w:hAnsi="Calibri"/>
          <w:b w:val="0"/>
          <w:i w:val="0"/>
          <w:color w:val="1A1A1A"/>
          <w:sz w:val="22"/>
        </w:rPr>
        <w:t>Living Water Network is a 501(c)(3) nonprofit incorporated in Georgia. We are not a training program. We are not a missions agency. We are not a content platform. We are a formation movement — a unified pipeline that develops character, activates service, and deploys leaders into the world.</w:t>
      </w:r>
    </w:p>
    <w:p>
      <w:pPr>
        <w:keepNext/>
        <w:spacing w:before="360" w:after="80"/>
        <w:pBdr>
          <w:bottom w:val="single" w:sz="10" w:space="1" w:color="2E75B6"/>
        </w:pBdr>
      </w:pPr>
      <w:r>
        <w:rPr>
          <w:rFonts w:ascii="Calibri" w:hAnsi="Calibri"/>
          <w:b/>
          <w:i w:val="0"/>
          <w:color w:val="1F3A4D"/>
          <w:sz w:val="40"/>
        </w:rPr>
        <w:t>Our Model</w:t>
      </w:r>
    </w:p>
    <w:p>
      <w:pPr>
        <w:keepNext/>
        <w:spacing w:before="160" w:after="0"/>
      </w:pPr>
      <w:r>
        <w:rPr>
          <w:rFonts w:ascii="Calibri" w:hAnsi="Calibri"/>
          <w:b/>
          <w:i w:val="0"/>
          <w:color w:val="1F3A4D"/>
          <w:sz w:val="23"/>
        </w:rPr>
        <w:t>Formation</w:t>
      </w:r>
    </w:p>
    <w:p>
      <w:pPr>
        <w:spacing w:after="120"/>
      </w:pPr>
      <w:r>
        <w:rPr>
          <w:rFonts w:ascii="Calibri" w:hAnsi="Calibri"/>
          <w:b w:val="0"/>
          <w:i w:val="0"/>
          <w:color w:val="1A1A1A"/>
          <w:sz w:val="22"/>
        </w:rPr>
        <w:t>We form leaders spiritually, emotionally, and holistically through the At the Table cohort experience, built on six pillars: Spiritual, Mental, Emotional, Physical, Relational, and Stewardship.</w:t>
      </w:r>
    </w:p>
    <w:p>
      <w:pPr>
        <w:keepNext/>
        <w:spacing w:before="160" w:after="0"/>
      </w:pPr>
      <w:r>
        <w:rPr>
          <w:rFonts w:ascii="Calibri" w:hAnsi="Calibri"/>
          <w:b/>
          <w:i w:val="0"/>
          <w:color w:val="1F3A4D"/>
          <w:sz w:val="23"/>
        </w:rPr>
        <w:t>Activation</w:t>
      </w:r>
    </w:p>
    <w:p>
      <w:pPr>
        <w:spacing w:after="120"/>
      </w:pPr>
      <w:r>
        <w:rPr>
          <w:rFonts w:ascii="Calibri" w:hAnsi="Calibri"/>
          <w:b w:val="0"/>
          <w:i w:val="0"/>
          <w:color w:val="1A1A1A"/>
          <w:sz w:val="22"/>
        </w:rPr>
        <w:t>We put formation to work. Leaders serve their cities alongside partner churches. We move them from learning to doing before we ever send them.</w:t>
      </w:r>
    </w:p>
    <w:p>
      <w:pPr>
        <w:keepNext/>
        <w:spacing w:before="160" w:after="0"/>
      </w:pPr>
      <w:r>
        <w:rPr>
          <w:rFonts w:ascii="Calibri" w:hAnsi="Calibri"/>
          <w:b/>
          <w:i w:val="0"/>
          <w:color w:val="1F3A4D"/>
          <w:sz w:val="23"/>
        </w:rPr>
        <w:t>Deployment</w:t>
      </w:r>
    </w:p>
    <w:p>
      <w:pPr>
        <w:spacing w:after="120"/>
      </w:pPr>
      <w:r>
        <w:rPr>
          <w:rFonts w:ascii="Calibri" w:hAnsi="Calibri"/>
          <w:b w:val="0"/>
          <w:i w:val="0"/>
          <w:color w:val="1A1A1A"/>
          <w:sz w:val="22"/>
        </w:rPr>
        <w:t>Formed and activated leaders are sent into global mission. Our first deployment corridor is Ecuador, in sustained partnership with FHC.</w:t>
      </w:r>
    </w:p>
    <w:p>
      <w:pPr>
        <w:spacing w:before="200" w:after="200"/>
        <w:ind w:left="216"/>
        <w:pBdr>
          <w:left w:val="single" w:sz="24" w:space="8" w:color="C9A961"/>
        </w:pBdr>
      </w:pPr>
      <w:r>
        <w:rPr>
          <w:rFonts w:ascii="Calibri" w:hAnsi="Calibri"/>
          <w:b w:val="0"/>
          <w:i/>
          <w:color w:val="1F3A4D"/>
          <w:sz w:val="26"/>
        </w:rPr>
        <w:t>“Formation with presence. Activation with proximity. Deployment with partnership.”</w:t>
      </w:r>
    </w:p>
    <w:p>
      <w:pPr>
        <w:keepNext/>
        <w:spacing w:before="360" w:after="80"/>
        <w:pBdr>
          <w:bottom w:val="single" w:sz="10" w:space="1" w:color="2E75B6"/>
        </w:pBdr>
      </w:pPr>
      <w:r>
        <w:rPr>
          <w:rFonts w:ascii="Calibri" w:hAnsi="Calibri"/>
          <w:b/>
          <w:i w:val="0"/>
          <w:color w:val="1F3A4D"/>
          <w:sz w:val="40"/>
        </w:rPr>
        <w:t>Why This Matters Now</w:t>
      </w:r>
    </w:p>
    <w:p>
      <w:pPr>
        <w:spacing w:after="120"/>
      </w:pPr>
      <w:r>
        <w:rPr>
          <w:rFonts w:ascii="Calibri" w:hAnsi="Calibri"/>
          <w:b w:val="0"/>
          <w:i w:val="0"/>
          <w:color w:val="1A1A1A"/>
          <w:sz w:val="22"/>
        </w:rPr>
        <w:t>The need is no longer awareness. The need is leaders who can go. Our cities and the nations are not waiting for more content. They are waiting for sent ones.</w:t>
      </w:r>
    </w:p>
    <w:p>
      <w:pPr>
        <w:keepNext/>
        <w:spacing w:before="360" w:after="80"/>
        <w:pBdr>
          <w:bottom w:val="single" w:sz="10" w:space="1" w:color="2E75B6"/>
        </w:pBdr>
      </w:pPr>
      <w:r>
        <w:rPr>
          <w:rFonts w:ascii="Calibri" w:hAnsi="Calibri"/>
          <w:b/>
          <w:i w:val="0"/>
          <w:color w:val="1F3A4D"/>
          <w:sz w:val="40"/>
        </w:rPr>
        <w:t>What We Are Building in Year One</w:t>
      </w:r>
    </w:p>
    <w:p>
      <w:pPr>
        <w:pStyle w:val="ListBullet"/>
        <w:spacing w:after="40"/>
      </w:pPr>
      <w:r>
        <w:rPr>
          <w:rFonts w:ascii="Calibri" w:hAnsi="Calibri"/>
          <w:b w:val="0"/>
          <w:i w:val="0"/>
          <w:color w:val="1A1A1A"/>
          <w:sz w:val="22"/>
        </w:rPr>
        <w:t>One to three formation cohorts launched.</w:t>
      </w:r>
    </w:p>
    <w:p>
      <w:pPr>
        <w:pStyle w:val="ListBullet"/>
        <w:spacing w:after="40"/>
      </w:pPr>
      <w:r>
        <w:rPr>
          <w:rFonts w:ascii="Calibri" w:hAnsi="Calibri"/>
          <w:b w:val="0"/>
          <w:i w:val="0"/>
          <w:color w:val="1A1A1A"/>
          <w:sz w:val="22"/>
        </w:rPr>
        <w:t>50–100 Kingdom leaders formed.</w:t>
      </w:r>
    </w:p>
    <w:p>
      <w:pPr>
        <w:pStyle w:val="ListBullet"/>
        <w:spacing w:after="40"/>
      </w:pPr>
      <w:r>
        <w:rPr>
          <w:rFonts w:ascii="Calibri" w:hAnsi="Calibri"/>
          <w:b w:val="0"/>
          <w:i w:val="0"/>
          <w:color w:val="1A1A1A"/>
          <w:sz w:val="22"/>
        </w:rPr>
        <w:t>First international deployment to Ecuador.</w:t>
      </w:r>
    </w:p>
    <w:p>
      <w:pPr>
        <w:pStyle w:val="ListBullet"/>
        <w:spacing w:after="40"/>
      </w:pPr>
      <w:r>
        <w:rPr>
          <w:rFonts w:ascii="Calibri" w:hAnsi="Calibri"/>
          <w:b w:val="0"/>
          <w:i w:val="0"/>
          <w:color w:val="1A1A1A"/>
          <w:sz w:val="22"/>
        </w:rPr>
        <w:t>Inaugural gala executed in November 2026.</w:t>
      </w:r>
    </w:p>
    <w:p>
      <w:pPr>
        <w:pStyle w:val="ListBullet"/>
        <w:spacing w:after="40"/>
      </w:pPr>
      <w:r>
        <w:rPr>
          <w:rFonts w:ascii="Calibri" w:hAnsi="Calibri"/>
          <w:b w:val="0"/>
          <w:i w:val="0"/>
          <w:color w:val="1A1A1A"/>
          <w:sz w:val="22"/>
        </w:rPr>
        <w:t>50+ monthly partners committed.</w:t>
      </w:r>
    </w:p>
    <w:p>
      <w:pPr>
        <w:pStyle w:val="ListBullet"/>
        <w:spacing w:after="40"/>
      </w:pPr>
      <w:r>
        <w:rPr>
          <w:rFonts w:ascii="Calibri" w:hAnsi="Calibri"/>
          <w:b w:val="0"/>
          <w:i w:val="0"/>
          <w:color w:val="1A1A1A"/>
          <w:sz w:val="22"/>
        </w:rPr>
        <w:t>$145,000 raised.</w:t>
      </w:r>
    </w:p>
    <w:p>
      <w:pPr>
        <w:keepNext/>
        <w:spacing w:before="360" w:after="80"/>
        <w:pBdr>
          <w:bottom w:val="single" w:sz="10" w:space="1" w:color="2E75B6"/>
        </w:pBdr>
      </w:pPr>
      <w:r>
        <w:rPr>
          <w:rFonts w:ascii="Calibri" w:hAnsi="Calibri"/>
          <w:b/>
          <w:i w:val="0"/>
          <w:color w:val="1F3A4D"/>
          <w:sz w:val="40"/>
        </w:rPr>
        <w:t>The Three-Year Horizon</w:t>
      </w:r>
    </w:p>
    <w:tbl>
      <w:tblPr>
        <w:tblW w:type="auto" w:w="0"/>
        <w:tblLayout w:type="fixed"/>
        <w:tblLook w:firstColumn="1" w:firstRow="1" w:lastColumn="0" w:lastRow="0" w:noHBand="0" w:noVBand="1" w:val="04A0"/>
      </w:tblPr>
      <w:tblGrid>
        <w:gridCol w:w="4680"/>
        <w:gridCol w:w="4680"/>
      </w:tblGrid>
      <w:tr>
        <w:tc>
          <w:tcPr>
            <w:tcW w:type="dxa" w:w="2448"/>
            <w:shd w:val="clear" w:color="auto" w:fill="1F3A4D"/>
            <w:tcBorders>
              <w:top w:val="single" w:sz="4" w:color="FFFFFF"/>
              <w:left w:val="single" w:sz="4" w:color="FFFFFF"/>
              <w:bottom w:val="single" w:sz="4" w:color="FFFFFF"/>
              <w:right w:val="single" w:sz="4" w:color="FFFFFF"/>
            </w:tcBorders>
          </w:tcPr>
          <w:p>
            <w:r/>
            <w:r>
              <w:rPr>
                <w:rFonts w:ascii="Calibri" w:hAnsi="Calibri"/>
                <w:b/>
                <w:i w:val="0"/>
                <w:caps/>
                <w:color w:val="FFFFFF"/>
                <w:sz w:val="21"/>
              </w:rPr>
              <w:t>Horizon</w:t>
            </w:r>
          </w:p>
        </w:tc>
        <w:tc>
          <w:tcPr>
            <w:tcW w:type="dxa" w:w="7632"/>
            <w:shd w:val="clear" w:color="auto" w:fill="1F3A4D"/>
            <w:tcBorders>
              <w:top w:val="single" w:sz="4" w:color="FFFFFF"/>
              <w:left w:val="single" w:sz="4" w:color="FFFFFF"/>
              <w:bottom w:val="single" w:sz="4" w:color="FFFFFF"/>
              <w:right w:val="single" w:sz="4" w:color="FFFFFF"/>
            </w:tcBorders>
          </w:tcPr>
          <w:p>
            <w:r/>
            <w:r>
              <w:rPr>
                <w:rFonts w:ascii="Calibri" w:hAnsi="Calibri"/>
                <w:b/>
                <w:i w:val="0"/>
                <w:caps/>
                <w:color w:val="FFFFFF"/>
                <w:sz w:val="21"/>
              </w:rPr>
              <w:t>What This Year Looks Like</w:t>
            </w:r>
          </w:p>
        </w:tc>
      </w:tr>
      <w:tr>
        <w:tc>
          <w:tcPr>
            <w:tcW w:type="dxa" w:w="2448"/>
            <w:shd w:val="clear" w:color="auto" w:fill="EAF1F6"/>
            <w:tcBorders>
              <w:top w:val="single" w:sz="4" w:color="CCD6DD"/>
              <w:left w:val="single" w:sz="4" w:color="CCD6DD"/>
              <w:bottom w:val="single" w:sz="4" w:color="CCD6DD"/>
              <w:right w:val="single" w:sz="4" w:color="CCD6DD"/>
            </w:tcBorders>
          </w:tcPr>
          <w:p>
            <w:pPr>
              <w:spacing w:after="40"/>
            </w:pPr>
            <w:r/>
            <w:r>
              <w:rPr>
                <w:rFonts w:ascii="Calibri" w:hAnsi="Calibri"/>
                <w:b/>
                <w:i w:val="0"/>
                <w:color w:val="1F3A4D"/>
                <w:sz w:val="21"/>
              </w:rPr>
              <w:t>Year 1 · 2026</w:t>
            </w:r>
          </w:p>
        </w:tc>
        <w:tc>
          <w:tcPr>
            <w:tcW w:type="dxa" w:w="7632"/>
            <w:shd w:val="clear" w:color="auto" w:fill="EAF1F6"/>
            <w:tcBorders>
              <w:top w:val="single" w:sz="4" w:color="CCD6DD"/>
              <w:left w:val="single" w:sz="4" w:color="CCD6DD"/>
              <w:bottom w:val="single" w:sz="4" w:color="CCD6DD"/>
              <w:right w:val="single" w:sz="4" w:color="CCD6DD"/>
            </w:tcBorders>
          </w:tcPr>
          <w:p>
            <w:pPr>
              <w:spacing w:after="40"/>
            </w:pPr>
            <w:r/>
            <w:r>
              <w:rPr>
                <w:rFonts w:ascii="Calibri" w:hAnsi="Calibri"/>
                <w:b w:val="0"/>
                <w:i w:val="0"/>
                <w:color w:val="1A1A1A"/>
                <w:sz w:val="21"/>
              </w:rPr>
              <w:t>Prove the model. Launch cohorts, execute the gala, deploy to Ecuador, build the donor base.</w:t>
            </w:r>
          </w:p>
        </w:tc>
      </w:tr>
      <w:tr>
        <w:tc>
          <w:tcPr>
            <w:tcW w:type="dxa" w:w="2448"/>
            <w:shd w:val="clear" w:color="auto" w:fill="FFFFFF"/>
            <w:tcBorders>
              <w:top w:val="single" w:sz="4" w:color="CCD6DD"/>
              <w:left w:val="single" w:sz="4" w:color="CCD6DD"/>
              <w:bottom w:val="single" w:sz="4" w:color="CCD6DD"/>
              <w:right w:val="single" w:sz="4" w:color="CCD6DD"/>
            </w:tcBorders>
          </w:tcPr>
          <w:p>
            <w:pPr>
              <w:spacing w:after="40"/>
            </w:pPr>
            <w:r/>
            <w:r>
              <w:rPr>
                <w:rFonts w:ascii="Calibri" w:hAnsi="Calibri"/>
                <w:b/>
                <w:i w:val="0"/>
                <w:color w:val="1F3A4D"/>
                <w:sz w:val="21"/>
              </w:rPr>
              <w:t>Year 2 · 2027</w:t>
            </w:r>
          </w:p>
        </w:tc>
        <w:tc>
          <w:tcPr>
            <w:tcW w:type="dxa" w:w="7632"/>
            <w:shd w:val="clear" w:color="auto" w:fill="FFFFFF"/>
            <w:tcBorders>
              <w:top w:val="single" w:sz="4" w:color="CCD6DD"/>
              <w:left w:val="single" w:sz="4" w:color="CCD6DD"/>
              <w:bottom w:val="single" w:sz="4" w:color="CCD6DD"/>
              <w:right w:val="single" w:sz="4" w:color="CCD6DD"/>
            </w:tcBorders>
          </w:tcPr>
          <w:p>
            <w:pPr>
              <w:spacing w:after="40"/>
            </w:pPr>
            <w:r/>
            <w:r>
              <w:rPr>
                <w:rFonts w:ascii="Calibri" w:hAnsi="Calibri"/>
                <w:b w:val="0"/>
                <w:i w:val="0"/>
                <w:color w:val="1A1A1A"/>
                <w:sz w:val="21"/>
              </w:rPr>
              <w:t>Scale the model. More cohorts, more leaders, second gala, first full-time hire, deeper partnerships.</w:t>
            </w:r>
          </w:p>
        </w:tc>
      </w:tr>
      <w:tr>
        <w:tc>
          <w:tcPr>
            <w:tcW w:type="dxa" w:w="2448"/>
            <w:shd w:val="clear" w:color="auto" w:fill="EAF1F6"/>
            <w:tcBorders>
              <w:top w:val="single" w:sz="4" w:color="CCD6DD"/>
              <w:left w:val="single" w:sz="4" w:color="CCD6DD"/>
              <w:bottom w:val="single" w:sz="4" w:color="CCD6DD"/>
              <w:right w:val="single" w:sz="4" w:color="CCD6DD"/>
            </w:tcBorders>
          </w:tcPr>
          <w:p>
            <w:pPr>
              <w:spacing w:after="40"/>
            </w:pPr>
            <w:r/>
            <w:r>
              <w:rPr>
                <w:rFonts w:ascii="Calibri" w:hAnsi="Calibri"/>
                <w:b/>
                <w:i w:val="0"/>
                <w:color w:val="1F3A4D"/>
                <w:sz w:val="21"/>
              </w:rPr>
              <w:t>Year 3 · 2028</w:t>
            </w:r>
          </w:p>
        </w:tc>
        <w:tc>
          <w:tcPr>
            <w:tcW w:type="dxa" w:w="7632"/>
            <w:shd w:val="clear" w:color="auto" w:fill="EAF1F6"/>
            <w:tcBorders>
              <w:top w:val="single" w:sz="4" w:color="CCD6DD"/>
              <w:left w:val="single" w:sz="4" w:color="CCD6DD"/>
              <w:bottom w:val="single" w:sz="4" w:color="CCD6DD"/>
              <w:right w:val="single" w:sz="4" w:color="CCD6DD"/>
            </w:tcBorders>
          </w:tcPr>
          <w:p>
            <w:pPr>
              <w:spacing w:after="40"/>
            </w:pPr>
            <w:r/>
            <w:r>
              <w:rPr>
                <w:rFonts w:ascii="Calibri" w:hAnsi="Calibri"/>
                <w:b w:val="0"/>
                <w:i w:val="0"/>
                <w:color w:val="1A1A1A"/>
                <w:sz w:val="21"/>
              </w:rPr>
              <w:t>Institutionalize the model. Staffed team, digital curriculum, regional expansion, a second deployment corridor.</w:t>
            </w:r>
          </w:p>
        </w:tc>
      </w:tr>
    </w:tbl>
    <w:p>
      <w:pPr>
        <w:spacing w:after="120"/>
      </w:pPr>
    </w:p>
    <w:p>
      <w:pPr>
        <w:keepNext/>
        <w:spacing w:before="360" w:after="80"/>
        <w:pBdr>
          <w:bottom w:val="single" w:sz="10" w:space="1" w:color="2E75B6"/>
        </w:pBdr>
      </w:pPr>
      <w:r>
        <w:rPr>
          <w:rFonts w:ascii="Calibri" w:hAnsi="Calibri"/>
          <w:b/>
          <w:i w:val="0"/>
          <w:color w:val="1F3A4D"/>
          <w:sz w:val="40"/>
        </w:rPr>
        <w:t>How You Can Stand With Us</w:t>
      </w:r>
    </w:p>
    <w:tbl>
      <w:tblPr>
        <w:tblW w:type="auto" w:w="0"/>
        <w:tblLayout w:type="fixed"/>
        <w:tblLook w:firstColumn="1" w:firstRow="1" w:lastColumn="0" w:lastRow="0" w:noHBand="0" w:noVBand="1" w:val="04A0"/>
      </w:tblPr>
      <w:tblGrid>
        <w:gridCol w:w="4680"/>
        <w:gridCol w:w="4680"/>
      </w:tblGrid>
      <w:tr>
        <w:tc>
          <w:tcPr>
            <w:tcW w:type="dxa" w:w="2880"/>
            <w:shd w:val="clear" w:color="auto" w:fill="1F3A4D"/>
            <w:tcBorders>
              <w:top w:val="single" w:sz="4" w:color="FFFFFF"/>
              <w:left w:val="single" w:sz="4" w:color="FFFFFF"/>
              <w:bottom w:val="single" w:sz="4" w:color="FFFFFF"/>
              <w:right w:val="single" w:sz="4" w:color="FFFFFF"/>
            </w:tcBorders>
          </w:tcPr>
          <w:p>
            <w:r/>
            <w:r>
              <w:rPr>
                <w:rFonts w:ascii="Calibri" w:hAnsi="Calibri"/>
                <w:b/>
                <w:i w:val="0"/>
                <w:caps/>
                <w:color w:val="FFFFFF"/>
                <w:sz w:val="21"/>
              </w:rPr>
              <w:t>Pathway</w:t>
            </w:r>
          </w:p>
        </w:tc>
        <w:tc>
          <w:tcPr>
            <w:tcW w:type="dxa" w:w="7200"/>
            <w:shd w:val="clear" w:color="auto" w:fill="1F3A4D"/>
            <w:tcBorders>
              <w:top w:val="single" w:sz="4" w:color="FFFFFF"/>
              <w:left w:val="single" w:sz="4" w:color="FFFFFF"/>
              <w:bottom w:val="single" w:sz="4" w:color="FFFFFF"/>
              <w:right w:val="single" w:sz="4" w:color="FFFFFF"/>
            </w:tcBorders>
          </w:tcPr>
          <w:p>
            <w:r/>
            <w:r>
              <w:rPr>
                <w:rFonts w:ascii="Calibri" w:hAnsi="Calibri"/>
                <w:b/>
                <w:i w:val="0"/>
                <w:caps/>
                <w:color w:val="FFFFFF"/>
                <w:sz w:val="21"/>
              </w:rPr>
              <w:t>What It Means</w:t>
            </w:r>
          </w:p>
        </w:tc>
      </w:tr>
      <w:tr>
        <w:tc>
          <w:tcPr>
            <w:tcW w:type="dxa" w:w="2880"/>
            <w:shd w:val="clear" w:color="auto" w:fill="EAF1F6"/>
            <w:tcBorders>
              <w:top w:val="single" w:sz="4" w:color="CCD6DD"/>
              <w:left w:val="single" w:sz="4" w:color="CCD6DD"/>
              <w:bottom w:val="single" w:sz="4" w:color="CCD6DD"/>
              <w:right w:val="single" w:sz="4" w:color="CCD6DD"/>
            </w:tcBorders>
          </w:tcPr>
          <w:p>
            <w:pPr>
              <w:spacing w:after="40"/>
            </w:pPr>
            <w:r/>
            <w:r>
              <w:rPr>
                <w:rFonts w:ascii="Calibri" w:hAnsi="Calibri"/>
                <w:b/>
                <w:i w:val="0"/>
                <w:color w:val="1F3A4D"/>
                <w:sz w:val="21"/>
              </w:rPr>
              <w:t>Partner Monthly</w:t>
            </w:r>
          </w:p>
        </w:tc>
        <w:tc>
          <w:tcPr>
            <w:tcW w:type="dxa" w:w="7200"/>
            <w:shd w:val="clear" w:color="auto" w:fill="EAF1F6"/>
            <w:tcBorders>
              <w:top w:val="single" w:sz="4" w:color="CCD6DD"/>
              <w:left w:val="single" w:sz="4" w:color="CCD6DD"/>
              <w:bottom w:val="single" w:sz="4" w:color="CCD6DD"/>
              <w:right w:val="single" w:sz="4" w:color="CCD6DD"/>
            </w:tcBorders>
          </w:tcPr>
          <w:p>
            <w:pPr>
              <w:spacing w:after="40"/>
            </w:pPr>
            <w:r/>
            <w:r>
              <w:rPr>
                <w:rFonts w:ascii="Calibri" w:hAnsi="Calibri"/>
                <w:b w:val="0"/>
                <w:i w:val="0"/>
                <w:color w:val="1A1A1A"/>
                <w:sz w:val="21"/>
              </w:rPr>
              <w:t>Become one of the 150 who make this year possible.</w:t>
            </w:r>
          </w:p>
        </w:tc>
      </w:tr>
      <w:tr>
        <w:tc>
          <w:tcPr>
            <w:tcW w:type="dxa" w:w="2880"/>
            <w:shd w:val="clear" w:color="auto" w:fill="FFFFFF"/>
            <w:tcBorders>
              <w:top w:val="single" w:sz="4" w:color="CCD6DD"/>
              <w:left w:val="single" w:sz="4" w:color="CCD6DD"/>
              <w:bottom w:val="single" w:sz="4" w:color="CCD6DD"/>
              <w:right w:val="single" w:sz="4" w:color="CCD6DD"/>
            </w:tcBorders>
          </w:tcPr>
          <w:p>
            <w:pPr>
              <w:spacing w:after="40"/>
            </w:pPr>
            <w:r/>
            <w:r>
              <w:rPr>
                <w:rFonts w:ascii="Calibri" w:hAnsi="Calibri"/>
                <w:b/>
                <w:i w:val="0"/>
                <w:color w:val="1F3A4D"/>
                <w:sz w:val="21"/>
              </w:rPr>
              <w:t>Give a One-Time Gift</w:t>
            </w:r>
          </w:p>
        </w:tc>
        <w:tc>
          <w:tcPr>
            <w:tcW w:type="dxa" w:w="7200"/>
            <w:shd w:val="clear" w:color="auto" w:fill="FFFFFF"/>
            <w:tcBorders>
              <w:top w:val="single" w:sz="4" w:color="CCD6DD"/>
              <w:left w:val="single" w:sz="4" w:color="CCD6DD"/>
              <w:bottom w:val="single" w:sz="4" w:color="CCD6DD"/>
              <w:right w:val="single" w:sz="4" w:color="CCD6DD"/>
            </w:tcBorders>
          </w:tcPr>
          <w:p>
            <w:pPr>
              <w:spacing w:after="40"/>
            </w:pPr>
            <w:r/>
            <w:r>
              <w:rPr>
                <w:rFonts w:ascii="Calibri" w:hAnsi="Calibri"/>
                <w:b w:val="0"/>
                <w:i w:val="0"/>
                <w:color w:val="1A1A1A"/>
                <w:sz w:val="21"/>
              </w:rPr>
              <w:t>Underwrite a cohort, a trip, or a season of operations.</w:t>
            </w:r>
          </w:p>
        </w:tc>
      </w:tr>
      <w:tr>
        <w:tc>
          <w:tcPr>
            <w:tcW w:type="dxa" w:w="2880"/>
            <w:shd w:val="clear" w:color="auto" w:fill="EAF1F6"/>
            <w:tcBorders>
              <w:top w:val="single" w:sz="4" w:color="CCD6DD"/>
              <w:left w:val="single" w:sz="4" w:color="CCD6DD"/>
              <w:bottom w:val="single" w:sz="4" w:color="CCD6DD"/>
              <w:right w:val="single" w:sz="4" w:color="CCD6DD"/>
            </w:tcBorders>
          </w:tcPr>
          <w:p>
            <w:pPr>
              <w:spacing w:after="40"/>
            </w:pPr>
            <w:r/>
            <w:r>
              <w:rPr>
                <w:rFonts w:ascii="Calibri" w:hAnsi="Calibri"/>
                <w:b/>
                <w:i w:val="0"/>
                <w:color w:val="1F3A4D"/>
                <w:sz w:val="21"/>
              </w:rPr>
              <w:t>Host a Cohort</w:t>
            </w:r>
          </w:p>
        </w:tc>
        <w:tc>
          <w:tcPr>
            <w:tcW w:type="dxa" w:w="7200"/>
            <w:shd w:val="clear" w:color="auto" w:fill="EAF1F6"/>
            <w:tcBorders>
              <w:top w:val="single" w:sz="4" w:color="CCD6DD"/>
              <w:left w:val="single" w:sz="4" w:color="CCD6DD"/>
              <w:bottom w:val="single" w:sz="4" w:color="CCD6DD"/>
              <w:right w:val="single" w:sz="4" w:color="CCD6DD"/>
            </w:tcBorders>
          </w:tcPr>
          <w:p>
            <w:pPr>
              <w:spacing w:after="40"/>
            </w:pPr>
            <w:r/>
            <w:r>
              <w:rPr>
                <w:rFonts w:ascii="Calibri" w:hAnsi="Calibri"/>
                <w:b w:val="0"/>
                <w:i w:val="0"/>
                <w:color w:val="1A1A1A"/>
                <w:sz w:val="21"/>
              </w:rPr>
              <w:t>Open your church, your home, or your workplace.</w:t>
            </w:r>
          </w:p>
        </w:tc>
      </w:tr>
      <w:tr>
        <w:tc>
          <w:tcPr>
            <w:tcW w:type="dxa" w:w="2880"/>
            <w:shd w:val="clear" w:color="auto" w:fill="FFFFFF"/>
            <w:tcBorders>
              <w:top w:val="single" w:sz="4" w:color="CCD6DD"/>
              <w:left w:val="single" w:sz="4" w:color="CCD6DD"/>
              <w:bottom w:val="single" w:sz="4" w:color="CCD6DD"/>
              <w:right w:val="single" w:sz="4" w:color="CCD6DD"/>
            </w:tcBorders>
          </w:tcPr>
          <w:p>
            <w:pPr>
              <w:spacing w:after="40"/>
            </w:pPr>
            <w:r/>
            <w:r>
              <w:rPr>
                <w:rFonts w:ascii="Calibri" w:hAnsi="Calibri"/>
                <w:b/>
                <w:i w:val="0"/>
                <w:color w:val="1F3A4D"/>
                <w:sz w:val="21"/>
              </w:rPr>
              <w:t>Sponsor the Launch</w:t>
            </w:r>
          </w:p>
        </w:tc>
        <w:tc>
          <w:tcPr>
            <w:tcW w:type="dxa" w:w="7200"/>
            <w:shd w:val="clear" w:color="auto" w:fill="FFFFFF"/>
            <w:tcBorders>
              <w:top w:val="single" w:sz="4" w:color="CCD6DD"/>
              <w:left w:val="single" w:sz="4" w:color="CCD6DD"/>
              <w:bottom w:val="single" w:sz="4" w:color="CCD6DD"/>
              <w:right w:val="single" w:sz="4" w:color="CCD6DD"/>
            </w:tcBorders>
          </w:tcPr>
          <w:p>
            <w:pPr>
              <w:spacing w:after="40"/>
            </w:pPr>
            <w:r/>
            <w:r>
              <w:rPr>
                <w:rFonts w:ascii="Calibri" w:hAnsi="Calibri"/>
                <w:b w:val="0"/>
                <w:i w:val="0"/>
                <w:color w:val="1A1A1A"/>
                <w:sz w:val="21"/>
              </w:rPr>
              <w:t>Title, presenting, table, or in-kind support for the gala.</w:t>
            </w:r>
          </w:p>
        </w:tc>
      </w:tr>
      <w:tr>
        <w:tc>
          <w:tcPr>
            <w:tcW w:type="dxa" w:w="2880"/>
            <w:shd w:val="clear" w:color="auto" w:fill="EAF1F6"/>
            <w:tcBorders>
              <w:top w:val="single" w:sz="4" w:color="CCD6DD"/>
              <w:left w:val="single" w:sz="4" w:color="CCD6DD"/>
              <w:bottom w:val="single" w:sz="4" w:color="CCD6DD"/>
              <w:right w:val="single" w:sz="4" w:color="CCD6DD"/>
            </w:tcBorders>
          </w:tcPr>
          <w:p>
            <w:pPr>
              <w:spacing w:after="40"/>
            </w:pPr>
            <w:r/>
            <w:r>
              <w:rPr>
                <w:rFonts w:ascii="Calibri" w:hAnsi="Calibri"/>
                <w:b/>
                <w:i w:val="0"/>
                <w:color w:val="1F3A4D"/>
                <w:sz w:val="21"/>
              </w:rPr>
              <w:t>Introduce Us</w:t>
            </w:r>
          </w:p>
        </w:tc>
        <w:tc>
          <w:tcPr>
            <w:tcW w:type="dxa" w:w="7200"/>
            <w:shd w:val="clear" w:color="auto" w:fill="EAF1F6"/>
            <w:tcBorders>
              <w:top w:val="single" w:sz="4" w:color="CCD6DD"/>
              <w:left w:val="single" w:sz="4" w:color="CCD6DD"/>
              <w:bottom w:val="single" w:sz="4" w:color="CCD6DD"/>
              <w:right w:val="single" w:sz="4" w:color="CCD6DD"/>
            </w:tcBorders>
          </w:tcPr>
          <w:p>
            <w:pPr>
              <w:spacing w:after="40"/>
            </w:pPr>
            <w:r/>
            <w:r>
              <w:rPr>
                <w:rFonts w:ascii="Calibri" w:hAnsi="Calibri"/>
                <w:b w:val="0"/>
                <w:i w:val="0"/>
                <w:color w:val="1A1A1A"/>
                <w:sz w:val="21"/>
              </w:rPr>
              <w:t>One person. One conversation. This is how networks are built.</w:t>
            </w:r>
          </w:p>
        </w:tc>
      </w:tr>
    </w:tbl>
    <w:p>
      <w:pPr>
        <w:spacing w:after="120"/>
      </w:pPr>
    </w:p>
    <w:tbl>
      <w:tblPr>
        <w:tblW w:type="auto" w:w="0"/>
        <w:tblLayout w:type="autofit"/>
        <w:tblLook w:firstColumn="1" w:firstRow="1" w:lastColumn="0" w:lastRow="0" w:noHBand="0" w:noVBand="1" w:val="04A0"/>
      </w:tblPr>
      <w:tblGrid>
        <w:gridCol w:w="9360"/>
      </w:tblGrid>
      <w:tr>
        <w:tc>
          <w:tcPr>
            <w:tcW w:type="dxa" w:w="9360"/>
            <w:shd w:val="clear" w:color="auto" w:fill="EAF1F6"/>
            <w:tcBorders>
              <w:top w:val="single" w:sz="18" w:color="2E75B6"/>
              <w:left w:val="single" w:sz="18" w:color="2E75B6"/>
              <w:bottom w:val="single" w:sz="18" w:color="2E75B6"/>
              <w:right w:val="single" w:sz="18" w:color="2E75B6"/>
            </w:tcBorders>
          </w:tcPr>
          <w:p>
            <w:pPr>
              <w:spacing w:after="60"/>
            </w:pPr>
            <w:r/>
            <w:r>
              <w:rPr>
                <w:rFonts w:ascii="Calibri" w:hAnsi="Calibri"/>
                <w:b/>
                <w:i w:val="0"/>
                <w:caps/>
                <w:color w:val="1F3A4D"/>
                <w:sz w:val="21"/>
              </w:rPr>
              <w:t>A Note to the Reader</w:t>
            </w:r>
          </w:p>
          <w:p>
            <w:pPr>
              <w:spacing w:after="0"/>
            </w:pPr>
            <w:r>
              <w:rPr>
                <w:rFonts w:ascii="Calibri" w:hAnsi="Calibri"/>
                <w:b w:val="0"/>
                <w:i/>
                <w:color w:val="1A1A1A"/>
                <w:sz w:val="23"/>
              </w:rPr>
              <w:t>This is not built by one founder. It is built by a network. If this vision stirs you, the most useful thing you can do is pick one line above and act on it this week.</w:t>
            </w:r>
          </w:p>
        </w:tc>
      </w:tr>
    </w:tbl>
    <w:p>
      <w:pPr>
        <w:spacing w:after="120"/>
      </w:pPr>
    </w:p>
    <w:p>
      <w:pPr>
        <w:keepNext/>
        <w:spacing w:before="360" w:after="80"/>
        <w:pBdr>
          <w:bottom w:val="single" w:sz="10" w:space="1" w:color="2E75B6"/>
        </w:pBdr>
      </w:pPr>
      <w:r>
        <w:rPr>
          <w:rFonts w:ascii="Calibri" w:hAnsi="Calibri"/>
          <w:b/>
          <w:i w:val="0"/>
          <w:color w:val="1F3A4D"/>
          <w:sz w:val="40"/>
        </w:rPr>
        <w:t>Closing</w:t>
      </w:r>
    </w:p>
    <w:p>
      <w:pPr>
        <w:spacing w:after="120"/>
      </w:pPr>
      <w:r>
        <w:rPr>
          <w:rFonts w:ascii="Calibri" w:hAnsi="Calibri"/>
          <w:b w:val="0"/>
          <w:i w:val="0"/>
          <w:color w:val="1A1A1A"/>
          <w:sz w:val="22"/>
        </w:rPr>
        <w:t>The Kingdom moves forward because people go.</w:t>
      </w:r>
    </w:p>
    <w:p>
      <w:pPr>
        <w:spacing w:before="200" w:after="200"/>
        <w:ind w:left="216"/>
        <w:pBdr>
          <w:left w:val="single" w:sz="24" w:space="8" w:color="C9A961"/>
        </w:pBdr>
      </w:pPr>
      <w:r>
        <w:rPr>
          <w:rFonts w:ascii="Calibri" w:hAnsi="Calibri"/>
          <w:b w:val="0"/>
          <w:i/>
          <w:color w:val="1F3A4D"/>
          <w:sz w:val="26"/>
        </w:rPr>
        <w:t>“Stand with us, and send them.”</w:t>
      </w:r>
    </w:p>
    <w:p>
      <w:pPr>
        <w:spacing w:before="360"/>
        <w:jc w:val="center"/>
      </w:pPr>
      <w:r>
        <w:rPr>
          <w:rFonts w:ascii="Calibri" w:hAnsi="Calibri"/>
          <w:b/>
          <w:i w:val="0"/>
          <w:caps/>
          <w:color w:val="1F3A4D"/>
          <w:sz w:val="22"/>
        </w:rPr>
        <w:t>Living Water Network Inc.</w:t>
      </w:r>
    </w:p>
    <w:p>
      <w:pPr>
        <w:jc w:val="center"/>
      </w:pPr>
      <w:r>
        <w:rPr>
          <w:rFonts w:ascii="Calibri" w:hAnsi="Calibri"/>
          <w:b w:val="0"/>
          <w:i/>
          <w:color w:val="6B6B6B"/>
          <w:sz w:val="20"/>
        </w:rPr>
        <w:t>A Georgia 501(c)(3) nonprofit  ·  www.lwnetwork.org</w:t>
      </w:r>
    </w:p>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bottom w:val="single" w:sz="6" w:space="1" w:color="CCD6DD"/>
      </w:pBdr>
    </w:pPr>
    <w:r/>
    <w:r>
      <w:rPr>
        <w:rFonts w:ascii="Calibri" w:hAnsi="Calibri"/>
        <w:i/>
        <w:color w:val="6B6B6B"/>
        <w:sz w:val="18"/>
      </w:rPr>
      <w:t>Living Water Network Inc.  ·  Vision Document 2026  ·  www.lwnetwork.org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12"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