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left"/>
      </w:pPr>
      <w:r>
        <w:rPr>
          <w:b/>
          <w:bCs/>
          <w:color w:val="1F4E79"/>
          <w:sz w:val="64"/>
          <w:szCs w:val="64"/>
        </w:rPr>
        <w:t xml:space="preserve">InvoiceIQ</w:t>
      </w:r>
    </w:p>
    <w:p>
      <w:pPr>
        <w:spacing w:after="200"/>
      </w:pPr>
      <w:r>
        <w:rPr>
          <w:color w:val="404040"/>
          <w:sz w:val="40"/>
          <w:szCs w:val="40"/>
        </w:rPr>
        <w:t xml:space="preserve">Automated Invoice Processing Agent</w:t>
      </w:r>
    </w:p>
    <w:p>
      <w:pPr>
        <w:pBdr>
          <w:bottom w:val="single" w:color="1F4E79" w:sz="12" w:space="4"/>
        </w:pBdr>
      </w:pPr>
    </w:p>
    <w:p>
      <w:pPr>
        <w:spacing w:before="200"/>
      </w:pPr>
      <w:r>
        <w:rPr>
          <w:sz w:val="24"/>
          <w:szCs w:val="24"/>
        </w:rPr>
        <w:t xml:space="preserve">Solution demo overview — Copilot Studio, Azure AI Document Intelligence, Microsoft Fabric and Power BI</w:t>
      </w:r>
    </w:p>
    <w:p>
      <w:pPr>
        <w:spacing w:before="1600"/>
      </w:pPr>
      <w:r>
        <w:rPr>
          <w:color w:val="595959"/>
          <w:sz w:val="20"/>
          <w:szCs w:val="20"/>
        </w:rPr>
        <w:t xml:space="preserve">Source: Invoice_IQ.mp4 demo recording (3 min 24 s)</w:t>
      </w:r>
    </w:p>
    <w:p>
      <w:r>
        <w:rPr>
          <w:color w:val="595959"/>
          <w:sz w:val="20"/>
          <w:szCs w:val="20"/>
        </w:rPr>
        <w:t xml:space="preserve">Prepared: 26 October 2026</w:t>
      </w:r>
    </w:p>
    <w:p>
      <w:r>
        <w:br w:type="page"/>
      </w:r>
    </w:p>
    <w:p>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InvoiceIQ is an autonomous invoice processing agent built in Microsoft Copilot Studio. When an invoice is uploaded to an Azure Blob Storage container, the agent is triggered automatically. It extracts key fields using Azure AI Document Intelligence (exposed to the agent as an MCP tool), and writes the structured result to an Excel table through a Power Automate flow.</w:t>
      </w:r>
    </w:p>
    <w:p>
      <w:pPr>
        <w:spacing w:after="120"/>
      </w:pPr>
      <w:r>
        <w:t xml:space="preserve">The extracted data is then ingested into Microsoft Fabric with a Dataflow Gen2, stored as a Lakehouse table, modelled as a semantic model, and visualised in a Power BI report generated with Copilot. The result turns a manual, error-prone data-entry task into a hands-off pipeline that ends in a live finance dashboard.</w:t>
      </w:r>
    </w:p>
    <w:p>
      <w:pPr>
        <w:pStyle w:val="Heading1"/>
      </w:pPr>
      <w:r>
        <w:t xml:space="preserve">2. Business problem</w:t>
      </w:r>
    </w:p>
    <w:p>
      <w:pPr>
        <w:spacing w:after="120"/>
      </w:pPr>
      <w:r>
        <w:t xml:space="preserve">Finance and operations teams process large volumes of invoices. Today this typically means opening each invoice and manually capturing:</w:t>
      </w:r>
    </w:p>
    <w:p>
      <w:pPr>
        <w:pStyle w:val="ListParagraph"/>
        <w:numPr>
          <w:ilvl w:val="0"/>
          <w:numId w:val="2"/>
        </w:numPr>
        <w:spacing w:after="60"/>
      </w:pPr>
      <w:r>
        <w:t xml:space="preserve">Vendor details, invoice number and invoice date</w:t>
      </w:r>
    </w:p>
    <w:p>
      <w:pPr>
        <w:pStyle w:val="ListParagraph"/>
        <w:numPr>
          <w:ilvl w:val="0"/>
          <w:numId w:val="2"/>
        </w:numPr>
        <w:spacing w:after="60"/>
      </w:pPr>
      <w:r>
        <w:t xml:space="preserve">Line items and tax amounts</w:t>
      </w:r>
    </w:p>
    <w:p>
      <w:pPr>
        <w:pStyle w:val="ListParagraph"/>
        <w:numPr>
          <w:ilvl w:val="0"/>
          <w:numId w:val="2"/>
        </w:numPr>
        <w:spacing w:after="60"/>
      </w:pPr>
      <w:r>
        <w:t xml:space="preserve">Currency and total invoice value</w:t>
      </w:r>
    </w:p>
    <w:p>
      <w:pPr>
        <w:spacing w:after="120"/>
      </w:pPr>
      <w:r>
        <w:t xml:space="preserve">As volumes grow, this manual process becomes time-consuming, introduces data-entry errors, and delays downstream processing such as approvals and payments.</w:t>
      </w:r>
    </w:p>
    <w:p>
      <w:pPr>
        <w:pStyle w:val="Heading1"/>
      </w:pPr>
      <w:r>
        <w:t xml:space="preserve">3. Solution overview</w:t>
      </w:r>
    </w:p>
    <w:p>
      <w:pPr>
        <w:pStyle w:val="Heading2"/>
      </w:pPr>
      <w:r>
        <w:t xml:space="preserve">3.1 End-to-end flow</w:t>
      </w:r>
    </w:p>
    <w:p>
      <w:pPr>
        <w:pStyle w:val="ListParagraph"/>
        <w:numPr>
          <w:ilvl w:val="0"/>
          <w:numId w:val="3"/>
        </w:numPr>
        <w:spacing w:after="60"/>
      </w:pPr>
      <w:r>
        <w:t xml:space="preserve">Upload — a user (or upstream system) drops an invoice PDF into the automated-invoice-processing-agent Blob container.</w:t>
      </w:r>
    </w:p>
    <w:p>
      <w:pPr>
        <w:pStyle w:val="ListParagraph"/>
        <w:numPr>
          <w:ilvl w:val="0"/>
          <w:numId w:val="3"/>
        </w:numPr>
        <w:spacing w:after="60"/>
      </w:pPr>
      <w:r>
        <w:t xml:space="preserve">Trigger — the Copilot Studio trigger "When a blob is added or modified (properties only) (V2)" fires and starts the agent.</w:t>
      </w:r>
    </w:p>
    <w:p>
      <w:pPr>
        <w:pStyle w:val="ListParagraph"/>
        <w:numPr>
          <w:ilvl w:val="0"/>
          <w:numId w:val="3"/>
        </w:numPr>
        <w:spacing w:after="60"/>
      </w:pPr>
      <w:r>
        <w:t xml:space="preserve">Extract — the agent calls the extract_invoice tool on the Invoice Extraction MCP server, which uses Azure AI Document Intelligence on the document's SAS URL.</w:t>
      </w:r>
    </w:p>
    <w:p>
      <w:pPr>
        <w:pStyle w:val="ListParagraph"/>
        <w:numPr>
          <w:ilvl w:val="0"/>
          <w:numId w:val="3"/>
        </w:numPr>
        <w:spacing w:after="60"/>
      </w:pPr>
      <w:r>
        <w:t xml:space="preserve">Save — the agent calls the Save Automated Invoice Output flow, which appends a row to the Invoice Output table in Excel (SharePoint / OneDrive).</w:t>
      </w:r>
    </w:p>
    <w:p>
      <w:pPr>
        <w:pStyle w:val="ListParagraph"/>
        <w:numPr>
          <w:ilvl w:val="0"/>
          <w:numId w:val="3"/>
        </w:numPr>
        <w:spacing w:after="60"/>
      </w:pPr>
      <w:r>
        <w:t xml:space="preserve">Ingest — a Fabric Dataflow Gen2 reads the Excel file, transforms it and loads it into a Lakehouse table.</w:t>
      </w:r>
    </w:p>
    <w:p>
      <w:pPr>
        <w:pStyle w:val="ListParagraph"/>
        <w:numPr>
          <w:ilvl w:val="0"/>
          <w:numId w:val="3"/>
        </w:numPr>
        <w:spacing w:after="60"/>
      </w:pPr>
      <w:r>
        <w:t xml:space="preserve">Model and report — a semantic model is built on the table, and Power BI Copilot generates the invoice dashboard.</w:t>
      </w:r>
    </w:p>
    <w:p>
      <w:pPr>
        <w:pStyle w:val="Heading2"/>
      </w:pPr>
      <w:r>
        <w:t xml:space="preserve">3.2 Solution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shd w:fill="1F4E79" w:color="auto" w:val="clear"/>
            <w:tcMar>
              <w:top w:type="dxa" w:w="80"/>
              <w:left w:type="dxa" w:w="110"/>
              <w:bottom w:type="dxa" w:w="80"/>
              <w:right w:type="dxa" w:w="110"/>
            </w:tcMar>
          </w:tcPr>
          <w:p>
            <w:r>
              <w:rPr>
                <w:b/>
                <w:bCs/>
                <w:color w:val="FFFFFF"/>
                <w:sz w:val="20"/>
                <w:szCs w:val="20"/>
              </w:rPr>
              <w:t xml:space="preserve">Layer</w:t>
            </w:r>
          </w:p>
        </w:tc>
        <w:tc>
          <w:tcPr>
            <w:tcW w:type="dxa" w:w="3500"/>
            <w:shd w:fill="1F4E79" w:color="auto" w:val="clear"/>
            <w:tcMar>
              <w:top w:type="dxa" w:w="80"/>
              <w:left w:type="dxa" w:w="110"/>
              <w:bottom w:type="dxa" w:w="80"/>
              <w:right w:type="dxa" w:w="110"/>
            </w:tcMar>
          </w:tcPr>
          <w:p>
            <w:r>
              <w:rPr>
                <w:b/>
                <w:bCs/>
                <w:color w:val="FFFFFF"/>
                <w:sz w:val="20"/>
                <w:szCs w:val="20"/>
              </w:rPr>
              <w:t xml:space="preserve">Component</w:t>
            </w:r>
          </w:p>
        </w:tc>
        <w:tc>
          <w:tcPr>
            <w:tcW w:type="dxa" w:w="4026"/>
            <w:shd w:fill="1F4E79" w:color="auto" w:val="clear"/>
            <w:tcMar>
              <w:top w:type="dxa" w:w="80"/>
              <w:left w:type="dxa" w:w="110"/>
              <w:bottom w:type="dxa" w:w="80"/>
              <w:right w:type="dxa" w:w="110"/>
            </w:tcMar>
          </w:tcPr>
          <w:p>
            <w:r>
              <w:rPr>
                <w:b/>
                <w:bCs/>
                <w:color w:val="FFFFFF"/>
                <w:sz w:val="20"/>
                <w:szCs w:val="20"/>
              </w:rPr>
              <w:t xml:space="preserve">Role in the solution</w:t>
            </w:r>
          </w:p>
        </w:tc>
      </w:tr>
      <w:tr>
        <w:tc>
          <w:tcPr>
            <w:tcW w:type="dxa" w:w="1500"/>
            <w:tcMar>
              <w:top w:type="dxa" w:w="80"/>
              <w:left w:type="dxa" w:w="110"/>
              <w:bottom w:type="dxa" w:w="80"/>
              <w:right w:type="dxa" w:w="110"/>
            </w:tcMar>
          </w:tcPr>
          <w:p>
            <w:r>
              <w:rPr>
                <w:b w:val="false"/>
                <w:bCs w:val="false"/>
                <w:sz w:val="20"/>
                <w:szCs w:val="20"/>
              </w:rPr>
              <w:t xml:space="preserve">Intake</w:t>
            </w:r>
          </w:p>
        </w:tc>
        <w:tc>
          <w:tcPr>
            <w:tcW w:type="dxa" w:w="3500"/>
            <w:tcMar>
              <w:top w:type="dxa" w:w="80"/>
              <w:left w:type="dxa" w:w="110"/>
              <w:bottom w:type="dxa" w:w="80"/>
              <w:right w:type="dxa" w:w="110"/>
            </w:tcMar>
          </w:tcPr>
          <w:p>
            <w:r>
              <w:rPr>
                <w:b w:val="false"/>
                <w:bCs w:val="false"/>
                <w:sz w:val="20"/>
                <w:szCs w:val="20"/>
              </w:rPr>
              <w:t xml:space="preserve">Azure Blob Storage — container automated-invoice-processing-agent</w:t>
            </w:r>
          </w:p>
        </w:tc>
        <w:tc>
          <w:tcPr>
            <w:tcW w:type="dxa" w:w="4026"/>
            <w:tcMar>
              <w:top w:type="dxa" w:w="80"/>
              <w:left w:type="dxa" w:w="110"/>
              <w:bottom w:type="dxa" w:w="80"/>
              <w:right w:type="dxa" w:w="110"/>
            </w:tcMar>
          </w:tcPr>
          <w:p>
            <w:r>
              <w:rPr>
                <w:b w:val="false"/>
                <w:bCs w:val="false"/>
                <w:sz w:val="20"/>
                <w:szCs w:val="20"/>
              </w:rPr>
              <w:t xml:space="preserve">Landing zone for invoice PDFs; source of the event trigger</w:t>
            </w:r>
          </w:p>
        </w:tc>
      </w:tr>
      <w:tr>
        <w:tc>
          <w:tcPr>
            <w:tcW w:type="dxa" w:w="1500"/>
            <w:tcMar>
              <w:top w:type="dxa" w:w="80"/>
              <w:left w:type="dxa" w:w="110"/>
              <w:bottom w:type="dxa" w:w="80"/>
              <w:right w:type="dxa" w:w="110"/>
            </w:tcMar>
          </w:tcPr>
          <w:p>
            <w:r>
              <w:rPr>
                <w:b w:val="false"/>
                <w:bCs w:val="false"/>
                <w:sz w:val="20"/>
                <w:szCs w:val="20"/>
              </w:rPr>
              <w:t xml:space="preserve">Orchestration</w:t>
            </w:r>
          </w:p>
        </w:tc>
        <w:tc>
          <w:tcPr>
            <w:tcW w:type="dxa" w:w="3500"/>
            <w:tcMar>
              <w:top w:type="dxa" w:w="80"/>
              <w:left w:type="dxa" w:w="110"/>
              <w:bottom w:type="dxa" w:w="80"/>
              <w:right w:type="dxa" w:w="110"/>
            </w:tcMar>
          </w:tcPr>
          <w:p>
            <w:r>
              <w:rPr>
                <w:b w:val="false"/>
                <w:bCs w:val="false"/>
                <w:sz w:val="20"/>
                <w:szCs w:val="20"/>
              </w:rPr>
              <w:t xml:space="preserve">Copilot Studio — Automated Invoice Processing Agent (GPT-5.5 Chat model)</w:t>
            </w:r>
          </w:p>
        </w:tc>
        <w:tc>
          <w:tcPr>
            <w:tcW w:type="dxa" w:w="4026"/>
            <w:tcMar>
              <w:top w:type="dxa" w:w="80"/>
              <w:left w:type="dxa" w:w="110"/>
              <w:bottom w:type="dxa" w:w="80"/>
              <w:right w:type="dxa" w:w="110"/>
            </w:tcMar>
          </w:tcPr>
          <w:p>
            <w:r>
              <w:rPr>
                <w:b w:val="false"/>
                <w:bCs w:val="false"/>
                <w:sz w:val="20"/>
                <w:szCs w:val="20"/>
              </w:rPr>
              <w:t xml:space="preserve">Autonomous agent that reacts to the trigger and decides which tools to call</w:t>
            </w:r>
          </w:p>
        </w:tc>
      </w:tr>
      <w:tr>
        <w:tc>
          <w:tcPr>
            <w:tcW w:type="dxa" w:w="1500"/>
            <w:tcMar>
              <w:top w:type="dxa" w:w="80"/>
              <w:left w:type="dxa" w:w="110"/>
              <w:bottom w:type="dxa" w:w="80"/>
              <w:right w:type="dxa" w:w="110"/>
            </w:tcMar>
          </w:tcPr>
          <w:p>
            <w:r>
              <w:rPr>
                <w:b w:val="false"/>
                <w:bCs w:val="false"/>
                <w:sz w:val="20"/>
                <w:szCs w:val="20"/>
              </w:rPr>
              <w:t xml:space="preserve">Extraction</w:t>
            </w:r>
          </w:p>
        </w:tc>
        <w:tc>
          <w:tcPr>
            <w:tcW w:type="dxa" w:w="3500"/>
            <w:tcMar>
              <w:top w:type="dxa" w:w="80"/>
              <w:left w:type="dxa" w:w="110"/>
              <w:bottom w:type="dxa" w:w="80"/>
              <w:right w:type="dxa" w:w="110"/>
            </w:tcMar>
          </w:tcPr>
          <w:p>
            <w:r>
              <w:rPr>
                <w:b w:val="false"/>
                <w:bCs w:val="false"/>
                <w:sz w:val="20"/>
                <w:szCs w:val="20"/>
              </w:rPr>
              <w:t xml:space="preserve">Invoice Extraction MCP (Model Context Protocol) — tool extract_invoice</w:t>
            </w:r>
          </w:p>
        </w:tc>
        <w:tc>
          <w:tcPr>
            <w:tcW w:type="dxa" w:w="4026"/>
            <w:tcMar>
              <w:top w:type="dxa" w:w="80"/>
              <w:left w:type="dxa" w:w="110"/>
              <w:bottom w:type="dxa" w:w="80"/>
              <w:right w:type="dxa" w:w="110"/>
            </w:tcMar>
          </w:tcPr>
          <w:p>
            <w:r>
              <w:rPr>
                <w:b w:val="false"/>
                <w:bCs w:val="false"/>
                <w:sz w:val="20"/>
                <w:szCs w:val="20"/>
              </w:rPr>
              <w:t xml:space="preserve">Wraps Azure AI Document Intelligence; extracts data from invoices, bills, sales orders, purchase orders and utility bills</w:t>
            </w:r>
          </w:p>
        </w:tc>
      </w:tr>
      <w:tr>
        <w:tc>
          <w:tcPr>
            <w:tcW w:type="dxa" w:w="1500"/>
            <w:tcMar>
              <w:top w:type="dxa" w:w="80"/>
              <w:left w:type="dxa" w:w="110"/>
              <w:bottom w:type="dxa" w:w="80"/>
              <w:right w:type="dxa" w:w="110"/>
            </w:tcMar>
          </w:tcPr>
          <w:p>
            <w:r>
              <w:rPr>
                <w:b w:val="false"/>
                <w:bCs w:val="false"/>
                <w:sz w:val="20"/>
                <w:szCs w:val="20"/>
              </w:rPr>
              <w:t xml:space="preserve">Persistence</w:t>
            </w:r>
          </w:p>
        </w:tc>
        <w:tc>
          <w:tcPr>
            <w:tcW w:type="dxa" w:w="3500"/>
            <w:tcMar>
              <w:top w:type="dxa" w:w="80"/>
              <w:left w:type="dxa" w:w="110"/>
              <w:bottom w:type="dxa" w:w="80"/>
              <w:right w:type="dxa" w:w="110"/>
            </w:tcMar>
          </w:tcPr>
          <w:p>
            <w:r>
              <w:rPr>
                <w:b w:val="false"/>
                <w:bCs w:val="false"/>
                <w:sz w:val="20"/>
                <w:szCs w:val="20"/>
              </w:rPr>
              <w:t xml:space="preserve">Power Automate flow — Save Automated Invoice Output</w:t>
            </w:r>
          </w:p>
        </w:tc>
        <w:tc>
          <w:tcPr>
            <w:tcW w:type="dxa" w:w="4026"/>
            <w:tcMar>
              <w:top w:type="dxa" w:w="80"/>
              <w:left w:type="dxa" w:w="110"/>
              <w:bottom w:type="dxa" w:w="80"/>
              <w:right w:type="dxa" w:w="110"/>
            </w:tcMar>
          </w:tcPr>
          <w:p>
            <w:r>
              <w:rPr>
                <w:b w:val="false"/>
                <w:bCs w:val="false"/>
                <w:sz w:val="20"/>
                <w:szCs w:val="20"/>
              </w:rPr>
              <w:t xml:space="preserve">Writes extracted fields to the Excel Invoice Output table</w:t>
            </w:r>
          </w:p>
        </w:tc>
      </w:tr>
      <w:tr>
        <w:tc>
          <w:tcPr>
            <w:tcW w:type="dxa" w:w="1500"/>
            <w:tcMar>
              <w:top w:type="dxa" w:w="80"/>
              <w:left w:type="dxa" w:w="110"/>
              <w:bottom w:type="dxa" w:w="80"/>
              <w:right w:type="dxa" w:w="110"/>
            </w:tcMar>
          </w:tcPr>
          <w:p>
            <w:r>
              <w:rPr>
                <w:b w:val="false"/>
                <w:bCs w:val="false"/>
                <w:sz w:val="20"/>
                <w:szCs w:val="20"/>
              </w:rPr>
              <w:t xml:space="preserve">Data platform</w:t>
            </w:r>
          </w:p>
        </w:tc>
        <w:tc>
          <w:tcPr>
            <w:tcW w:type="dxa" w:w="3500"/>
            <w:tcMar>
              <w:top w:type="dxa" w:w="80"/>
              <w:left w:type="dxa" w:w="110"/>
              <w:bottom w:type="dxa" w:w="80"/>
              <w:right w:type="dxa" w:w="110"/>
            </w:tcMar>
          </w:tcPr>
          <w:p>
            <w:r>
              <w:rPr>
                <w:b w:val="false"/>
                <w:bCs w:val="false"/>
                <w:sz w:val="20"/>
                <w:szCs w:val="20"/>
              </w:rPr>
              <w:t xml:space="preserve">Microsoft Fabric — Dataflow Gen2, Lakehouse, SQL analytics endpoint</w:t>
            </w:r>
          </w:p>
        </w:tc>
        <w:tc>
          <w:tcPr>
            <w:tcW w:type="dxa" w:w="4026"/>
            <w:tcMar>
              <w:top w:type="dxa" w:w="80"/>
              <w:left w:type="dxa" w:w="110"/>
              <w:bottom w:type="dxa" w:w="80"/>
              <w:right w:type="dxa" w:w="110"/>
            </w:tcMar>
          </w:tcPr>
          <w:p>
            <w:r>
              <w:rPr>
                <w:b w:val="false"/>
                <w:bCs w:val="false"/>
                <w:sz w:val="20"/>
                <w:szCs w:val="20"/>
              </w:rPr>
              <w:t xml:space="preserve">Ingests and transforms Excel data into a governed Lakehouse table</w:t>
            </w:r>
          </w:p>
        </w:tc>
      </w:tr>
      <w:tr>
        <w:tc>
          <w:tcPr>
            <w:tcW w:type="dxa" w:w="1500"/>
            <w:tcMar>
              <w:top w:type="dxa" w:w="80"/>
              <w:left w:type="dxa" w:w="110"/>
              <w:bottom w:type="dxa" w:w="80"/>
              <w:right w:type="dxa" w:w="110"/>
            </w:tcMar>
          </w:tcPr>
          <w:p>
            <w:r>
              <w:rPr>
                <w:b w:val="false"/>
                <w:bCs w:val="false"/>
                <w:sz w:val="20"/>
                <w:szCs w:val="20"/>
              </w:rPr>
              <w:t xml:space="preserve">Analytics</w:t>
            </w:r>
          </w:p>
        </w:tc>
        <w:tc>
          <w:tcPr>
            <w:tcW w:type="dxa" w:w="3500"/>
            <w:tcMar>
              <w:top w:type="dxa" w:w="80"/>
              <w:left w:type="dxa" w:w="110"/>
              <w:bottom w:type="dxa" w:w="80"/>
              <w:right w:type="dxa" w:w="110"/>
            </w:tcMar>
          </w:tcPr>
          <w:p>
            <w:r>
              <w:rPr>
                <w:b w:val="false"/>
                <w:bCs w:val="false"/>
                <w:sz w:val="20"/>
                <w:szCs w:val="20"/>
              </w:rPr>
              <w:t xml:space="preserve">Semantic model + Power BI report with Copilot</w:t>
            </w:r>
          </w:p>
        </w:tc>
        <w:tc>
          <w:tcPr>
            <w:tcW w:type="dxa" w:w="4026"/>
            <w:tcMar>
              <w:top w:type="dxa" w:w="80"/>
              <w:left w:type="dxa" w:w="110"/>
              <w:bottom w:type="dxa" w:w="80"/>
              <w:right w:type="dxa" w:w="110"/>
            </w:tcMar>
          </w:tcPr>
          <w:p>
            <w:r>
              <w:rPr>
                <w:b w:val="false"/>
                <w:bCs w:val="false"/>
                <w:sz w:val="20"/>
                <w:szCs w:val="20"/>
              </w:rPr>
              <w:t xml:space="preserve">Self-service dashboard instead of scrolling through spreadsheets</w:t>
            </w:r>
          </w:p>
        </w:tc>
      </w:tr>
    </w:tbl>
    <w:p>
      <w:pPr>
        <w:pStyle w:val="Heading1"/>
      </w:pPr>
      <w:r>
        <w:t xml:space="preserve">4. Demo walkthrough</w:t>
      </w:r>
    </w:p>
    <w:p>
      <w:pPr>
        <w:pStyle w:val="Heading2"/>
      </w:pPr>
      <w:r>
        <w:t xml:space="preserve">4.1 Agent configuration in Copilot Studio</w:t>
      </w:r>
    </w:p>
    <w:p>
      <w:pPr>
        <w:spacing w:after="120"/>
      </w:pPr>
      <w:r>
        <w:t xml:space="preserve">The agent is described as: "Automatically processes invoice documents uploaded to Azure Blob Storage, extracts invoice information using Azure Document Intelligence, and stores the extracted data in Excel." Its configuration has one trigger and two tools, with no knowledge sources:</w:t>
      </w:r>
    </w:p>
    <w:p>
      <w:pPr>
        <w:pStyle w:val="ListParagraph"/>
        <w:numPr>
          <w:ilvl w:val="0"/>
          <w:numId w:val="2"/>
        </w:numPr>
        <w:spacing w:after="60"/>
      </w:pPr>
      <w:r>
        <w:rPr>
          <w:b/>
          <w:bCs/>
        </w:rPr>
        <w:t xml:space="preserve">Trigger:</w:t>
      </w:r>
      <w:r>
        <w:t xml:space="preserve"> When a blob is added or modified (properties only) (V2)</w:t>
      </w:r>
    </w:p>
    <w:p>
      <w:pPr>
        <w:pStyle w:val="ListParagraph"/>
        <w:numPr>
          <w:ilvl w:val="0"/>
          <w:numId w:val="2"/>
        </w:numPr>
        <w:spacing w:after="60"/>
      </w:pPr>
      <w:r>
        <w:rPr>
          <w:b/>
          <w:bCs/>
        </w:rPr>
        <w:t xml:space="preserve">Tool 1:</w:t>
      </w:r>
      <w:r>
        <w:t xml:space="preserve"> Invoice Extraction MCP (Model Context Protocol connector)</w:t>
      </w:r>
    </w:p>
    <w:p>
      <w:pPr>
        <w:pStyle w:val="ListParagraph"/>
        <w:numPr>
          <w:ilvl w:val="0"/>
          <w:numId w:val="2"/>
        </w:numPr>
        <w:spacing w:after="60"/>
      </w:pPr>
      <w:r>
        <w:rPr>
          <w:b/>
          <w:bCs/>
        </w:rPr>
        <w:t xml:space="preserve">Tool 2:</w:t>
      </w:r>
      <w:r>
        <w:t xml:space="preserve"> Save Automated Invoice Output (Power Automate flow)</w:t>
      </w:r>
    </w:p>
    <w:p>
      <w:pPr>
        <w:pStyle w:val="ListParagraph"/>
        <w:numPr>
          <w:ilvl w:val="0"/>
          <w:numId w:val="2"/>
        </w:numPr>
        <w:spacing w:after="60"/>
      </w:pPr>
      <w:r>
        <w:rPr>
          <w:b/>
          <w:bCs/>
        </w:rPr>
        <w:t xml:space="preserve">Topics:</w:t>
      </w:r>
      <w:r>
        <w:t xml:space="preserve"> Greeting and Goodbye (defaults; not used in the autonomous path)</w:t>
      </w:r>
    </w:p>
    <w:p>
      <w:pPr>
        <w:spacing w:after="120"/>
      </w:pPr>
      <w:r>
        <w:t xml:space="preserve">The agent's instructions start with "You are an autonomous invoice processing agent. A document will be received from an Azure Blob Storage event trigger." The rules visible in the demo include:</w:t>
      </w:r>
    </w:p>
    <w:p>
      <w:pPr>
        <w:pStyle w:val="ListParagraph"/>
        <w:numPr>
          <w:ilvl w:val="0"/>
          <w:numId w:val="2"/>
        </w:numPr>
        <w:spacing w:after="60"/>
      </w:pPr>
      <w:r>
        <w:t xml:space="preserve">If any required value is not available, use NA.</w:t>
      </w:r>
    </w:p>
    <w:p>
      <w:pPr>
        <w:pStyle w:val="ListParagraph"/>
        <w:numPr>
          <w:ilvl w:val="0"/>
          <w:numId w:val="2"/>
        </w:numPr>
        <w:spacing w:after="60"/>
      </w:pPr>
      <w:r>
        <w:t xml:space="preserve">Ignore information that is not required by the Save Automated Invoice Output tool.</w:t>
      </w:r>
    </w:p>
    <w:p>
      <w:pPr>
        <w:pStyle w:val="ListParagraph"/>
        <w:numPr>
          <w:ilvl w:val="0"/>
          <w:numId w:val="2"/>
        </w:numPr>
        <w:spacing w:after="60"/>
      </w:pPr>
      <w:r>
        <w:t xml:space="preserve">Do not search knowledge sources.</w:t>
      </w:r>
    </w:p>
    <w:p>
      <w:pPr>
        <w:pStyle w:val="ListParagraph"/>
        <w:numPr>
          <w:ilvl w:val="0"/>
          <w:numId w:val="2"/>
        </w:numPr>
        <w:spacing w:after="60"/>
      </w:pPr>
      <w:r>
        <w:t xml:space="preserve">Do not ask the user for additional information.</w:t>
      </w:r>
    </w:p>
    <w:p>
      <w:pPr>
        <w:pStyle w:val="ListParagraph"/>
        <w:numPr>
          <w:ilvl w:val="0"/>
          <w:numId w:val="2"/>
        </w:numPr>
        <w:spacing w:after="60"/>
      </w:pPr>
      <w:r>
        <w:t xml:space="preserve">Complete the processing autonomously.</w:t>
      </w:r>
    </w:p>
    <w:p>
      <w:pPr>
        <w:keepNext/>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95959"/>
          <w:sz w:val="18"/>
          <w:szCs w:val="18"/>
        </w:rPr>
        <w:t xml:space="preserve">Figure 1 — Agent tools, trigger and topics in Copilot Studio</w:t>
      </w:r>
    </w:p>
    <w:p>
      <w:pPr>
        <w:pStyle w:val="Heading2"/>
      </w:pPr>
      <w:r>
        <w:t xml:space="preserve">4.2 Uploading an invoice to Blob Storage</w:t>
      </w:r>
    </w:p>
    <w:p>
      <w:pPr>
        <w:spacing w:after="120"/>
      </w:pPr>
      <w:r>
        <w:t xml:space="preserve">In the Azure portal, the presenter opens the automated-invoice-processing-agent container (storage account documenttranslation7217). It already holds sample invoices across industries — enterprise cloud services, SAP manufacturing, logistics, telecom, healthcare GST, ERP professional services, retail procurement, utilities and industrial equipment. A new file, Sample_Invoice (3).pdf, is uploaded through the Upload blob pane.</w:t>
      </w:r>
    </w:p>
    <w:p>
      <w:pPr>
        <w:keepNext/>
        <w:spacing w:before="120"/>
        <w:jc w:val="center"/>
      </w:pPr>
      <w:r>
        <w:drawing>
          <wp:inline distT="0" distB="0" distL="0" distR="0">
            <wp:extent cx="5715000" cy="3219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95959"/>
          <w:sz w:val="18"/>
          <w:szCs w:val="18"/>
        </w:rPr>
        <w:t xml:space="preserve">Figure 2 — Uploading a sample invoice to the Blob container</w:t>
      </w:r>
    </w:p>
    <w:p>
      <w:pPr>
        <w:pStyle w:val="Heading2"/>
      </w:pPr>
      <w:r>
        <w:t xml:space="preserve">4.3 Agent run and extraction</w:t>
      </w:r>
    </w:p>
    <w:p>
      <w:pPr>
        <w:spacing w:after="120"/>
      </w:pPr>
      <w:r>
        <w:t xml:space="preserve">The upload fires the trigger. The Activity view in Copilot Studio shows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26"/>
        <w:gridCol w:w="2200"/>
      </w:tblGrid>
      <w:tr>
        <w:trPr>
          <w:tblHeader/>
        </w:trPr>
        <w:tc>
          <w:tcPr>
            <w:tcW w:type="dxa" w:w="2800"/>
            <w:shd w:fill="1F4E79" w:color="auto" w:val="clear"/>
            <w:tcMar>
              <w:top w:type="dxa" w:w="80"/>
              <w:left w:type="dxa" w:w="110"/>
              <w:bottom w:type="dxa" w:w="80"/>
              <w:right w:type="dxa" w:w="110"/>
            </w:tcMar>
          </w:tcPr>
          <w:p>
            <w:r>
              <w:rPr>
                <w:b/>
                <w:bCs/>
                <w:color w:val="FFFFFF"/>
                <w:sz w:val="20"/>
                <w:szCs w:val="20"/>
              </w:rPr>
              <w:t xml:space="preserve">Step</w:t>
            </w:r>
          </w:p>
        </w:tc>
        <w:tc>
          <w:tcPr>
            <w:tcW w:type="dxa" w:w="4026"/>
            <w:shd w:fill="1F4E79" w:color="auto" w:val="clear"/>
            <w:tcMar>
              <w:top w:type="dxa" w:w="80"/>
              <w:left w:type="dxa" w:w="110"/>
              <w:bottom w:type="dxa" w:w="80"/>
              <w:right w:type="dxa" w:w="110"/>
            </w:tcMar>
          </w:tcPr>
          <w:p>
            <w:r>
              <w:rPr>
                <w:b/>
                <w:bCs/>
                <w:color w:val="FFFFFF"/>
                <w:sz w:val="20"/>
                <w:szCs w:val="20"/>
              </w:rPr>
              <w:t xml:space="preserve">Type</w:t>
            </w:r>
          </w:p>
        </w:tc>
        <w:tc>
          <w:tcPr>
            <w:tcW w:type="dxa" w:w="2200"/>
            <w:shd w:fill="1F4E79" w:color="auto" w:val="clear"/>
            <w:tcMar>
              <w:top w:type="dxa" w:w="80"/>
              <w:left w:type="dxa" w:w="110"/>
              <w:bottom w:type="dxa" w:w="80"/>
              <w:right w:type="dxa" w:w="110"/>
            </w:tcMar>
          </w:tcPr>
          <w:p>
            <w:r>
              <w:rPr>
                <w:b/>
                <w:bCs/>
                <w:color w:val="FFFFFF"/>
                <w:sz w:val="20"/>
                <w:szCs w:val="20"/>
              </w:rPr>
              <w:t xml:space="preserve">Duration</w:t>
            </w:r>
          </w:p>
        </w:tc>
      </w:tr>
      <w:tr>
        <w:tc>
          <w:tcPr>
            <w:tcW w:type="dxa" w:w="2800"/>
            <w:tcMar>
              <w:top w:type="dxa" w:w="80"/>
              <w:left w:type="dxa" w:w="110"/>
              <w:bottom w:type="dxa" w:w="80"/>
              <w:right w:type="dxa" w:w="110"/>
            </w:tcMar>
          </w:tcPr>
          <w:p>
            <w:r>
              <w:rPr>
                <w:b w:val="false"/>
                <w:bCs w:val="false"/>
                <w:sz w:val="20"/>
                <w:szCs w:val="20"/>
              </w:rPr>
              <w:t xml:space="preserve">Trigger detected</w:t>
            </w:r>
          </w:p>
        </w:tc>
        <w:tc>
          <w:tcPr>
            <w:tcW w:type="dxa" w:w="4026"/>
            <w:tcMar>
              <w:top w:type="dxa" w:w="80"/>
              <w:left w:type="dxa" w:w="110"/>
              <w:bottom w:type="dxa" w:w="80"/>
              <w:right w:type="dxa" w:w="110"/>
            </w:tcMar>
          </w:tcPr>
          <w:p>
            <w:r>
              <w:rPr>
                <w:b w:val="false"/>
                <w:bCs w:val="false"/>
                <w:sz w:val="20"/>
                <w:szCs w:val="20"/>
              </w:rPr>
              <w:t xml:space="preserve">Blob event</w:t>
            </w:r>
          </w:p>
        </w:tc>
        <w:tc>
          <w:tcPr>
            <w:tcW w:type="dxa" w:w="2200"/>
            <w:tcMar>
              <w:top w:type="dxa" w:w="80"/>
              <w:left w:type="dxa" w:w="110"/>
              <w:bottom w:type="dxa" w:w="80"/>
              <w:right w:type="dxa" w:w="110"/>
            </w:tcMar>
          </w:tcPr>
          <w:p>
            <w:r>
              <w:rPr>
                <w:b w:val="false"/>
                <w:bCs w:val="false"/>
                <w:sz w:val="20"/>
                <w:szCs w:val="20"/>
              </w:rPr>
              <w:t xml:space="preserve">—</w:t>
            </w:r>
          </w:p>
        </w:tc>
      </w:tr>
      <w:tr>
        <w:tc>
          <w:tcPr>
            <w:tcW w:type="dxa" w:w="2800"/>
            <w:tcMar>
              <w:top w:type="dxa" w:w="80"/>
              <w:left w:type="dxa" w:w="110"/>
              <w:bottom w:type="dxa" w:w="80"/>
              <w:right w:type="dxa" w:w="110"/>
            </w:tcMar>
          </w:tcPr>
          <w:p>
            <w:r>
              <w:rPr>
                <w:b w:val="false"/>
                <w:bCs w:val="false"/>
                <w:sz w:val="20"/>
                <w:szCs w:val="20"/>
              </w:rPr>
              <w:t xml:space="preserve">extract_invoice</w:t>
            </w:r>
          </w:p>
        </w:tc>
        <w:tc>
          <w:tcPr>
            <w:tcW w:type="dxa" w:w="4026"/>
            <w:tcMar>
              <w:top w:type="dxa" w:w="80"/>
              <w:left w:type="dxa" w:w="110"/>
              <w:bottom w:type="dxa" w:w="80"/>
              <w:right w:type="dxa" w:w="110"/>
            </w:tcMar>
          </w:tcPr>
          <w:p>
            <w:r>
              <w:rPr>
                <w:b w:val="false"/>
                <w:bCs w:val="false"/>
                <w:sz w:val="20"/>
                <w:szCs w:val="20"/>
              </w:rPr>
              <w:t xml:space="preserve">Model Context Protocol tool</w:t>
            </w:r>
          </w:p>
        </w:tc>
        <w:tc>
          <w:tcPr>
            <w:tcW w:type="dxa" w:w="2200"/>
            <w:tcMar>
              <w:top w:type="dxa" w:w="80"/>
              <w:left w:type="dxa" w:w="110"/>
              <w:bottom w:type="dxa" w:w="80"/>
              <w:right w:type="dxa" w:w="110"/>
            </w:tcMar>
          </w:tcPr>
          <w:p>
            <w:r>
              <w:rPr>
                <w:b w:val="false"/>
                <w:bCs w:val="false"/>
                <w:sz w:val="20"/>
                <w:szCs w:val="20"/>
              </w:rPr>
              <w:t xml:space="preserve">8.99 s</w:t>
            </w:r>
          </w:p>
        </w:tc>
      </w:tr>
      <w:tr>
        <w:tc>
          <w:tcPr>
            <w:tcW w:type="dxa" w:w="2800"/>
            <w:tcMar>
              <w:top w:type="dxa" w:w="80"/>
              <w:left w:type="dxa" w:w="110"/>
              <w:bottom w:type="dxa" w:w="80"/>
              <w:right w:type="dxa" w:w="110"/>
            </w:tcMar>
          </w:tcPr>
          <w:p>
            <w:r>
              <w:rPr>
                <w:b w:val="false"/>
                <w:bCs w:val="false"/>
                <w:sz w:val="20"/>
                <w:szCs w:val="20"/>
              </w:rPr>
              <w:t xml:space="preserve">Save Automated Invoice Output</w:t>
            </w:r>
          </w:p>
        </w:tc>
        <w:tc>
          <w:tcPr>
            <w:tcW w:type="dxa" w:w="4026"/>
            <w:tcMar>
              <w:top w:type="dxa" w:w="80"/>
              <w:left w:type="dxa" w:w="110"/>
              <w:bottom w:type="dxa" w:w="80"/>
              <w:right w:type="dxa" w:w="110"/>
            </w:tcMar>
          </w:tcPr>
          <w:p>
            <w:r>
              <w:rPr>
                <w:b w:val="false"/>
                <w:bCs w:val="false"/>
                <w:sz w:val="20"/>
                <w:szCs w:val="20"/>
              </w:rPr>
              <w:t xml:space="preserve">Power Automate flow</w:t>
            </w:r>
          </w:p>
        </w:tc>
        <w:tc>
          <w:tcPr>
            <w:tcW w:type="dxa" w:w="2200"/>
            <w:tcMar>
              <w:top w:type="dxa" w:w="80"/>
              <w:left w:type="dxa" w:w="110"/>
              <w:bottom w:type="dxa" w:w="80"/>
              <w:right w:type="dxa" w:w="110"/>
            </w:tcMar>
          </w:tcPr>
          <w:p>
            <w:r>
              <w:rPr>
                <w:b w:val="false"/>
                <w:bCs w:val="false"/>
                <w:sz w:val="20"/>
                <w:szCs w:val="20"/>
              </w:rPr>
              <w:t xml:space="preserve">4.99 s</w:t>
            </w:r>
          </w:p>
        </w:tc>
      </w:tr>
      <w:tr>
        <w:tc>
          <w:tcPr>
            <w:tcW w:type="dxa" w:w="2800"/>
            <w:tcMar>
              <w:top w:type="dxa" w:w="80"/>
              <w:left w:type="dxa" w:w="110"/>
              <w:bottom w:type="dxa" w:w="80"/>
              <w:right w:type="dxa" w:w="110"/>
            </w:tcMar>
          </w:tcPr>
          <w:p>
            <w:r>
              <w:rPr>
                <w:b w:val="false"/>
                <w:bCs w:val="false"/>
                <w:sz w:val="20"/>
                <w:szCs w:val="20"/>
              </w:rPr>
              <w:t xml:space="preserve">Result</w:t>
            </w:r>
          </w:p>
        </w:tc>
        <w:tc>
          <w:tcPr>
            <w:tcW w:type="dxa" w:w="4026"/>
            <w:tcMar>
              <w:top w:type="dxa" w:w="80"/>
              <w:left w:type="dxa" w:w="110"/>
              <w:bottom w:type="dxa" w:w="80"/>
              <w:right w:type="dxa" w:w="110"/>
            </w:tcMar>
          </w:tcPr>
          <w:p>
            <w:r>
              <w:rPr>
                <w:b w:val="false"/>
                <w:bCs w:val="false"/>
                <w:sz w:val="20"/>
                <w:szCs w:val="20"/>
              </w:rPr>
              <w:t xml:space="preserve">"Invoice processed successfully. The invoice information was extracted and saved to Excel."</w:t>
            </w:r>
          </w:p>
        </w:tc>
        <w:tc>
          <w:tcPr>
            <w:tcW w:type="dxa" w:w="2200"/>
            <w:tcMar>
              <w:top w:type="dxa" w:w="80"/>
              <w:left w:type="dxa" w:w="110"/>
              <w:bottom w:type="dxa" w:w="80"/>
              <w:right w:type="dxa" w:w="110"/>
            </w:tcMar>
          </w:tcPr>
          <w:p>
            <w:r>
              <w:rPr>
                <w:b w:val="false"/>
                <w:bCs w:val="false"/>
                <w:sz w:val="20"/>
                <w:szCs w:val="20"/>
              </w:rPr>
              <w:t xml:space="preserve">≈ 14 s total</w:t>
            </w:r>
          </w:p>
        </w:tc>
      </w:tr>
    </w:tbl>
    <w:p/>
    <w:p>
      <w:pPr>
        <w:spacing w:after="120"/>
      </w:pPr>
      <w:r>
        <w:t xml:space="preserve">The MCP server's tool description says extract_invoice will "extract invoice information from invoice, bill, sales order, purchase order, or utility bill. Input must be a document URL, preferably Azure Blob SAS URL." The MCP server also advertises government identity document extraction.</w:t>
      </w:r>
    </w:p>
    <w:p>
      <w:pPr>
        <w:keepNext/>
        <w:spacing w:before="120"/>
        <w:jc w:val="center"/>
      </w:pPr>
      <w:r>
        <w:drawing>
          <wp:inline distT="0" distB="0" distL="0" distR="0">
            <wp:extent cx="5715000" cy="3219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95959"/>
          <w:sz w:val="18"/>
          <w:szCs w:val="18"/>
        </w:rPr>
        <w:t xml:space="preserve">Figure 3 — Activity trace showing the MCP extraction and the Excel flow</w:t>
      </w:r>
    </w:p>
    <w:p>
      <w:pPr>
        <w:pStyle w:val="Heading2"/>
      </w:pPr>
      <w:r>
        <w:t xml:space="preserve">4.4 Structured output in Excel</w:t>
      </w:r>
    </w:p>
    <w:p>
      <w:pPr>
        <w:spacing w:after="120"/>
      </w:pPr>
      <w:r>
        <w:t xml:space="preserve">Each processed invoice becomes one row in the Invoice Output table of the "Automated Invoice Processing Agent Output" workbook. The columns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1F4E79" w:color="auto" w:val="clear"/>
            <w:tcMar>
              <w:top w:type="dxa" w:w="80"/>
              <w:left w:type="dxa" w:w="110"/>
              <w:bottom w:type="dxa" w:w="80"/>
              <w:right w:type="dxa" w:w="110"/>
            </w:tcMar>
          </w:tcPr>
          <w:p>
            <w:r>
              <w:rPr>
                <w:b/>
                <w:bCs/>
                <w:color w:val="FFFFFF"/>
                <w:sz w:val="20"/>
                <w:szCs w:val="20"/>
              </w:rPr>
              <w:t xml:space="preserve">Column</w:t>
            </w:r>
          </w:p>
        </w:tc>
        <w:tc>
          <w:tcPr>
            <w:tcW w:type="dxa" w:w="3500"/>
            <w:shd w:fill="1F4E79" w:color="auto" w:val="clear"/>
            <w:tcMar>
              <w:top w:type="dxa" w:w="80"/>
              <w:left w:type="dxa" w:w="110"/>
              <w:bottom w:type="dxa" w:w="80"/>
              <w:right w:type="dxa" w:w="110"/>
            </w:tcMar>
          </w:tcPr>
          <w:p>
            <w:r>
              <w:rPr>
                <w:b/>
                <w:bCs/>
                <w:color w:val="FFFFFF"/>
                <w:sz w:val="20"/>
                <w:szCs w:val="20"/>
              </w:rPr>
              <w:t xml:space="preserve">Description</w:t>
            </w:r>
          </w:p>
        </w:tc>
        <w:tc>
          <w:tcPr>
            <w:tcW w:type="dxa" w:w="3526"/>
            <w:shd w:fill="1F4E79" w:color="auto" w:val="clear"/>
            <w:tcMar>
              <w:top w:type="dxa" w:w="80"/>
              <w:left w:type="dxa" w:w="110"/>
              <w:bottom w:type="dxa" w:w="80"/>
              <w:right w:type="dxa" w:w="110"/>
            </w:tcMar>
          </w:tcPr>
          <w:p>
            <w:r>
              <w:rPr>
                <w:b/>
                <w:bCs/>
                <w:color w:val="FFFFFF"/>
                <w:sz w:val="20"/>
                <w:szCs w:val="20"/>
              </w:rPr>
              <w:t xml:space="preserve">Example from demo</w:t>
            </w:r>
          </w:p>
        </w:tc>
      </w:tr>
      <w:tr>
        <w:tc>
          <w:tcPr>
            <w:tcW w:type="dxa" w:w="2000"/>
            <w:tcMar>
              <w:top w:type="dxa" w:w="80"/>
              <w:left w:type="dxa" w:w="110"/>
              <w:bottom w:type="dxa" w:w="80"/>
              <w:right w:type="dxa" w:w="110"/>
            </w:tcMar>
          </w:tcPr>
          <w:p>
            <w:r>
              <w:rPr>
                <w:b w:val="false"/>
                <w:bCs w:val="false"/>
                <w:sz w:val="20"/>
                <w:szCs w:val="20"/>
              </w:rPr>
              <w:t xml:space="preserve">VendorName</w:t>
            </w:r>
          </w:p>
        </w:tc>
        <w:tc>
          <w:tcPr>
            <w:tcW w:type="dxa" w:w="3500"/>
            <w:tcMar>
              <w:top w:type="dxa" w:w="80"/>
              <w:left w:type="dxa" w:w="110"/>
              <w:bottom w:type="dxa" w:w="80"/>
              <w:right w:type="dxa" w:w="110"/>
            </w:tcMar>
          </w:tcPr>
          <w:p>
            <w:r>
              <w:rPr>
                <w:b w:val="false"/>
                <w:bCs w:val="false"/>
                <w:sz w:val="20"/>
                <w:szCs w:val="20"/>
              </w:rPr>
              <w:t xml:space="preserve">Supplier issuing the invoice</w:t>
            </w:r>
          </w:p>
        </w:tc>
        <w:tc>
          <w:tcPr>
            <w:tcW w:type="dxa" w:w="3526"/>
            <w:tcMar>
              <w:top w:type="dxa" w:w="80"/>
              <w:left w:type="dxa" w:w="110"/>
              <w:bottom w:type="dxa" w:w="80"/>
              <w:right w:type="dxa" w:w="110"/>
            </w:tcMar>
          </w:tcPr>
          <w:p>
            <w:r>
              <w:rPr>
                <w:b w:val="false"/>
                <w:bCs w:val="false"/>
                <w:sz w:val="20"/>
                <w:szCs w:val="20"/>
              </w:rPr>
              <w:t xml:space="preserve">APC</w:t>
            </w:r>
          </w:p>
        </w:tc>
      </w:tr>
      <w:tr>
        <w:tc>
          <w:tcPr>
            <w:tcW w:type="dxa" w:w="2000"/>
            <w:tcMar>
              <w:top w:type="dxa" w:w="80"/>
              <w:left w:type="dxa" w:w="110"/>
              <w:bottom w:type="dxa" w:w="80"/>
              <w:right w:type="dxa" w:w="110"/>
            </w:tcMar>
          </w:tcPr>
          <w:p>
            <w:r>
              <w:rPr>
                <w:b w:val="false"/>
                <w:bCs w:val="false"/>
                <w:sz w:val="20"/>
                <w:szCs w:val="20"/>
              </w:rPr>
              <w:t xml:space="preserve">InvoiceNumber</w:t>
            </w:r>
          </w:p>
        </w:tc>
        <w:tc>
          <w:tcPr>
            <w:tcW w:type="dxa" w:w="3500"/>
            <w:tcMar>
              <w:top w:type="dxa" w:w="80"/>
              <w:left w:type="dxa" w:w="110"/>
              <w:bottom w:type="dxa" w:w="80"/>
              <w:right w:type="dxa" w:w="110"/>
            </w:tcMar>
          </w:tcPr>
          <w:p>
            <w:r>
              <w:rPr>
                <w:b w:val="false"/>
                <w:bCs w:val="false"/>
                <w:sz w:val="20"/>
                <w:szCs w:val="20"/>
              </w:rPr>
              <w:t xml:space="preserve">Invoice identifier</w:t>
            </w:r>
          </w:p>
        </w:tc>
        <w:tc>
          <w:tcPr>
            <w:tcW w:type="dxa" w:w="3526"/>
            <w:tcMar>
              <w:top w:type="dxa" w:w="80"/>
              <w:left w:type="dxa" w:w="110"/>
              <w:bottom w:type="dxa" w:w="80"/>
              <w:right w:type="dxa" w:w="110"/>
            </w:tcMar>
          </w:tcPr>
          <w:p>
            <w:r>
              <w:rPr>
                <w:b w:val="false"/>
                <w:bCs w:val="false"/>
                <w:sz w:val="20"/>
                <w:szCs w:val="20"/>
              </w:rPr>
              <w:t xml:space="preserve">APC/INV/26-27/77821</w:t>
            </w:r>
          </w:p>
        </w:tc>
      </w:tr>
      <w:tr>
        <w:tc>
          <w:tcPr>
            <w:tcW w:type="dxa" w:w="2000"/>
            <w:tcMar>
              <w:top w:type="dxa" w:w="80"/>
              <w:left w:type="dxa" w:w="110"/>
              <w:bottom w:type="dxa" w:w="80"/>
              <w:right w:type="dxa" w:w="110"/>
            </w:tcMar>
          </w:tcPr>
          <w:p>
            <w:r>
              <w:rPr>
                <w:b w:val="false"/>
                <w:bCs w:val="false"/>
                <w:sz w:val="20"/>
                <w:szCs w:val="20"/>
              </w:rPr>
              <w:t xml:space="preserve">InvoiceDate</w:t>
            </w:r>
          </w:p>
        </w:tc>
        <w:tc>
          <w:tcPr>
            <w:tcW w:type="dxa" w:w="3500"/>
            <w:tcMar>
              <w:top w:type="dxa" w:w="80"/>
              <w:left w:type="dxa" w:w="110"/>
              <w:bottom w:type="dxa" w:w="80"/>
              <w:right w:type="dxa" w:w="110"/>
            </w:tcMar>
          </w:tcPr>
          <w:p>
            <w:r>
              <w:rPr>
                <w:b w:val="false"/>
                <w:bCs w:val="false"/>
                <w:sz w:val="20"/>
                <w:szCs w:val="20"/>
              </w:rPr>
              <w:t xml:space="preserve">Date of issue</w:t>
            </w:r>
          </w:p>
        </w:tc>
        <w:tc>
          <w:tcPr>
            <w:tcW w:type="dxa" w:w="3526"/>
            <w:tcMar>
              <w:top w:type="dxa" w:w="80"/>
              <w:left w:type="dxa" w:w="110"/>
              <w:bottom w:type="dxa" w:w="80"/>
              <w:right w:type="dxa" w:w="110"/>
            </w:tcMar>
          </w:tcPr>
          <w:p>
            <w:r>
              <w:rPr>
                <w:b w:val="false"/>
                <w:bCs w:val="false"/>
                <w:sz w:val="20"/>
                <w:szCs w:val="20"/>
              </w:rPr>
              <w:t xml:space="preserve">29-Aug-26</w:t>
            </w:r>
          </w:p>
        </w:tc>
      </w:tr>
      <w:tr>
        <w:tc>
          <w:tcPr>
            <w:tcW w:type="dxa" w:w="2000"/>
            <w:tcMar>
              <w:top w:type="dxa" w:w="80"/>
              <w:left w:type="dxa" w:w="110"/>
              <w:bottom w:type="dxa" w:w="80"/>
              <w:right w:type="dxa" w:w="110"/>
            </w:tcMar>
          </w:tcPr>
          <w:p>
            <w:r>
              <w:rPr>
                <w:b w:val="false"/>
                <w:bCs w:val="false"/>
                <w:sz w:val="20"/>
                <w:szCs w:val="20"/>
              </w:rPr>
              <w:t xml:space="preserve">CustomerName</w:t>
            </w:r>
          </w:p>
        </w:tc>
        <w:tc>
          <w:tcPr>
            <w:tcW w:type="dxa" w:w="3500"/>
            <w:tcMar>
              <w:top w:type="dxa" w:w="80"/>
              <w:left w:type="dxa" w:w="110"/>
              <w:bottom w:type="dxa" w:w="80"/>
              <w:right w:type="dxa" w:w="110"/>
            </w:tcMar>
          </w:tcPr>
          <w:p>
            <w:r>
              <w:rPr>
                <w:b w:val="false"/>
                <w:bCs w:val="false"/>
                <w:sz w:val="20"/>
                <w:szCs w:val="20"/>
              </w:rPr>
              <w:t xml:space="preserve">Bill-to party</w:t>
            </w:r>
          </w:p>
        </w:tc>
        <w:tc>
          <w:tcPr>
            <w:tcW w:type="dxa" w:w="3526"/>
            <w:tcMar>
              <w:top w:type="dxa" w:w="80"/>
              <w:left w:type="dxa" w:w="110"/>
              <w:bottom w:type="dxa" w:w="80"/>
              <w:right w:type="dxa" w:w="110"/>
            </w:tcMar>
          </w:tcPr>
          <w:p>
            <w:r>
              <w:rPr>
                <w:b w:val="false"/>
                <w:bCs w:val="false"/>
                <w:sz w:val="20"/>
                <w:szCs w:val="20"/>
              </w:rPr>
              <w:t xml:space="preserve">Contoso Automotive India Ltd. Accounts Payable Department</w:t>
            </w:r>
          </w:p>
        </w:tc>
      </w:tr>
      <w:tr>
        <w:tc>
          <w:tcPr>
            <w:tcW w:type="dxa" w:w="2000"/>
            <w:tcMar>
              <w:top w:type="dxa" w:w="80"/>
              <w:left w:type="dxa" w:w="110"/>
              <w:bottom w:type="dxa" w:w="80"/>
              <w:right w:type="dxa" w:w="110"/>
            </w:tcMar>
          </w:tcPr>
          <w:p>
            <w:r>
              <w:rPr>
                <w:b w:val="false"/>
                <w:bCs w:val="false"/>
                <w:sz w:val="20"/>
                <w:szCs w:val="20"/>
              </w:rPr>
              <w:t xml:space="preserve">TotalTax</w:t>
            </w:r>
          </w:p>
        </w:tc>
        <w:tc>
          <w:tcPr>
            <w:tcW w:type="dxa" w:w="3500"/>
            <w:tcMar>
              <w:top w:type="dxa" w:w="80"/>
              <w:left w:type="dxa" w:w="110"/>
              <w:bottom w:type="dxa" w:w="80"/>
              <w:right w:type="dxa" w:w="110"/>
            </w:tcMar>
          </w:tcPr>
          <w:p>
            <w:r>
              <w:rPr>
                <w:b w:val="false"/>
                <w:bCs w:val="false"/>
                <w:sz w:val="20"/>
                <w:szCs w:val="20"/>
              </w:rPr>
              <w:t xml:space="preserve">Tax amount with currency</w:t>
            </w:r>
          </w:p>
        </w:tc>
        <w:tc>
          <w:tcPr>
            <w:tcW w:type="dxa" w:w="3526"/>
            <w:tcMar>
              <w:top w:type="dxa" w:w="80"/>
              <w:left w:type="dxa" w:w="110"/>
              <w:bottom w:type="dxa" w:w="80"/>
              <w:right w:type="dxa" w:w="110"/>
            </w:tcMar>
          </w:tcPr>
          <w:p>
            <w:r>
              <w:rPr>
                <w:b w:val="false"/>
                <w:bCs w:val="false"/>
                <w:sz w:val="20"/>
                <w:szCs w:val="20"/>
              </w:rPr>
              <w:t xml:space="preserve">NA / CHF 96.00</w:t>
            </w:r>
          </w:p>
        </w:tc>
      </w:tr>
      <w:tr>
        <w:tc>
          <w:tcPr>
            <w:tcW w:type="dxa" w:w="2000"/>
            <w:tcMar>
              <w:top w:type="dxa" w:w="80"/>
              <w:left w:type="dxa" w:w="110"/>
              <w:bottom w:type="dxa" w:w="80"/>
              <w:right w:type="dxa" w:w="110"/>
            </w:tcMar>
          </w:tcPr>
          <w:p>
            <w:r>
              <w:rPr>
                <w:b w:val="false"/>
                <w:bCs w:val="false"/>
                <w:sz w:val="20"/>
                <w:szCs w:val="20"/>
              </w:rPr>
              <w:t xml:space="preserve">InvoiceTotal</w:t>
            </w:r>
          </w:p>
        </w:tc>
        <w:tc>
          <w:tcPr>
            <w:tcW w:type="dxa" w:w="3500"/>
            <w:tcMar>
              <w:top w:type="dxa" w:w="80"/>
              <w:left w:type="dxa" w:w="110"/>
              <w:bottom w:type="dxa" w:w="80"/>
              <w:right w:type="dxa" w:w="110"/>
            </w:tcMar>
          </w:tcPr>
          <w:p>
            <w:r>
              <w:rPr>
                <w:b w:val="false"/>
                <w:bCs w:val="false"/>
                <w:sz w:val="20"/>
                <w:szCs w:val="20"/>
              </w:rPr>
              <w:t xml:space="preserve">Total payable with currency</w:t>
            </w:r>
          </w:p>
        </w:tc>
        <w:tc>
          <w:tcPr>
            <w:tcW w:type="dxa" w:w="3526"/>
            <w:tcMar>
              <w:top w:type="dxa" w:w="80"/>
              <w:left w:type="dxa" w:w="110"/>
              <w:bottom w:type="dxa" w:w="80"/>
              <w:right w:type="dxa" w:w="110"/>
            </w:tcMar>
          </w:tcPr>
          <w:p>
            <w:r>
              <w:rPr>
                <w:b w:val="false"/>
                <w:bCs w:val="false"/>
                <w:sz w:val="20"/>
                <w:szCs w:val="20"/>
              </w:rPr>
              <w:t xml:space="preserve">INR 48,250.00</w:t>
            </w:r>
          </w:p>
        </w:tc>
      </w:tr>
      <w:tr>
        <w:tc>
          <w:tcPr>
            <w:tcW w:type="dxa" w:w="2000"/>
            <w:tcMar>
              <w:top w:type="dxa" w:w="80"/>
              <w:left w:type="dxa" w:w="110"/>
              <w:bottom w:type="dxa" w:w="80"/>
              <w:right w:type="dxa" w:w="110"/>
            </w:tcMar>
          </w:tcPr>
          <w:p>
            <w:r>
              <w:rPr>
                <w:b w:val="false"/>
                <w:bCs w:val="false"/>
                <w:sz w:val="20"/>
                <w:szCs w:val="20"/>
              </w:rPr>
              <w:t xml:space="preserve">Currency</w:t>
            </w:r>
          </w:p>
        </w:tc>
        <w:tc>
          <w:tcPr>
            <w:tcW w:type="dxa" w:w="3500"/>
            <w:tcMar>
              <w:top w:type="dxa" w:w="80"/>
              <w:left w:type="dxa" w:w="110"/>
              <w:bottom w:type="dxa" w:w="80"/>
              <w:right w:type="dxa" w:w="110"/>
            </w:tcMar>
          </w:tcPr>
          <w:p>
            <w:r>
              <w:rPr>
                <w:b w:val="false"/>
                <w:bCs w:val="false"/>
                <w:sz w:val="20"/>
                <w:szCs w:val="20"/>
              </w:rPr>
              <w:t xml:space="preserve">ISO currency code</w:t>
            </w:r>
          </w:p>
        </w:tc>
        <w:tc>
          <w:tcPr>
            <w:tcW w:type="dxa" w:w="3526"/>
            <w:tcMar>
              <w:top w:type="dxa" w:w="80"/>
              <w:left w:type="dxa" w:w="110"/>
              <w:bottom w:type="dxa" w:w="80"/>
              <w:right w:type="dxa" w:w="110"/>
            </w:tcMar>
          </w:tcPr>
          <w:p>
            <w:r>
              <w:rPr>
                <w:b w:val="false"/>
                <w:bCs w:val="false"/>
                <w:sz w:val="20"/>
                <w:szCs w:val="20"/>
              </w:rPr>
              <w:t xml:space="preserve">INR, USD, CHF</w:t>
            </w:r>
          </w:p>
        </w:tc>
      </w:tr>
      <w:tr>
        <w:tc>
          <w:tcPr>
            <w:tcW w:type="dxa" w:w="2000"/>
            <w:tcMar>
              <w:top w:type="dxa" w:w="80"/>
              <w:left w:type="dxa" w:w="110"/>
              <w:bottom w:type="dxa" w:w="80"/>
              <w:right w:type="dxa" w:w="110"/>
            </w:tcMar>
          </w:tcPr>
          <w:p>
            <w:r>
              <w:rPr>
                <w:b w:val="false"/>
                <w:bCs w:val="false"/>
                <w:sz w:val="20"/>
                <w:szCs w:val="20"/>
              </w:rPr>
              <w:t xml:space="preserve">ConfidenceScore</w:t>
            </w:r>
          </w:p>
        </w:tc>
        <w:tc>
          <w:tcPr>
            <w:tcW w:type="dxa" w:w="3500"/>
            <w:tcMar>
              <w:top w:type="dxa" w:w="80"/>
              <w:left w:type="dxa" w:w="110"/>
              <w:bottom w:type="dxa" w:w="80"/>
              <w:right w:type="dxa" w:w="110"/>
            </w:tcMar>
          </w:tcPr>
          <w:p>
            <w:r>
              <w:rPr>
                <w:b w:val="false"/>
                <w:bCs w:val="false"/>
                <w:sz w:val="20"/>
                <w:szCs w:val="20"/>
              </w:rPr>
              <w:t xml:space="preserve">Extraction confidence (0–1)</w:t>
            </w:r>
          </w:p>
        </w:tc>
        <w:tc>
          <w:tcPr>
            <w:tcW w:type="dxa" w:w="3526"/>
            <w:tcMar>
              <w:top w:type="dxa" w:w="80"/>
              <w:left w:type="dxa" w:w="110"/>
              <w:bottom w:type="dxa" w:w="80"/>
              <w:right w:type="dxa" w:w="110"/>
            </w:tcMar>
          </w:tcPr>
          <w:p>
            <w:r>
              <w:rPr>
                <w:b w:val="false"/>
                <w:bCs w:val="false"/>
                <w:sz w:val="20"/>
                <w:szCs w:val="20"/>
              </w:rPr>
              <w:t xml:space="preserve">1</w:t>
            </w:r>
          </w:p>
        </w:tc>
      </w:tr>
      <w:tr>
        <w:tc>
          <w:tcPr>
            <w:tcW w:type="dxa" w:w="2000"/>
            <w:tcMar>
              <w:top w:type="dxa" w:w="80"/>
              <w:left w:type="dxa" w:w="110"/>
              <w:bottom w:type="dxa" w:w="80"/>
              <w:right w:type="dxa" w:w="110"/>
            </w:tcMar>
          </w:tcPr>
          <w:p>
            <w:r>
              <w:rPr>
                <w:b w:val="false"/>
                <w:bCs w:val="false"/>
                <w:sz w:val="20"/>
                <w:szCs w:val="20"/>
              </w:rPr>
              <w:t xml:space="preserve">DocumentURL</w:t>
            </w:r>
          </w:p>
        </w:tc>
        <w:tc>
          <w:tcPr>
            <w:tcW w:type="dxa" w:w="3500"/>
            <w:tcMar>
              <w:top w:type="dxa" w:w="80"/>
              <w:left w:type="dxa" w:w="110"/>
              <w:bottom w:type="dxa" w:w="80"/>
              <w:right w:type="dxa" w:w="110"/>
            </w:tcMar>
          </w:tcPr>
          <w:p>
            <w:r>
              <w:rPr>
                <w:b w:val="false"/>
                <w:bCs w:val="false"/>
                <w:sz w:val="20"/>
                <w:szCs w:val="20"/>
              </w:rPr>
              <w:t xml:space="preserve">SAS link to the source PDF in Blob</w:t>
            </w:r>
          </w:p>
        </w:tc>
        <w:tc>
          <w:tcPr>
            <w:tcW w:type="dxa" w:w="3526"/>
            <w:tcMar>
              <w:top w:type="dxa" w:w="80"/>
              <w:left w:type="dxa" w:w="110"/>
              <w:bottom w:type="dxa" w:w="80"/>
              <w:right w:type="dxa" w:w="110"/>
            </w:tcMar>
          </w:tcPr>
          <w:p>
            <w:r>
              <w:rPr>
                <w:b w:val="false"/>
                <w:bCs w:val="false"/>
                <w:sz w:val="20"/>
                <w:szCs w:val="20"/>
              </w:rPr>
              <w:t xml:space="preserve">https://documenttranslation7217.blob.core.windows.net/…</w:t>
            </w:r>
          </w:p>
        </w:tc>
      </w:tr>
    </w:tbl>
    <w:p/>
    <w:p>
      <w:pPr>
        <w:keepNext/>
        <w:spacing w:before="120"/>
        <w:jc w:val="center"/>
      </w:pPr>
      <w:r>
        <w:drawing>
          <wp:inline distT="0" distB="0" distL="0" distR="0">
            <wp:extent cx="5715000" cy="3219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95959"/>
          <w:sz w:val="18"/>
          <w:szCs w:val="18"/>
        </w:rPr>
        <w:t xml:space="preserve">Figure 4 — Extracted invoice rows in the Excel Invoice Output table</w:t>
      </w:r>
    </w:p>
    <w:p>
      <w:pPr>
        <w:pStyle w:val="Heading2"/>
      </w:pPr>
      <w:r>
        <w:t xml:space="preserve">4.5 Ingestion into Microsoft Fabric</w:t>
      </w:r>
    </w:p>
    <w:p>
      <w:pPr>
        <w:spacing w:after="120"/>
      </w:pPr>
      <w:r>
        <w:t xml:space="preserve">In the Fabric workspace ("Test"), a Dataflow Gen2 reads the Excel file and transforms the data. The output is stored as a table in a Lakehouse (StagingLakehouseForDataflows, with its SQL analytics endpoint). A semantic model is then created on that table to serve as the reporting layer.</w:t>
      </w:r>
    </w:p>
    <w:p>
      <w:pPr>
        <w:pStyle w:val="Heading2"/>
      </w:pPr>
      <w:r>
        <w:t xml:space="preserve">4.6 Power BI dashboard generated by Copilot</w:t>
      </w:r>
    </w:p>
    <w:p>
      <w:pPr>
        <w:spacing w:after="120"/>
      </w:pPr>
      <w:r>
        <w:t xml:space="preserve">A new Power BI report is created from the semantic model. Measures and visuals can be built by hand with DAX, but the demo uses Power BI Copilot. The prompt asks for:</w:t>
      </w:r>
    </w:p>
    <w:p>
      <w:pPr>
        <w:pStyle w:val="ListParagraph"/>
        <w:numPr>
          <w:ilvl w:val="0"/>
          <w:numId w:val="2"/>
        </w:numPr>
        <w:spacing w:after="60"/>
      </w:pPr>
      <w:r>
        <w:t xml:space="preserve">Top row: KPI cards for Total Invoice Value (sum of InvoiceTotal), Total Tax (sum of TotalTax), Invoice Count (distinct count of InvoiceNumber), Average Invoice Value, and Average ConfidenceScore as a percentage.</w:t>
      </w:r>
    </w:p>
    <w:p>
      <w:pPr>
        <w:pStyle w:val="ListParagraph"/>
        <w:numPr>
          <w:ilvl w:val="0"/>
          <w:numId w:val="2"/>
        </w:numPr>
        <w:spacing w:after="60"/>
      </w:pPr>
      <w:r>
        <w:t xml:space="preserve">Middle row: clustered bar charts of InvoiceTotal by VendorName and by CustomerName, sorted descending.</w:t>
      </w:r>
    </w:p>
    <w:p>
      <w:pPr>
        <w:pStyle w:val="ListParagraph"/>
        <w:numPr>
          <w:ilvl w:val="0"/>
          <w:numId w:val="2"/>
        </w:numPr>
        <w:spacing w:after="60"/>
      </w:pPr>
      <w:r>
        <w:t xml:space="preserve">Conditional formatting that highlights ConfidenceScore below 0.92 in red.</w:t>
      </w:r>
    </w:p>
    <w:p>
      <w:pPr>
        <w:pStyle w:val="ListParagraph"/>
        <w:numPr>
          <w:ilvl w:val="0"/>
          <w:numId w:val="2"/>
        </w:numPr>
        <w:spacing w:after="60"/>
      </w:pPr>
      <w:r>
        <w:t xml:space="preserve">Slicers for Currency, VendorName and InvoiceDate, with Currency defaulting to INR so mixed currencies aren't summed together, in a clean, consistent colour theme.</w:t>
      </w:r>
    </w:p>
    <w:p>
      <w:pPr>
        <w:spacing w:after="120"/>
      </w:pPr>
      <w:r>
        <w:t xml:space="preserve">Copilot produced an "Invoice Processing Overview" page with KPI cards, two vendor bar charts and a trend line chart.</w:t>
      </w:r>
    </w:p>
    <w:p>
      <w:pPr>
        <w:keepNext/>
        <w:spacing w:before="120"/>
        <w:jc w:val="center"/>
      </w:pPr>
      <w:r>
        <w:drawing>
          <wp:inline distT="0" distB="0" distL="0" distR="0">
            <wp:extent cx="57150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95959"/>
          <w:sz w:val="18"/>
          <w:szCs w:val="18"/>
        </w:rPr>
        <w:t xml:space="preserve">Figure 5 — Copilot prompt for the invoice dashboard</w:t>
      </w:r>
    </w:p>
    <w:p>
      <w:pPr>
        <w:keepNext/>
        <w:spacing w:before="120"/>
        <w:jc w:val="center"/>
      </w:pPr>
      <w:r>
        <w:drawing>
          <wp:inline distT="0" distB="0" distL="0" distR="0">
            <wp:extent cx="57150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95959"/>
          <w:sz w:val="18"/>
          <w:szCs w:val="18"/>
        </w:rPr>
        <w:t xml:space="preserve">Figure 6 — Copilot-generated Invoice Processing Overview report</w:t>
      </w:r>
    </w:p>
    <w:p>
      <w:pPr>
        <w:pStyle w:val="Heading1"/>
      </w:pPr>
      <w:r>
        <w:t xml:space="preserve">5. Business benefits</w:t>
      </w:r>
    </w:p>
    <w:p>
      <w:pPr>
        <w:pStyle w:val="ListParagraph"/>
        <w:numPr>
          <w:ilvl w:val="0"/>
          <w:numId w:val="2"/>
        </w:numPr>
        <w:spacing w:after="60"/>
      </w:pPr>
      <w:r>
        <w:rPr>
          <w:b/>
          <w:bCs/>
        </w:rPr>
        <w:t xml:space="preserve">Speed:</w:t>
      </w:r>
      <w:r>
        <w:t xml:space="preserve"> invoices are processed end-to-end in about 14 seconds with no human input.</w:t>
      </w:r>
    </w:p>
    <w:p>
      <w:pPr>
        <w:pStyle w:val="ListParagraph"/>
        <w:numPr>
          <w:ilvl w:val="0"/>
          <w:numId w:val="2"/>
        </w:numPr>
        <w:spacing w:after="60"/>
      </w:pPr>
      <w:r>
        <w:rPr>
          <w:b/>
          <w:bCs/>
        </w:rPr>
        <w:t xml:space="preserve">Accuracy:</w:t>
      </w:r>
      <w:r>
        <w:t xml:space="preserve"> Document Intelligence extraction with a confidence score replaces manual keying.</w:t>
      </w:r>
    </w:p>
    <w:p>
      <w:pPr>
        <w:pStyle w:val="ListParagraph"/>
        <w:numPr>
          <w:ilvl w:val="0"/>
          <w:numId w:val="2"/>
        </w:numPr>
        <w:spacing w:after="60"/>
      </w:pPr>
      <w:r>
        <w:rPr>
          <w:b/>
          <w:bCs/>
        </w:rPr>
        <w:t xml:space="preserve">Coverage:</w:t>
      </w:r>
      <w:r>
        <w:t xml:space="preserve"> works across invoice formats, industries and currencies (INR, USD, CHF in the demo).</w:t>
      </w:r>
    </w:p>
    <w:p>
      <w:pPr>
        <w:pStyle w:val="ListParagraph"/>
        <w:numPr>
          <w:ilvl w:val="0"/>
          <w:numId w:val="2"/>
        </w:numPr>
        <w:spacing w:after="60"/>
      </w:pPr>
      <w:r>
        <w:rPr>
          <w:b/>
          <w:bCs/>
        </w:rPr>
        <w:t xml:space="preserve">Traceability:</w:t>
      </w:r>
      <w:r>
        <w:t xml:space="preserve"> every row links back to its source document.</w:t>
      </w:r>
    </w:p>
    <w:p>
      <w:pPr>
        <w:pStyle w:val="ListParagraph"/>
        <w:numPr>
          <w:ilvl w:val="0"/>
          <w:numId w:val="2"/>
        </w:numPr>
        <w:spacing w:after="60"/>
      </w:pPr>
      <w:r>
        <w:rPr>
          <w:b/>
          <w:bCs/>
        </w:rPr>
        <w:t xml:space="preserve">Visibility:</w:t>
      </w:r>
      <w:r>
        <w:t xml:space="preserve"> finance teams monitor a dashboard instead of scrolling through spreadsheets.</w:t>
      </w:r>
    </w:p>
    <w:p>
      <w:pPr>
        <w:pStyle w:val="ListParagraph"/>
        <w:numPr>
          <w:ilvl w:val="0"/>
          <w:numId w:val="2"/>
        </w:numPr>
        <w:spacing w:after="60"/>
      </w:pPr>
      <w:r>
        <w:rPr>
          <w:b/>
          <w:bCs/>
        </w:rPr>
        <w:t xml:space="preserve">Platform fit:</w:t>
      </w:r>
      <w:r>
        <w:t xml:space="preserve"> built on Copilot Studio, Power Automate and Fabric, so it is extensible and low-code.</w:t>
      </w:r>
    </w:p>
    <w:p>
      <w:pPr>
        <w:pStyle w:val="Heading1"/>
      </w:pPr>
      <w:r>
        <w:t xml:space="preserve">6. Observations and recommendations</w:t>
      </w:r>
    </w:p>
    <w:p>
      <w:pPr>
        <w:spacing w:after="120"/>
      </w:pPr>
      <w:r>
        <w:t xml:space="preserve">These points were noticed while reviewing the recording. Address them before showing this to a customer or moving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1F4E79" w:color="auto" w:val="clear"/>
            <w:tcMar>
              <w:top w:type="dxa" w:w="80"/>
              <w:left w:type="dxa" w:w="110"/>
              <w:bottom w:type="dxa" w:w="80"/>
              <w:right w:type="dxa" w:w="110"/>
            </w:tcMar>
          </w:tcPr>
          <w:p>
            <w:r>
              <w:rPr>
                <w:b/>
                <w:bCs/>
                <w:color w:val="FFFFFF"/>
                <w:sz w:val="20"/>
                <w:szCs w:val="20"/>
              </w:rPr>
              <w:t xml:space="preserve">Area</w:t>
            </w:r>
          </w:p>
        </w:tc>
        <w:tc>
          <w:tcPr>
            <w:tcW w:type="dxa" w:w="3663"/>
            <w:shd w:fill="1F4E79" w:color="auto" w:val="clear"/>
            <w:tcMar>
              <w:top w:type="dxa" w:w="80"/>
              <w:left w:type="dxa" w:w="110"/>
              <w:bottom w:type="dxa" w:w="80"/>
              <w:right w:type="dxa" w:w="110"/>
            </w:tcMar>
          </w:tcPr>
          <w:p>
            <w:r>
              <w:rPr>
                <w:b/>
                <w:bCs/>
                <w:color w:val="FFFFFF"/>
                <w:sz w:val="20"/>
                <w:szCs w:val="20"/>
              </w:rPr>
              <w:t xml:space="preserve">Observation in the demo</w:t>
            </w:r>
          </w:p>
        </w:tc>
        <w:tc>
          <w:tcPr>
            <w:tcW w:type="dxa" w:w="3663"/>
            <w:shd w:fill="1F4E79" w:color="auto" w:val="clear"/>
            <w:tcMar>
              <w:top w:type="dxa" w:w="80"/>
              <w:left w:type="dxa" w:w="110"/>
              <w:bottom w:type="dxa" w:w="80"/>
              <w:right w:type="dxa" w:w="110"/>
            </w:tcMar>
          </w:tcPr>
          <w:p>
            <w:r>
              <w:rPr>
                <w:b/>
                <w:bCs/>
                <w:color w:val="FFFFFF"/>
                <w:sz w:val="20"/>
                <w:szCs w:val="20"/>
              </w:rPr>
              <w:t xml:space="preserve">Recommendation</w:t>
            </w:r>
          </w:p>
        </w:tc>
      </w:tr>
      <w:tr>
        <w:tc>
          <w:tcPr>
            <w:tcW w:type="dxa" w:w="1700"/>
            <w:tcMar>
              <w:top w:type="dxa" w:w="80"/>
              <w:left w:type="dxa" w:w="110"/>
              <w:bottom w:type="dxa" w:w="80"/>
              <w:right w:type="dxa" w:w="110"/>
            </w:tcMar>
          </w:tcPr>
          <w:p>
            <w:r>
              <w:rPr>
                <w:b w:val="false"/>
                <w:bCs w:val="false"/>
                <w:sz w:val="20"/>
                <w:szCs w:val="20"/>
              </w:rPr>
              <w:t xml:space="preserve">Report data model</w:t>
            </w:r>
          </w:p>
        </w:tc>
        <w:tc>
          <w:tcPr>
            <w:tcW w:type="dxa" w:w="3663"/>
            <w:tcMar>
              <w:top w:type="dxa" w:w="80"/>
              <w:left w:type="dxa" w:w="110"/>
              <w:bottom w:type="dxa" w:w="80"/>
              <w:right w:type="dxa" w:w="110"/>
            </w:tcMar>
          </w:tcPr>
          <w:p>
            <w:r>
              <w:rPr>
                <w:b w:val="false"/>
                <w:bCs w:val="false"/>
                <w:sz w:val="20"/>
                <w:szCs w:val="20"/>
              </w:rPr>
              <w:t xml:space="preserve">Visuals show generic field names (Column1, Column3, Column8). The "Total Invoice Value" card reads 8.47 — the sum of ConfidenceScore, not invoice totals.</w:t>
            </w:r>
          </w:p>
        </w:tc>
        <w:tc>
          <w:tcPr>
            <w:tcW w:type="dxa" w:w="3663"/>
            <w:tcMar>
              <w:top w:type="dxa" w:w="80"/>
              <w:left w:type="dxa" w:w="110"/>
              <w:bottom w:type="dxa" w:w="80"/>
              <w:right w:type="dxa" w:w="110"/>
            </w:tcMar>
          </w:tcPr>
          <w:p>
            <w:r>
              <w:rPr>
                <w:b w:val="false"/>
                <w:bCs w:val="false"/>
                <w:sz w:val="20"/>
                <w:szCs w:val="20"/>
              </w:rPr>
              <w:t xml:space="preserve">Promote headers in the Dataflow and set data types so the semantic model exposes VendorName, InvoiceTotal and so on; regenerate the report.</w:t>
            </w:r>
          </w:p>
        </w:tc>
      </w:tr>
      <w:tr>
        <w:tc>
          <w:tcPr>
            <w:tcW w:type="dxa" w:w="1700"/>
            <w:tcMar>
              <w:top w:type="dxa" w:w="80"/>
              <w:left w:type="dxa" w:w="110"/>
              <w:bottom w:type="dxa" w:w="80"/>
              <w:right w:type="dxa" w:w="110"/>
            </w:tcMar>
          </w:tcPr>
          <w:p>
            <w:r>
              <w:rPr>
                <w:b w:val="false"/>
                <w:bCs w:val="false"/>
                <w:sz w:val="20"/>
                <w:szCs w:val="20"/>
              </w:rPr>
              <w:t xml:space="preserve">Numeric fields</w:t>
            </w:r>
          </w:p>
        </w:tc>
        <w:tc>
          <w:tcPr>
            <w:tcW w:type="dxa" w:w="3663"/>
            <w:tcMar>
              <w:top w:type="dxa" w:w="80"/>
              <w:left w:type="dxa" w:w="110"/>
              <w:bottom w:type="dxa" w:w="80"/>
              <w:right w:type="dxa" w:w="110"/>
            </w:tcMar>
          </w:tcPr>
          <w:p>
            <w:r>
              <w:rPr>
                <w:b w:val="false"/>
                <w:bCs w:val="false"/>
                <w:sz w:val="20"/>
                <w:szCs w:val="20"/>
              </w:rPr>
              <w:t xml:space="preserve">InvoiceTotal and TotalTax are stored as text with a currency prefix (e.g. "USD 5,875.00").</w:t>
            </w:r>
          </w:p>
        </w:tc>
        <w:tc>
          <w:tcPr>
            <w:tcW w:type="dxa" w:w="3663"/>
            <w:tcMar>
              <w:top w:type="dxa" w:w="80"/>
              <w:left w:type="dxa" w:w="110"/>
              <w:bottom w:type="dxa" w:w="80"/>
              <w:right w:type="dxa" w:w="110"/>
            </w:tcMar>
          </w:tcPr>
          <w:p>
            <w:r>
              <w:rPr>
                <w:b w:val="false"/>
                <w:bCs w:val="false"/>
                <w:sz w:val="20"/>
                <w:szCs w:val="20"/>
              </w:rPr>
              <w:t xml:space="preserve">Store amounts as decimals, with currency in its own column. Add FX conversion to a reporting currency.</w:t>
            </w:r>
          </w:p>
        </w:tc>
      </w:tr>
      <w:tr>
        <w:tc>
          <w:tcPr>
            <w:tcW w:type="dxa" w:w="1700"/>
            <w:tcMar>
              <w:top w:type="dxa" w:w="80"/>
              <w:left w:type="dxa" w:w="110"/>
              <w:bottom w:type="dxa" w:w="80"/>
              <w:right w:type="dxa" w:w="110"/>
            </w:tcMar>
          </w:tcPr>
          <w:p>
            <w:r>
              <w:rPr>
                <w:b w:val="false"/>
                <w:bCs w:val="false"/>
                <w:sz w:val="20"/>
                <w:szCs w:val="20"/>
              </w:rPr>
              <w:t xml:space="preserve">Missing values</w:t>
            </w:r>
          </w:p>
        </w:tc>
        <w:tc>
          <w:tcPr>
            <w:tcW w:type="dxa" w:w="3663"/>
            <w:tcMar>
              <w:top w:type="dxa" w:w="80"/>
              <w:left w:type="dxa" w:w="110"/>
              <w:bottom w:type="dxa" w:w="80"/>
              <w:right w:type="dxa" w:w="110"/>
            </w:tcMar>
          </w:tcPr>
          <w:p>
            <w:r>
              <w:rPr>
                <w:b w:val="false"/>
                <w:bCs w:val="false"/>
                <w:sz w:val="20"/>
                <w:szCs w:val="20"/>
              </w:rPr>
              <w:t xml:space="preserve">"NA" is written into numeric and date columns.</w:t>
            </w:r>
          </w:p>
        </w:tc>
        <w:tc>
          <w:tcPr>
            <w:tcW w:type="dxa" w:w="3663"/>
            <w:tcMar>
              <w:top w:type="dxa" w:w="80"/>
              <w:left w:type="dxa" w:w="110"/>
              <w:bottom w:type="dxa" w:w="80"/>
              <w:right w:type="dxa" w:w="110"/>
            </w:tcMar>
          </w:tcPr>
          <w:p>
            <w:r>
              <w:rPr>
                <w:b w:val="false"/>
                <w:bCs w:val="false"/>
                <w:sz w:val="20"/>
                <w:szCs w:val="20"/>
              </w:rPr>
              <w:t xml:space="preserve">Write blanks or nulls for numeric and date fields, or handle NA in the Dataflow.</w:t>
            </w:r>
          </w:p>
        </w:tc>
      </w:tr>
      <w:tr>
        <w:tc>
          <w:tcPr>
            <w:tcW w:type="dxa" w:w="1700"/>
            <w:tcMar>
              <w:top w:type="dxa" w:w="80"/>
              <w:left w:type="dxa" w:w="110"/>
              <w:bottom w:type="dxa" w:w="80"/>
              <w:right w:type="dxa" w:w="110"/>
            </w:tcMar>
          </w:tcPr>
          <w:p>
            <w:r>
              <w:rPr>
                <w:b w:val="false"/>
                <w:bCs w:val="false"/>
                <w:sz w:val="20"/>
                <w:szCs w:val="20"/>
              </w:rPr>
              <w:t xml:space="preserve">Security — SAS URLs</w:t>
            </w:r>
          </w:p>
        </w:tc>
        <w:tc>
          <w:tcPr>
            <w:tcW w:type="dxa" w:w="3663"/>
            <w:tcMar>
              <w:top w:type="dxa" w:w="80"/>
              <w:left w:type="dxa" w:w="110"/>
              <w:bottom w:type="dxa" w:w="80"/>
              <w:right w:type="dxa" w:w="110"/>
            </w:tcMar>
          </w:tcPr>
          <w:p>
            <w:r>
              <w:rPr>
                <w:b w:val="false"/>
                <w:bCs w:val="false"/>
                <w:sz w:val="20"/>
                <w:szCs w:val="20"/>
              </w:rPr>
              <w:t xml:space="preserve">DocumentURL stores full SAS tokens in Excel; these expire and grant access if shared.</w:t>
            </w:r>
          </w:p>
        </w:tc>
        <w:tc>
          <w:tcPr>
            <w:tcW w:type="dxa" w:w="3663"/>
            <w:tcMar>
              <w:top w:type="dxa" w:w="80"/>
              <w:left w:type="dxa" w:w="110"/>
              <w:bottom w:type="dxa" w:w="80"/>
              <w:right w:type="dxa" w:w="110"/>
            </w:tcMar>
          </w:tcPr>
          <w:p>
            <w:r>
              <w:rPr>
                <w:b w:val="false"/>
                <w:bCs w:val="false"/>
                <w:sz w:val="20"/>
                <w:szCs w:val="20"/>
              </w:rPr>
              <w:t xml:space="preserve">Store the blob path only, and generate short-lived SAS on demand. Use managed identity where possible.</w:t>
            </w:r>
          </w:p>
        </w:tc>
      </w:tr>
      <w:tr>
        <w:tc>
          <w:tcPr>
            <w:tcW w:type="dxa" w:w="1700"/>
            <w:tcMar>
              <w:top w:type="dxa" w:w="80"/>
              <w:left w:type="dxa" w:w="110"/>
              <w:bottom w:type="dxa" w:w="80"/>
              <w:right w:type="dxa" w:w="110"/>
            </w:tcMar>
          </w:tcPr>
          <w:p>
            <w:r>
              <w:rPr>
                <w:b w:val="false"/>
                <w:bCs w:val="false"/>
                <w:sz w:val="20"/>
                <w:szCs w:val="20"/>
              </w:rPr>
              <w:t xml:space="preserve">Security — storage auth</w:t>
            </w:r>
          </w:p>
        </w:tc>
        <w:tc>
          <w:tcPr>
            <w:tcW w:type="dxa" w:w="3663"/>
            <w:tcMar>
              <w:top w:type="dxa" w:w="80"/>
              <w:left w:type="dxa" w:w="110"/>
              <w:bottom w:type="dxa" w:w="80"/>
              <w:right w:type="dxa" w:w="110"/>
            </w:tcMar>
          </w:tcPr>
          <w:p>
            <w:r>
              <w:rPr>
                <w:b w:val="false"/>
                <w:bCs w:val="false"/>
                <w:sz w:val="20"/>
                <w:szCs w:val="20"/>
              </w:rPr>
              <w:t xml:space="preserve">The container uses access-key authentication.</w:t>
            </w:r>
          </w:p>
        </w:tc>
        <w:tc>
          <w:tcPr>
            <w:tcW w:type="dxa" w:w="3663"/>
            <w:tcMar>
              <w:top w:type="dxa" w:w="80"/>
              <w:left w:type="dxa" w:w="110"/>
              <w:bottom w:type="dxa" w:w="80"/>
              <w:right w:type="dxa" w:w="110"/>
            </w:tcMar>
          </w:tcPr>
          <w:p>
            <w:r>
              <w:rPr>
                <w:b w:val="false"/>
                <w:bCs w:val="false"/>
                <w:sz w:val="20"/>
                <w:szCs w:val="20"/>
              </w:rPr>
              <w:t xml:space="preserve">Switch to Microsoft Entra ID / managed identity with RBAC, and disable shared key access.</w:t>
            </w:r>
          </w:p>
        </w:tc>
      </w:tr>
      <w:tr>
        <w:tc>
          <w:tcPr>
            <w:tcW w:type="dxa" w:w="1700"/>
            <w:tcMar>
              <w:top w:type="dxa" w:w="80"/>
              <w:left w:type="dxa" w:w="110"/>
              <w:bottom w:type="dxa" w:w="80"/>
              <w:right w:type="dxa" w:w="110"/>
            </w:tcMar>
          </w:tcPr>
          <w:p>
            <w:r>
              <w:rPr>
                <w:b w:val="false"/>
                <w:bCs w:val="false"/>
                <w:sz w:val="20"/>
                <w:szCs w:val="20"/>
              </w:rPr>
              <w:t xml:space="preserve">Agent settings</w:t>
            </w:r>
          </w:p>
        </w:tc>
        <w:tc>
          <w:tcPr>
            <w:tcW w:type="dxa" w:w="3663"/>
            <w:tcMar>
              <w:top w:type="dxa" w:w="80"/>
              <w:left w:type="dxa" w:w="110"/>
              <w:bottom w:type="dxa" w:w="80"/>
              <w:right w:type="dxa" w:w="110"/>
            </w:tcMar>
          </w:tcPr>
          <w:p>
            <w:r>
              <w:rPr>
                <w:b w:val="false"/>
                <w:bCs w:val="false"/>
                <w:sz w:val="20"/>
                <w:szCs w:val="20"/>
              </w:rPr>
              <w:t xml:space="preserve">Web Search is enabled even though the instructions forbid knowledge use. The agent shows 3 warnings.</w:t>
            </w:r>
          </w:p>
        </w:tc>
        <w:tc>
          <w:tcPr>
            <w:tcW w:type="dxa" w:w="3663"/>
            <w:tcMar>
              <w:top w:type="dxa" w:w="80"/>
              <w:left w:type="dxa" w:w="110"/>
              <w:bottom w:type="dxa" w:w="80"/>
              <w:right w:type="dxa" w:w="110"/>
            </w:tcMar>
          </w:tcPr>
          <w:p>
            <w:r>
              <w:rPr>
                <w:b w:val="false"/>
                <w:bCs w:val="false"/>
                <w:sz w:val="20"/>
                <w:szCs w:val="20"/>
              </w:rPr>
              <w:t xml:space="preserve">Disable Web Search, resolve the warnings, and limit the agent to its two tools.</w:t>
            </w:r>
          </w:p>
        </w:tc>
      </w:tr>
      <w:tr>
        <w:tc>
          <w:tcPr>
            <w:tcW w:type="dxa" w:w="1700"/>
            <w:tcMar>
              <w:top w:type="dxa" w:w="80"/>
              <w:left w:type="dxa" w:w="110"/>
              <w:bottom w:type="dxa" w:w="80"/>
              <w:right w:type="dxa" w:w="110"/>
            </w:tcMar>
          </w:tcPr>
          <w:p>
            <w:r>
              <w:rPr>
                <w:b w:val="false"/>
                <w:bCs w:val="false"/>
                <w:sz w:val="20"/>
                <w:szCs w:val="20"/>
              </w:rPr>
              <w:t xml:space="preserve">Scale and ops</w:t>
            </w:r>
          </w:p>
        </w:tc>
        <w:tc>
          <w:tcPr>
            <w:tcW w:type="dxa" w:w="3663"/>
            <w:tcMar>
              <w:top w:type="dxa" w:w="80"/>
              <w:left w:type="dxa" w:w="110"/>
              <w:bottom w:type="dxa" w:w="80"/>
              <w:right w:type="dxa" w:w="110"/>
            </w:tcMar>
          </w:tcPr>
          <w:p>
            <w:r>
              <w:rPr>
                <w:b w:val="false"/>
                <w:bCs w:val="false"/>
                <w:sz w:val="20"/>
                <w:szCs w:val="20"/>
              </w:rPr>
              <w:t xml:space="preserve">Excel is the system of record between agent and Fabric.</w:t>
            </w:r>
          </w:p>
        </w:tc>
        <w:tc>
          <w:tcPr>
            <w:tcW w:type="dxa" w:w="3663"/>
            <w:tcMar>
              <w:top w:type="dxa" w:w="80"/>
              <w:left w:type="dxa" w:w="110"/>
              <w:bottom w:type="dxa" w:w="80"/>
              <w:right w:type="dxa" w:w="110"/>
            </w:tcMar>
          </w:tcPr>
          <w:p>
            <w:r>
              <w:rPr>
                <w:b w:val="false"/>
                <w:bCs w:val="false"/>
                <w:sz w:val="20"/>
                <w:szCs w:val="20"/>
              </w:rPr>
              <w:t xml:space="preserve">For volume, write directly to a Fabric Lakehouse, Dataverse or SQL. Add error handling, retries and a low-confidence review queue.</w:t>
            </w:r>
          </w:p>
        </w:tc>
      </w:tr>
    </w:tbl>
    <w:p>
      <w:pPr>
        <w:pStyle w:val="Heading1"/>
      </w:pPr>
      <w:r>
        <w:t xml:space="preserve">Appendix A — Demo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F4E79" w:color="auto" w:val="clear"/>
            <w:tcMar>
              <w:top w:type="dxa" w:w="80"/>
              <w:left w:type="dxa" w:w="110"/>
              <w:bottom w:type="dxa" w:w="80"/>
              <w:right w:type="dxa" w:w="110"/>
            </w:tcMar>
          </w:tcPr>
          <w:p>
            <w:r>
              <w:rPr>
                <w:b/>
                <w:bCs/>
                <w:color w:val="FFFFFF"/>
                <w:sz w:val="20"/>
                <w:szCs w:val="20"/>
              </w:rPr>
              <w:t xml:space="preserve">Time</w:t>
            </w:r>
          </w:p>
        </w:tc>
        <w:tc>
          <w:tcPr>
            <w:tcW w:type="dxa" w:w="7026"/>
            <w:shd w:fill="1F4E79" w:color="auto" w:val="clear"/>
            <w:tcMar>
              <w:top w:type="dxa" w:w="80"/>
              <w:left w:type="dxa" w:w="110"/>
              <w:bottom w:type="dxa" w:w="80"/>
              <w:right w:type="dxa" w:w="110"/>
            </w:tcMar>
          </w:tcPr>
          <w:p>
            <w:r>
              <w:rPr>
                <w:b/>
                <w:bCs/>
                <w:color w:val="FFFFFF"/>
                <w:sz w:val="20"/>
                <w:szCs w:val="20"/>
              </w:rPr>
              <w:t xml:space="preserve">Segment</w:t>
            </w:r>
          </w:p>
        </w:tc>
      </w:tr>
      <w:tr>
        <w:tc>
          <w:tcPr>
            <w:tcW w:type="dxa" w:w="2000"/>
            <w:tcMar>
              <w:top w:type="dxa" w:w="80"/>
              <w:left w:type="dxa" w:w="110"/>
              <w:bottom w:type="dxa" w:w="80"/>
              <w:right w:type="dxa" w:w="110"/>
            </w:tcMar>
          </w:tcPr>
          <w:p>
            <w:r>
              <w:rPr>
                <w:b w:val="false"/>
                <w:bCs w:val="false"/>
                <w:sz w:val="20"/>
                <w:szCs w:val="20"/>
              </w:rPr>
              <w:t xml:space="preserve">0:00 – 0:45</w:t>
            </w:r>
          </w:p>
        </w:tc>
        <w:tc>
          <w:tcPr>
            <w:tcW w:type="dxa" w:w="7026"/>
            <w:tcMar>
              <w:top w:type="dxa" w:w="80"/>
              <w:left w:type="dxa" w:w="110"/>
              <w:bottom w:type="dxa" w:w="80"/>
              <w:right w:type="dxa" w:w="110"/>
            </w:tcMar>
          </w:tcPr>
          <w:p>
            <w:r>
              <w:rPr>
                <w:b w:val="false"/>
                <w:bCs w:val="false"/>
                <w:sz w:val="20"/>
                <w:szCs w:val="20"/>
              </w:rPr>
              <w:t xml:space="preserve">Introduction and business problem; agent overview in Copilot Studio</w:t>
            </w:r>
          </w:p>
        </w:tc>
      </w:tr>
      <w:tr>
        <w:tc>
          <w:tcPr>
            <w:tcW w:type="dxa" w:w="2000"/>
            <w:tcMar>
              <w:top w:type="dxa" w:w="80"/>
              <w:left w:type="dxa" w:w="110"/>
              <w:bottom w:type="dxa" w:w="80"/>
              <w:right w:type="dxa" w:w="110"/>
            </w:tcMar>
          </w:tcPr>
          <w:p>
            <w:r>
              <w:rPr>
                <w:b w:val="false"/>
                <w:bCs w:val="false"/>
                <w:sz w:val="20"/>
                <w:szCs w:val="20"/>
              </w:rPr>
              <w:t xml:space="preserve">0:45 – 1:10</w:t>
            </w:r>
          </w:p>
        </w:tc>
        <w:tc>
          <w:tcPr>
            <w:tcW w:type="dxa" w:w="7026"/>
            <w:tcMar>
              <w:top w:type="dxa" w:w="80"/>
              <w:left w:type="dxa" w:w="110"/>
              <w:bottom w:type="dxa" w:w="80"/>
              <w:right w:type="dxa" w:w="110"/>
            </w:tcMar>
          </w:tcPr>
          <w:p>
            <w:r>
              <w:rPr>
                <w:b w:val="false"/>
                <w:bCs w:val="false"/>
                <w:sz w:val="20"/>
                <w:szCs w:val="20"/>
              </w:rPr>
              <w:t xml:space="preserve">Azure Blob Storage trigger explained; sample invoice uploaded</w:t>
            </w:r>
          </w:p>
        </w:tc>
      </w:tr>
      <w:tr>
        <w:tc>
          <w:tcPr>
            <w:tcW w:type="dxa" w:w="2000"/>
            <w:tcMar>
              <w:top w:type="dxa" w:w="80"/>
              <w:left w:type="dxa" w:w="110"/>
              <w:bottom w:type="dxa" w:w="80"/>
              <w:right w:type="dxa" w:w="110"/>
            </w:tcMar>
          </w:tcPr>
          <w:p>
            <w:r>
              <w:rPr>
                <w:b w:val="false"/>
                <w:bCs w:val="false"/>
                <w:sz w:val="20"/>
                <w:szCs w:val="20"/>
              </w:rPr>
              <w:t xml:space="preserve">1:10 – 1:30</w:t>
            </w:r>
          </w:p>
        </w:tc>
        <w:tc>
          <w:tcPr>
            <w:tcW w:type="dxa" w:w="7026"/>
            <w:tcMar>
              <w:top w:type="dxa" w:w="80"/>
              <w:left w:type="dxa" w:w="110"/>
              <w:bottom w:type="dxa" w:w="80"/>
              <w:right w:type="dxa" w:w="110"/>
            </w:tcMar>
          </w:tcPr>
          <w:p>
            <w:r>
              <w:rPr>
                <w:b w:val="false"/>
                <w:bCs w:val="false"/>
                <w:sz w:val="20"/>
                <w:szCs w:val="20"/>
              </w:rPr>
              <w:t xml:space="preserve">Agent tools and instructions reviewed; Document Intelligence MCP extraction</w:t>
            </w:r>
          </w:p>
        </w:tc>
      </w:tr>
      <w:tr>
        <w:tc>
          <w:tcPr>
            <w:tcW w:type="dxa" w:w="2000"/>
            <w:tcMar>
              <w:top w:type="dxa" w:w="80"/>
              <w:left w:type="dxa" w:w="110"/>
              <w:bottom w:type="dxa" w:w="80"/>
              <w:right w:type="dxa" w:w="110"/>
            </w:tcMar>
          </w:tcPr>
          <w:p>
            <w:r>
              <w:rPr>
                <w:b w:val="false"/>
                <w:bCs w:val="false"/>
                <w:sz w:val="20"/>
                <w:szCs w:val="20"/>
              </w:rPr>
              <w:t xml:space="preserve">1:30 – 2:00</w:t>
            </w:r>
          </w:p>
        </w:tc>
        <w:tc>
          <w:tcPr>
            <w:tcW w:type="dxa" w:w="7026"/>
            <w:tcMar>
              <w:top w:type="dxa" w:w="80"/>
              <w:left w:type="dxa" w:w="110"/>
              <w:bottom w:type="dxa" w:w="80"/>
              <w:right w:type="dxa" w:w="110"/>
            </w:tcMar>
          </w:tcPr>
          <w:p>
            <w:r>
              <w:rPr>
                <w:b w:val="false"/>
                <w:bCs w:val="false"/>
                <w:sz w:val="20"/>
                <w:szCs w:val="20"/>
              </w:rPr>
              <w:t xml:space="preserve">Activity trace; extracted results reviewed in Excel</w:t>
            </w:r>
          </w:p>
        </w:tc>
      </w:tr>
      <w:tr>
        <w:tc>
          <w:tcPr>
            <w:tcW w:type="dxa" w:w="2000"/>
            <w:tcMar>
              <w:top w:type="dxa" w:w="80"/>
              <w:left w:type="dxa" w:w="110"/>
              <w:bottom w:type="dxa" w:w="80"/>
              <w:right w:type="dxa" w:w="110"/>
            </w:tcMar>
          </w:tcPr>
          <w:p>
            <w:r>
              <w:rPr>
                <w:b w:val="false"/>
                <w:bCs w:val="false"/>
                <w:sz w:val="20"/>
                <w:szCs w:val="20"/>
              </w:rPr>
              <w:t xml:space="preserve">2:00 – 2:40</w:t>
            </w:r>
          </w:p>
        </w:tc>
        <w:tc>
          <w:tcPr>
            <w:tcW w:type="dxa" w:w="7026"/>
            <w:tcMar>
              <w:top w:type="dxa" w:w="80"/>
              <w:left w:type="dxa" w:w="110"/>
              <w:bottom w:type="dxa" w:w="80"/>
              <w:right w:type="dxa" w:w="110"/>
            </w:tcMar>
          </w:tcPr>
          <w:p>
            <w:r>
              <w:rPr>
                <w:b w:val="false"/>
                <w:bCs w:val="false"/>
                <w:sz w:val="20"/>
                <w:szCs w:val="20"/>
              </w:rPr>
              <w:t xml:space="preserve">Microsoft Fabric: Dataflow Gen2 ingestion, Lakehouse table, semantic model</w:t>
            </w:r>
          </w:p>
        </w:tc>
      </w:tr>
      <w:tr>
        <w:tc>
          <w:tcPr>
            <w:tcW w:type="dxa" w:w="2000"/>
            <w:tcMar>
              <w:top w:type="dxa" w:w="80"/>
              <w:left w:type="dxa" w:w="110"/>
              <w:bottom w:type="dxa" w:w="80"/>
              <w:right w:type="dxa" w:w="110"/>
            </w:tcMar>
          </w:tcPr>
          <w:p>
            <w:r>
              <w:rPr>
                <w:b w:val="false"/>
                <w:bCs w:val="false"/>
                <w:sz w:val="20"/>
                <w:szCs w:val="20"/>
              </w:rPr>
              <w:t xml:space="preserve">2:40 – 3:24</w:t>
            </w:r>
          </w:p>
        </w:tc>
        <w:tc>
          <w:tcPr>
            <w:tcW w:type="dxa" w:w="7026"/>
            <w:tcMar>
              <w:top w:type="dxa" w:w="80"/>
              <w:left w:type="dxa" w:w="110"/>
              <w:bottom w:type="dxa" w:w="80"/>
              <w:right w:type="dxa" w:w="110"/>
            </w:tcMar>
          </w:tcPr>
          <w:p>
            <w:r>
              <w:rPr>
                <w:b w:val="false"/>
                <w:bCs w:val="false"/>
                <w:sz w:val="20"/>
                <w:szCs w:val="20"/>
              </w:rPr>
              <w:t xml:space="preserve">Power BI report; Copilot generates the invoice dashboard</w:t>
            </w:r>
          </w:p>
        </w:tc>
      </w:tr>
    </w:tbl>
    <w:p/>
    <w:p>
      <w:pPr>
        <w:spacing w:after="120"/>
        <w:rPr>
          <w:i/>
          <w:iCs/>
          <w:color w:val="595959"/>
          <w:sz w:val="18"/>
          <w:szCs w:val="18"/>
        </w:rPr>
      </w:pPr>
      <w:r>
        <w:rPr>
          <w:i/>
          <w:iCs/>
          <w:color w:val="595959"/>
          <w:sz w:val="18"/>
          <w:szCs w:val="18"/>
        </w:rPr>
        <w:t xml:space="preserve">Note: this document was produced from the screen recording and its narration. The narration was transcribed automatically, and the first part of the agent's numbered instructions was not visible on screen, so it is not reproduced here.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InvoiceIQ — Solution Demo Overview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5bc7efa1aa6b5087b4c9a707f13657eeba520c3.jpg"/><Relationship Id="rId9" Type="http://schemas.openxmlformats.org/officeDocument/2006/relationships/image" Target="media/44b6cf8d33085138be5a8bb9f352a9f1cbb25609.jpg"/><Relationship Id="rId10" Type="http://schemas.openxmlformats.org/officeDocument/2006/relationships/image" Target="media/720ec545cf6eed54fd697d12adfc31b74d9a0185.jpg"/><Relationship Id="rId11" Type="http://schemas.openxmlformats.org/officeDocument/2006/relationships/image" Target="media/cd43039502ca8ceb4c27e23c07f040b71e08b364.jpg"/><Relationship Id="rId12" Type="http://schemas.openxmlformats.org/officeDocument/2006/relationships/image" Target="media/bba05a22b4a374cab63de30d01d2e1d17f116e94.jpg"/><Relationship Id="rId13" Type="http://schemas.openxmlformats.org/officeDocument/2006/relationships/image" Target="media/2c5eb7d9a284a3f62240acc015a45a62fdf7576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2026-10-26T07:56:32.183Z</dcterms:created>
  <dcterms:modified xsi:type="dcterms:W3CDTF">2026-10-26T07:56:32.184Z</dcterms:modified>
</cp:coreProperties>
</file>

<file path=docProps/custom.xml><?xml version="1.0" encoding="utf-8"?>
<Properties xmlns="http://schemas.openxmlformats.org/officeDocument/2006/custom-properties" xmlns:vt="http://schemas.openxmlformats.org/officeDocument/2006/docPropsVTypes"/>
</file>