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80" w:lineRule="auto"/>
        <w:jc w:val="center"/>
        <w:rPr>
          <w:b w:val="1"/>
          <w:bCs w:val="1"/>
          <w:sz w:val="36"/>
          <w:szCs w:val="36"/>
        </w:rPr>
      </w:pPr>
      <w:r w:rsidDel="00000000" w:rsidR="00000000" w:rsidRPr="00000000">
        <w:rPr>
          <w:b w:val="1"/>
          <w:bCs w:val="1"/>
          <w:sz w:val="36"/>
          <w:szCs w:val="36"/>
          <w:rtl w:val="0"/>
        </w:rPr>
        <w:t xml:space="preserve">Week 7 Journal — Exemplar Answer Key</w:t>
      </w:r>
    </w:p>
    <w:p w:rsidR="00000000" w:rsidDel="00000000" w:rsidP="00000000" w:rsidRDefault="00000000" w:rsidRPr="00000000" w14:paraId="00000002">
      <w:pPr>
        <w:rPr>
          <w:b w:val="1"/>
          <w:bCs w:val="1"/>
          <w:sz w:val="46"/>
          <w:szCs w:val="46"/>
        </w:rPr>
      </w:pPr>
      <w:r w:rsidDel="00000000" w:rsidR="00000000" w:rsidRPr="00000000">
        <w:rPr>
          <w:rtl w:val="0"/>
        </w:rPr>
        <w:t xml:space="preserve"> </w:t>
      </w:r>
      <w:r w:rsidDel="00000000" w:rsidR="00000000" w:rsidRPr="00000000">
        <w:rPr>
          <w:b w:val="1"/>
          <w:bCs w:val="1"/>
          <w:sz w:val="46"/>
          <w:szCs w:val="46"/>
          <w:rtl w:val="0"/>
        </w:rPr>
        <w:t xml:space="preserve">Part 3: Basic Statistics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k9cgidw1tg8c" w:id="0"/>
      <w:bookmarkEnd w:id="0"/>
      <w:r w:rsidDel="00000000" w:rsidR="00000000" w:rsidRPr="00000000">
        <w:rPr>
          <w:b w:val="1"/>
          <w:bCs w:val="1"/>
          <w:sz w:val="34"/>
          <w:szCs w:val="34"/>
          <w:rtl w:val="0"/>
        </w:rPr>
        <w:t xml:space="preserve">Which data would you like to follow up on, and why?</w:t>
      </w:r>
    </w:p>
    <w:p w:rsidR="00000000" w:rsidDel="00000000" w:rsidP="00000000" w:rsidRDefault="00000000" w:rsidRPr="00000000" w14:paraId="00000004">
      <w:pPr>
        <w:spacing w:after="160" w:line="319.20000000000005" w:lineRule="auto"/>
        <w:rPr/>
      </w:pPr>
      <w:r w:rsidDel="00000000" w:rsidR="00000000" w:rsidRPr="00000000">
        <w:rPr>
          <w:rtl w:val="0"/>
        </w:rPr>
        <w:t xml:space="preserve">Two</w:t>
      </w:r>
      <w:r w:rsidDel="00000000" w:rsidR="00000000" w:rsidRPr="00000000">
        <w:rPr>
          <w:rtl w:val="0"/>
        </w:rPr>
        <w:t xml:space="preserve"> findings stood out in the basic-statistics step. They have group-level patterns that go beyond simple correlations.</w:t>
      </w:r>
    </w:p>
    <w:p w:rsidR="00000000" w:rsidDel="00000000" w:rsidP="00000000" w:rsidRDefault="00000000" w:rsidRPr="00000000" w14:paraId="00000005">
      <w:pPr>
        <w:spacing w:after="160" w:line="319.20000000000005" w:lineRule="auto"/>
        <w:rPr>
          <w:b w:val="1"/>
          <w:bCs w:val="1"/>
        </w:rPr>
      </w:pPr>
      <w:r w:rsidDel="00000000" w:rsidR="00000000" w:rsidRPr="00000000">
        <w:rPr>
          <w:b w:val="1"/>
          <w:bCs w:val="1"/>
          <w:rtl w:val="0"/>
        </w:rPr>
        <w:t xml:space="preserve">1. Age vs. churn</w:t>
      </w:r>
    </w:p>
    <w:p w:rsidR="00000000" w:rsidDel="00000000" w:rsidP="00000000" w:rsidRDefault="00000000" w:rsidRPr="00000000" w14:paraId="00000006">
      <w:pPr>
        <w:spacing w:after="160" w:line="319.20000000000005" w:lineRule="auto"/>
        <w:rPr/>
      </w:pPr>
      <w:r w:rsidDel="00000000" w:rsidR="00000000" w:rsidRPr="00000000">
        <w:rPr>
          <w:rtl w:val="0"/>
        </w:rPr>
        <w:t xml:space="preserve">Age has the strongest correlation with the target: </w:t>
      </w:r>
      <w:r w:rsidDel="00000000" w:rsidR="00000000" w:rsidRPr="00000000">
        <w:rPr>
          <w:sz w:val="20"/>
          <w:szCs w:val="20"/>
          <w:rtl w:val="0"/>
        </w:rPr>
        <w:t xml:space="preserve">corr(Age, Exited) = 0.285</w:t>
      </w:r>
      <w:r w:rsidDel="00000000" w:rsidR="00000000" w:rsidRPr="00000000">
        <w:rPr>
          <w:rtl w:val="0"/>
        </w:rPr>
        <w:t xml:space="preserve">. Every other numeric feature correlates below 0.16 in absolute value. The boxplot I made shows the median age of churners (around 45) is meaningfully higher than the median age of those who stayed (around 36). This is worth following up because it's the largest single signal in the dataset and because it raises a question about </w:t>
      </w:r>
      <w:r w:rsidDel="00000000" w:rsidR="00000000" w:rsidRPr="00000000">
        <w:rPr>
          <w:i w:val="1"/>
          <w:iCs w:val="1"/>
          <w:rtl w:val="0"/>
        </w:rPr>
        <w:t xml:space="preserve">why</w:t>
      </w:r>
      <w:r w:rsidDel="00000000" w:rsidR="00000000" w:rsidRPr="00000000">
        <w:rPr>
          <w:rtl w:val="0"/>
        </w:rPr>
        <w:t xml:space="preserve"> older customers churn more — life-stage transitions (retirement, moving)? Different product needs? Different competitor offerings targeting older customers? The data alone won't answer this, but it tells me where to look.</w:t>
      </w:r>
    </w:p>
    <w:p w:rsidR="00000000" w:rsidDel="00000000" w:rsidP="00000000" w:rsidRDefault="00000000" w:rsidRPr="00000000" w14:paraId="00000007">
      <w:pPr>
        <w:spacing w:after="160" w:line="319.20000000000005" w:lineRule="auto"/>
        <w:rPr>
          <w:b w:val="1"/>
          <w:bCs w:val="1"/>
        </w:rPr>
      </w:pPr>
      <w:r w:rsidDel="00000000" w:rsidR="00000000" w:rsidRPr="00000000">
        <w:rPr>
          <w:b w:val="1"/>
          <w:bCs w:val="1"/>
          <w:rtl w:val="0"/>
        </w:rPr>
        <w:t xml:space="preserve">2. Geography vs. churn</w:t>
      </w:r>
    </w:p>
    <w:p w:rsidR="00000000" w:rsidDel="00000000" w:rsidP="00000000" w:rsidRDefault="00000000" w:rsidRPr="00000000" w14:paraId="00000008">
      <w:pPr>
        <w:spacing w:after="160" w:line="319.20000000000005" w:lineRule="auto"/>
        <w:rPr/>
      </w:pPr>
      <w:r w:rsidDel="00000000" w:rsidR="00000000" w:rsidRPr="00000000">
        <w:rPr>
          <w:rtl w:val="0"/>
        </w:rPr>
        <w:t xml:space="preserve">Germany is a striking outlier:</w:t>
      </w:r>
    </w:p>
    <w:p w:rsidR="00000000" w:rsidDel="00000000" w:rsidP="00000000" w:rsidRDefault="00000000" w:rsidRPr="00000000" w14:paraId="00000009">
      <w:pPr>
        <w:spacing w:after="160" w:line="319.20000000000005" w:lineRule="auto"/>
        <w:rPr>
          <w:sz w:val="20"/>
          <w:szCs w:val="20"/>
        </w:rPr>
      </w:pPr>
      <w:r w:rsidDel="00000000" w:rsidR="00000000" w:rsidRPr="00000000">
        <w:rPr>
          <w:sz w:val="20"/>
          <w:szCs w:val="20"/>
          <w:rtl w:val="0"/>
        </w:rPr>
        <w:t xml:space="preserve">  France:  16.2% churn rate (n = 5,014)</w:t>
      </w:r>
    </w:p>
    <w:p w:rsidR="00000000" w:rsidDel="00000000" w:rsidP="00000000" w:rsidRDefault="00000000" w:rsidRPr="00000000" w14:paraId="0000000A">
      <w:pPr>
        <w:spacing w:after="160" w:line="319.20000000000005" w:lineRule="auto"/>
        <w:rPr>
          <w:sz w:val="20"/>
          <w:szCs w:val="20"/>
        </w:rPr>
      </w:pPr>
      <w:r w:rsidDel="00000000" w:rsidR="00000000" w:rsidRPr="00000000">
        <w:rPr>
          <w:sz w:val="20"/>
          <w:szCs w:val="20"/>
          <w:rtl w:val="0"/>
        </w:rPr>
        <w:t xml:space="preserve">  Spain:   16.7% churn rate (n = 2,477)</w:t>
      </w:r>
    </w:p>
    <w:p w:rsidR="00000000" w:rsidDel="00000000" w:rsidP="00000000" w:rsidRDefault="00000000" w:rsidRPr="00000000" w14:paraId="0000000B">
      <w:pPr>
        <w:spacing w:after="160" w:line="319.20000000000005" w:lineRule="auto"/>
        <w:rPr>
          <w:sz w:val="20"/>
          <w:szCs w:val="20"/>
        </w:rPr>
      </w:pPr>
      <w:r w:rsidDel="00000000" w:rsidR="00000000" w:rsidRPr="00000000">
        <w:rPr>
          <w:sz w:val="20"/>
          <w:szCs w:val="20"/>
          <w:rtl w:val="0"/>
        </w:rPr>
        <w:t xml:space="preserve">  Germany: 32.4% churn rate (n = 2,509)</w:t>
      </w:r>
    </w:p>
    <w:p w:rsidR="00000000" w:rsidDel="00000000" w:rsidP="00000000" w:rsidRDefault="00000000" w:rsidRPr="00000000" w14:paraId="0000000C">
      <w:pPr>
        <w:spacing w:after="160" w:line="319.20000000000005" w:lineRule="auto"/>
        <w:rPr/>
      </w:pPr>
      <w:r w:rsidDel="00000000" w:rsidR="00000000" w:rsidRPr="00000000">
        <w:rPr>
          <w:rtl w:val="0"/>
        </w:rPr>
        <w:t xml:space="preserve">Germany's churn rate is roughly twice that of France or Spain, and Germany has only half the customer base of France. That combination is unusual enough to be the most pressing follow-up question in the dataset. Possible explanations include: a competitor-bank entry into the German market during the period covered, a fee or product change that affected only the German subsidiary, or a difference in customer demographics (the average German customer in this dataset might be older or have higher balances). The boxplot/groupby work flagged the pattern; investigating </w:t>
      </w:r>
      <w:r w:rsidDel="00000000" w:rsidR="00000000" w:rsidRPr="00000000">
        <w:rPr>
          <w:i w:val="1"/>
          <w:iCs w:val="1"/>
          <w:rtl w:val="0"/>
        </w:rPr>
        <w:t xml:space="preserve">why</w:t>
      </w:r>
      <w:r w:rsidDel="00000000" w:rsidR="00000000" w:rsidRPr="00000000">
        <w:rPr>
          <w:rtl w:val="0"/>
        </w:rPr>
        <w:t xml:space="preserve"> is the natural next step.</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8t9gz1qfche7" w:id="1"/>
      <w:bookmarkEnd w:id="1"/>
      <w:r w:rsidDel="00000000" w:rsidR="00000000" w:rsidRPr="00000000">
        <w:rPr>
          <w:b w:val="1"/>
          <w:bCs w:val="1"/>
          <w:sz w:val="34"/>
          <w:szCs w:val="34"/>
          <w:rtl w:val="0"/>
        </w:rPr>
        <w:t xml:space="preserve">Which data seems unhelpful, and why?</w:t>
      </w:r>
    </w:p>
    <w:p w:rsidR="00000000" w:rsidDel="00000000" w:rsidP="00000000" w:rsidRDefault="00000000" w:rsidRPr="00000000" w14:paraId="0000000E">
      <w:pPr>
        <w:spacing w:after="160" w:line="319.20000000000005" w:lineRule="auto"/>
        <w:rPr/>
      </w:pPr>
      <w:r w:rsidDel="00000000" w:rsidR="00000000" w:rsidRPr="00000000">
        <w:rPr>
          <w:rtl w:val="0"/>
        </w:rPr>
        <w:t xml:space="preserve">Three columns are weak signal at best:</w:t>
      </w:r>
    </w:p>
    <w:p w:rsidR="00000000" w:rsidDel="00000000" w:rsidP="00000000" w:rsidRDefault="00000000" w:rsidRPr="00000000" w14:paraId="0000000F">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HasCrCard</w:t>
      </w:r>
      <w:r w:rsidDel="00000000" w:rsidR="00000000" w:rsidRPr="00000000">
        <w:rPr>
          <w:rtl w:val="0"/>
        </w:rPr>
        <w:t xml:space="preserve">: correlation with Exited is </w:t>
      </w:r>
      <w:r w:rsidDel="00000000" w:rsidR="00000000" w:rsidRPr="00000000">
        <w:rPr>
          <w:sz w:val="20"/>
          <w:szCs w:val="20"/>
          <w:rtl w:val="0"/>
        </w:rPr>
        <w:t xml:space="preserve">-0.007</w:t>
      </w:r>
      <w:r w:rsidDel="00000000" w:rsidR="00000000" w:rsidRPr="00000000">
        <w:rPr>
          <w:rtl w:val="0"/>
        </w:rPr>
        <w:t xml:space="preserve"> — essentially zero. Whether a customer holds a credit card barely moves the churn needle. This is mildly surprising given how often "products held" is treated as a customer-engagement signal.</w:t>
      </w:r>
    </w:p>
    <w:p w:rsidR="00000000" w:rsidDel="00000000" w:rsidP="00000000" w:rsidRDefault="00000000" w:rsidRPr="00000000" w14:paraId="00000010">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Tenure</w:t>
      </w:r>
      <w:r w:rsidDel="00000000" w:rsidR="00000000" w:rsidRPr="00000000">
        <w:rPr>
          <w:rtl w:val="0"/>
        </w:rPr>
        <w:t xml:space="preserve">: correlation </w:t>
      </w:r>
      <w:r w:rsidDel="00000000" w:rsidR="00000000" w:rsidRPr="00000000">
        <w:rPr>
          <w:sz w:val="20"/>
          <w:szCs w:val="20"/>
          <w:rtl w:val="0"/>
        </w:rPr>
        <w:t xml:space="preserve">-0.014</w:t>
      </w:r>
      <w:r w:rsidDel="00000000" w:rsidR="00000000" w:rsidRPr="00000000">
        <w:rPr>
          <w:rtl w:val="0"/>
        </w:rPr>
        <w:t xml:space="preserve"> — also essentially zero. I expected long-tenured customers to be stickier, but in this dataset, a customer who has been with the bank for 1 year is about as likely to leave as a customer of 9 years. This either means tenure genuinely doesn't predict churn at this bank, or the way Tenure was measured (capped at 10 years, integer-valued) flattened a real signal.</w:t>
      </w:r>
    </w:p>
    <w:p w:rsidR="00000000" w:rsidDel="00000000" w:rsidP="00000000" w:rsidRDefault="00000000" w:rsidRPr="00000000" w14:paraId="00000011">
      <w:pPr>
        <w:spacing w:after="100" w:lineRule="auto"/>
        <w:ind w:left="720" w:firstLine="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sz w:val="20"/>
          <w:szCs w:val="20"/>
          <w:rtl w:val="0"/>
        </w:rPr>
        <w:t xml:space="preserve">EstimatedSalary</w:t>
      </w:r>
      <w:r w:rsidDel="00000000" w:rsidR="00000000" w:rsidRPr="00000000">
        <w:rPr>
          <w:rtl w:val="0"/>
        </w:rPr>
        <w:t xml:space="preserve">: correlation </w:t>
      </w:r>
      <w:r w:rsidDel="00000000" w:rsidR="00000000" w:rsidRPr="00000000">
        <w:rPr>
          <w:sz w:val="20"/>
          <w:szCs w:val="20"/>
          <w:rtl w:val="0"/>
        </w:rPr>
        <w:t xml:space="preserve">0.012</w:t>
      </w:r>
      <w:r w:rsidDel="00000000" w:rsidR="00000000" w:rsidRPr="00000000">
        <w:rPr>
          <w:rtl w:val="0"/>
        </w:rPr>
        <w:t xml:space="preserve">. The word </w:t>
      </w:r>
      <w:r w:rsidDel="00000000" w:rsidR="00000000" w:rsidRPr="00000000">
        <w:rPr>
          <w:i w:val="1"/>
          <w:iCs w:val="1"/>
          <w:rtl w:val="0"/>
        </w:rPr>
        <w:t xml:space="preserve">Estimated</w:t>
      </w:r>
      <w:r w:rsidDel="00000000" w:rsidR="00000000" w:rsidRPr="00000000">
        <w:rPr>
          <w:rtl w:val="0"/>
        </w:rPr>
        <w:t xml:space="preserve"> in the name is doing a lot of work — this column is almost certainly modeled rather than observed, and its near-zero correlation with anything else suggests the modeling produced random-noise output. I would not include it as a feature.</w:t>
      </w:r>
    </w:p>
    <w:p w:rsidR="00000000" w:rsidDel="00000000" w:rsidP="00000000" w:rsidRDefault="00000000" w:rsidRPr="00000000" w14:paraId="00000012">
      <w:pPr>
        <w:spacing w:after="160" w:line="319.20000000000005" w:lineRule="auto"/>
        <w:rPr/>
      </w:pPr>
      <w:r w:rsidDel="00000000" w:rsidR="00000000" w:rsidRPr="00000000">
        <w:rPr>
          <w:rtl w:val="0"/>
        </w:rPr>
        <w:t xml:space="preserve">I would not </w:t>
      </w:r>
      <w:r w:rsidDel="00000000" w:rsidR="00000000" w:rsidRPr="00000000">
        <w:rPr>
          <w:i w:val="1"/>
          <w:iCs w:val="1"/>
          <w:rtl w:val="0"/>
        </w:rPr>
        <w:t xml:space="preserve">remove</w:t>
      </w:r>
      <w:r w:rsidDel="00000000" w:rsidR="00000000" w:rsidRPr="00000000">
        <w:rPr>
          <w:rtl w:val="0"/>
        </w:rPr>
        <w:t xml:space="preserve"> these columns from the dataset (low predictive power for one target doesn't mean low value for all uses), but I would not give them weight when prioritizing which features to investigate.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