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735724">
      <w:pPr>
        <w:jc w:val="center"/>
        <w:rPr>
          <w:rFonts w:hint="eastAsia" w:ascii="Times New Roman" w:hAnsi="Times New Roman" w:eastAsia="宋体" w:cs="Times New Roman"/>
          <w:b/>
          <w:bCs/>
          <w:sz w:val="36"/>
          <w:szCs w:val="36"/>
          <w:lang w:val="en-US" w:eastAsia="zh-CN"/>
        </w:rPr>
      </w:pPr>
      <w:bookmarkStart w:id="8" w:name="_GoBack"/>
      <w:bookmarkEnd w:id="8"/>
    </w:p>
    <w:p w14:paraId="15D03483">
      <w:pPr>
        <w:jc w:val="center"/>
        <w:rPr>
          <w:rFonts w:hint="eastAsia" w:ascii="黑体" w:hAnsi="黑体" w:eastAsia="黑体" w:cs="黑体"/>
          <w:b/>
          <w:sz w:val="48"/>
          <w:szCs w:val="48"/>
          <w:lang w:val="en-US" w:eastAsia="zh-CN"/>
        </w:rPr>
      </w:pPr>
      <w:r>
        <w:rPr>
          <w:rFonts w:hint="eastAsia" w:ascii="Times New Roman" w:hAnsi="Times New Roman" w:eastAsia="宋体" w:cs="Times New Roman"/>
          <w:b/>
          <w:bCs/>
          <w:sz w:val="48"/>
          <w:szCs w:val="48"/>
          <w:lang w:val="en-US" w:eastAsia="zh-CN"/>
        </w:rPr>
        <w:t>CAPA登记汇总表</w:t>
      </w:r>
    </w:p>
    <w:p w14:paraId="373E7405">
      <w:pPr>
        <w:rPr>
          <w:rFonts w:hint="eastAsia" w:ascii="Times New Roman" w:hAnsi="Times New Roman" w:cs="Times New Roman"/>
          <w:b/>
          <w:sz w:val="30"/>
          <w:szCs w:val="30"/>
          <w:lang w:val="en-US" w:eastAsia="zh-CN"/>
        </w:rPr>
      </w:pPr>
    </w:p>
    <w:p w14:paraId="6815CD8E">
      <w:pPr>
        <w:rPr>
          <w:rFonts w:hint="eastAsia" w:ascii="Times New Roman" w:hAnsi="Times New Roman" w:cs="Times New Roman"/>
          <w:b/>
          <w:sz w:val="30"/>
          <w:szCs w:val="30"/>
          <w:lang w:val="en-US" w:eastAsia="zh-CN"/>
        </w:rPr>
      </w:pPr>
    </w:p>
    <w:p w14:paraId="2EEBDEFB">
      <w:pPr>
        <w:rPr>
          <w:rFonts w:hint="eastAsia" w:ascii="Times New Roman" w:hAnsi="Times New Roman" w:cs="Times New Roman"/>
          <w:b/>
          <w:sz w:val="30"/>
          <w:szCs w:val="30"/>
          <w:lang w:val="en-US" w:eastAsia="zh-CN"/>
        </w:rPr>
      </w:pPr>
    </w:p>
    <w:p w14:paraId="4CCE1583">
      <w:pPr>
        <w:rPr>
          <w:rFonts w:hint="eastAsia" w:ascii="Times New Roman" w:hAnsi="Times New Roman" w:cs="Times New Roman"/>
          <w:b/>
          <w:sz w:val="30"/>
          <w:szCs w:val="30"/>
          <w:lang w:val="en-US" w:eastAsia="zh-CN"/>
        </w:rPr>
      </w:pPr>
    </w:p>
    <w:p w14:paraId="569F6F3F">
      <w:pPr>
        <w:jc w:val="center"/>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质量保证部（QA）</w:t>
      </w:r>
    </w:p>
    <w:p w14:paraId="516E480B">
      <w:pPr>
        <w:rPr>
          <w:rFonts w:hint="eastAsia" w:ascii="Times New Roman" w:hAnsi="Times New Roman" w:cs="Times New Roman"/>
          <w:b/>
          <w:sz w:val="30"/>
          <w:szCs w:val="30"/>
          <w:lang w:val="en-US" w:eastAsia="zh-CN"/>
        </w:rPr>
      </w:pPr>
    </w:p>
    <w:p w14:paraId="0CBF977C">
      <w:pPr>
        <w:rPr>
          <w:rFonts w:hint="eastAsia" w:ascii="Times New Roman" w:hAnsi="Times New Roman" w:cs="Times New Roman"/>
          <w:b/>
          <w:sz w:val="30"/>
          <w:szCs w:val="30"/>
          <w:lang w:val="en-US" w:eastAsia="zh-CN"/>
        </w:rPr>
      </w:pPr>
    </w:p>
    <w:p w14:paraId="50FAC82A">
      <w:pPr>
        <w:rPr>
          <w:rFonts w:hint="eastAsia" w:ascii="Times New Roman" w:hAnsi="Times New Roman" w:cs="Times New Roman"/>
          <w:b/>
          <w:sz w:val="30"/>
          <w:szCs w:val="30"/>
          <w:lang w:val="en-US" w:eastAsia="zh-CN"/>
        </w:rPr>
      </w:pPr>
    </w:p>
    <w:p w14:paraId="65CD2946">
      <w:pPr>
        <w:rPr>
          <w:rFonts w:hint="eastAsia" w:ascii="Times New Roman" w:hAnsi="Times New Roman" w:cs="Times New Roman"/>
          <w:b/>
          <w:sz w:val="30"/>
          <w:szCs w:val="30"/>
          <w:lang w:val="en-US" w:eastAsia="zh-CN"/>
        </w:rPr>
      </w:pPr>
    </w:p>
    <w:p w14:paraId="33705D59">
      <w:pPr>
        <w:jc w:val="center"/>
        <w:rPr>
          <w:rFonts w:hint="eastAsia" w:ascii="Times New Roman" w:hAnsi="Times New Roman" w:eastAsia="宋体" w:cs="Times New Roman"/>
          <w:b/>
          <w:bCs/>
          <w:sz w:val="36"/>
          <w:szCs w:val="36"/>
          <w:lang w:val="en-US" w:eastAsia="zh-CN"/>
        </w:rPr>
      </w:pPr>
      <w:r>
        <w:rPr>
          <w:rFonts w:hint="eastAsia" w:ascii="Times New Roman" w:hAnsi="Times New Roman" w:cs="Times New Roman"/>
          <w:b w:val="0"/>
          <w:bCs/>
          <w:sz w:val="28"/>
          <w:szCs w:val="28"/>
          <w:lang w:val="en-US" w:eastAsia="zh-CN"/>
        </w:rPr>
        <w:t xml:space="preserve">   2026年 01 月 01 日</w:t>
      </w:r>
      <w:r>
        <w:rPr>
          <w:rFonts w:hint="eastAsia" w:ascii="宋体" w:hAnsi="宋体" w:eastAsia="宋体" w:cs="宋体"/>
          <w:b w:val="0"/>
          <w:bCs/>
          <w:sz w:val="28"/>
          <w:szCs w:val="28"/>
          <w:lang w:val="en-US" w:eastAsia="zh-CN"/>
        </w:rPr>
        <w:t>－</w:t>
      </w:r>
      <w:r>
        <w:rPr>
          <w:rFonts w:hint="eastAsia" w:ascii="Times New Roman" w:hAnsi="Times New Roman" w:cs="Times New Roman"/>
          <w:b w:val="0"/>
          <w:bCs/>
          <w:sz w:val="28"/>
          <w:szCs w:val="28"/>
          <w:lang w:val="en-US" w:eastAsia="zh-CN"/>
        </w:rPr>
        <w:t xml:space="preserve"> 2026 年 06 月 15 日</w:t>
      </w:r>
    </w:p>
    <w:p w14:paraId="442DC39D">
      <w:pPr>
        <w:jc w:val="center"/>
        <w:rPr>
          <w:rFonts w:hint="eastAsia" w:ascii="Times New Roman" w:hAnsi="Times New Roman" w:eastAsia="宋体" w:cs="Times New Roman"/>
          <w:b/>
          <w:bCs/>
          <w:sz w:val="36"/>
          <w:szCs w:val="36"/>
          <w:lang w:val="en-US" w:eastAsia="zh-CN"/>
        </w:rPr>
      </w:pPr>
    </w:p>
    <w:p w14:paraId="4C1107D5">
      <w:pPr>
        <w:jc w:val="center"/>
        <w:rPr>
          <w:rFonts w:hint="eastAsia" w:ascii="Times New Roman" w:hAnsi="Times New Roman" w:eastAsia="宋体" w:cs="Times New Roman"/>
          <w:b/>
          <w:bCs/>
          <w:sz w:val="36"/>
          <w:szCs w:val="36"/>
          <w:lang w:val="en-US" w:eastAsia="zh-CN"/>
        </w:rPr>
      </w:pPr>
    </w:p>
    <w:p w14:paraId="672D6EEC">
      <w:pPr>
        <w:jc w:val="center"/>
        <w:rPr>
          <w:rFonts w:hint="eastAsia" w:ascii="Times New Roman" w:hAnsi="Times New Roman" w:eastAsia="宋体" w:cs="Times New Roman"/>
          <w:b/>
          <w:bCs/>
          <w:sz w:val="36"/>
          <w:szCs w:val="36"/>
          <w:lang w:val="en-US" w:eastAsia="zh-CN"/>
        </w:rPr>
      </w:pPr>
    </w:p>
    <w:p w14:paraId="2C5C1F4B">
      <w:pPr>
        <w:jc w:val="center"/>
        <w:rPr>
          <w:rFonts w:hint="eastAsia" w:ascii="Times New Roman" w:hAnsi="Times New Roman" w:eastAsia="宋体" w:cs="Times New Roman"/>
          <w:b/>
          <w:bCs/>
          <w:sz w:val="36"/>
          <w:szCs w:val="36"/>
          <w:lang w:val="en-US" w:eastAsia="zh-CN"/>
        </w:rPr>
      </w:pPr>
      <w:r>
        <w:rPr>
          <w:rFonts w:hint="eastAsia" w:ascii="Times New Roman" w:hAnsi="Times New Roman" w:eastAsia="宋体" w:cs="Times New Roman"/>
          <w:b/>
          <w:bCs/>
          <w:sz w:val="36"/>
          <w:szCs w:val="36"/>
          <w:lang w:val="en-US" w:eastAsia="zh-CN"/>
        </w:rPr>
        <w:t>CAPA登记汇总表</w:t>
      </w:r>
    </w:p>
    <w:tbl>
      <w:tblPr>
        <w:tblStyle w:val="7"/>
        <w:tblW w:w="14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176"/>
        <w:gridCol w:w="1104"/>
        <w:gridCol w:w="1188"/>
        <w:gridCol w:w="1344"/>
        <w:gridCol w:w="5256"/>
        <w:gridCol w:w="948"/>
        <w:gridCol w:w="1027"/>
        <w:gridCol w:w="964"/>
      </w:tblGrid>
      <w:tr w14:paraId="009C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1176" w:type="dxa"/>
            <w:vAlign w:val="center"/>
          </w:tcPr>
          <w:p w14:paraId="3448859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ermStart w:id="0" w:edGrp="everyone"/>
            <w:r>
              <w:rPr>
                <w:rFonts w:hint="default" w:ascii="Times New Roman" w:hAnsi="Times New Roman" w:eastAsia="宋体" w:cs="Times New Roman"/>
                <w:sz w:val="18"/>
                <w:szCs w:val="18"/>
                <w:lang w:val="en-US" w:eastAsia="zh-CN"/>
              </w:rPr>
              <w:t>CAPA编号</w:t>
            </w:r>
          </w:p>
        </w:tc>
        <w:tc>
          <w:tcPr>
            <w:tcW w:w="1176" w:type="dxa"/>
            <w:vAlign w:val="center"/>
          </w:tcPr>
          <w:p w14:paraId="55EC33E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18"/>
                <w:szCs w:val="18"/>
                <w:lang w:val="en-US" w:eastAsia="zh-CN"/>
              </w:rPr>
              <w:t>启动日期</w:t>
            </w:r>
          </w:p>
        </w:tc>
        <w:tc>
          <w:tcPr>
            <w:tcW w:w="1104" w:type="dxa"/>
            <w:vAlign w:val="center"/>
          </w:tcPr>
          <w:p w14:paraId="123632F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18"/>
                <w:szCs w:val="18"/>
                <w:lang w:val="en-US" w:eastAsia="zh-CN"/>
              </w:rPr>
              <w:t>事件部门</w:t>
            </w:r>
          </w:p>
        </w:tc>
        <w:tc>
          <w:tcPr>
            <w:tcW w:w="1188" w:type="dxa"/>
            <w:vAlign w:val="center"/>
          </w:tcPr>
          <w:p w14:paraId="32BA3DE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18"/>
                <w:szCs w:val="18"/>
                <w:lang w:val="en-US" w:eastAsia="zh-CN"/>
              </w:rPr>
              <w:t>涉及产品</w:t>
            </w:r>
          </w:p>
        </w:tc>
        <w:tc>
          <w:tcPr>
            <w:tcW w:w="1344" w:type="dxa"/>
            <w:vAlign w:val="center"/>
          </w:tcPr>
          <w:p w14:paraId="6762E7B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18"/>
                <w:szCs w:val="18"/>
                <w:lang w:val="en-US" w:eastAsia="zh-CN"/>
              </w:rPr>
              <w:t>来源编号</w:t>
            </w:r>
          </w:p>
        </w:tc>
        <w:tc>
          <w:tcPr>
            <w:tcW w:w="5256" w:type="dxa"/>
            <w:vAlign w:val="center"/>
          </w:tcPr>
          <w:p w14:paraId="32DFA3F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18"/>
                <w:szCs w:val="18"/>
                <w:lang w:val="en-US" w:eastAsia="zh-CN"/>
              </w:rPr>
              <w:t>CAPA简述</w:t>
            </w:r>
          </w:p>
        </w:tc>
        <w:tc>
          <w:tcPr>
            <w:tcW w:w="948" w:type="dxa"/>
            <w:vAlign w:val="center"/>
          </w:tcPr>
          <w:p w14:paraId="33BEDB0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sz w:val="18"/>
                <w:szCs w:val="18"/>
                <w:lang w:val="en-US" w:eastAsia="zh-CN"/>
              </w:rPr>
              <w:t>CAPA效果评估</w:t>
            </w:r>
          </w:p>
        </w:tc>
        <w:tc>
          <w:tcPr>
            <w:tcW w:w="1027" w:type="dxa"/>
            <w:vAlign w:val="center"/>
          </w:tcPr>
          <w:p w14:paraId="679C745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sz w:val="18"/>
                <w:szCs w:val="18"/>
                <w:lang w:val="en-US" w:eastAsia="zh-CN"/>
              </w:rPr>
              <w:t>关闭日期</w:t>
            </w:r>
          </w:p>
        </w:tc>
        <w:tc>
          <w:tcPr>
            <w:tcW w:w="964" w:type="dxa"/>
            <w:vAlign w:val="center"/>
          </w:tcPr>
          <w:p w14:paraId="53FC125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sz w:val="18"/>
                <w:szCs w:val="18"/>
                <w:lang w:val="en-US" w:eastAsia="zh-CN"/>
              </w:rPr>
              <w:t>QA质量员/日期</w:t>
            </w:r>
          </w:p>
        </w:tc>
      </w:tr>
      <w:tr w14:paraId="1F36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40BA8A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CAPA-OS2503001</w:t>
            </w:r>
          </w:p>
        </w:tc>
        <w:tc>
          <w:tcPr>
            <w:tcW w:w="1176" w:type="dxa"/>
            <w:vAlign w:val="center"/>
          </w:tcPr>
          <w:p w14:paraId="33D574B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2025.03.05</w:t>
            </w:r>
          </w:p>
        </w:tc>
        <w:tc>
          <w:tcPr>
            <w:tcW w:w="1104" w:type="dxa"/>
            <w:vAlign w:val="center"/>
          </w:tcPr>
          <w:p w14:paraId="7DB9487B">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75843A2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氟苯尼考预混剂</w:t>
            </w:r>
          </w:p>
        </w:tc>
        <w:tc>
          <w:tcPr>
            <w:tcW w:w="1344" w:type="dxa"/>
            <w:vAlign w:val="center"/>
          </w:tcPr>
          <w:p w14:paraId="2CB0F81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OOS250301</w:t>
            </w:r>
          </w:p>
        </w:tc>
        <w:tc>
          <w:tcPr>
            <w:tcW w:w="5256" w:type="dxa"/>
            <w:vAlign w:val="center"/>
          </w:tcPr>
          <w:p w14:paraId="049224FE">
            <w:pPr>
              <w:jc w:val="left"/>
              <w:rPr>
                <w:rFonts w:hint="default" w:ascii="Times New Roman" w:hAnsi="Times New Roman" w:eastAsia="宋体" w:cs="Times New Roman"/>
              </w:rPr>
            </w:pPr>
            <w:r>
              <w:rPr>
                <w:rFonts w:hint="default" w:ascii="Times New Roman" w:hAnsi="Times New Roman" w:eastAsia="宋体" w:cs="Times New Roman"/>
              </w:rPr>
              <w:t>1、针对需要配制稀释剂溶解样品的有关物质项目（LN兽药有关物质、LN EP含量及有关物质、芬苯达唑有关物质、氟苯尼考原料药有关物质），排查目前Empower3工作站中数据是否存在溶剂峰异常增大情况。</w:t>
            </w:r>
          </w:p>
          <w:p w14:paraId="68C000DC">
            <w:pPr>
              <w:jc w:val="left"/>
              <w:rPr>
                <w:rFonts w:hint="default" w:ascii="Times New Roman" w:hAnsi="Times New Roman" w:eastAsia="宋体" w:cs="Times New Roman"/>
              </w:rPr>
            </w:pPr>
            <w:r>
              <w:rPr>
                <w:rFonts w:hint="default" w:ascii="Times New Roman" w:hAnsi="Times New Roman" w:eastAsia="宋体" w:cs="Times New Roman"/>
              </w:rPr>
              <w:t xml:space="preserve">2、根据排查情况修订文件，在文件中增加“流动相与稀释剂配制方法一致时，应使用同一批次溶液”，文件批准后对相关人员进行培训。 </w:t>
            </w:r>
          </w:p>
          <w:p w14:paraId="3FB06DB0">
            <w:p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 xml:space="preserve">3、文件生效前对QC涉及HPLC检验的组别，培训“流动相与稀释剂配制方法一致时，应使用同一批次溶液”。   </w:t>
            </w:r>
          </w:p>
        </w:tc>
        <w:tc>
          <w:tcPr>
            <w:tcW w:w="948" w:type="dxa"/>
            <w:vAlign w:val="center"/>
          </w:tcPr>
          <w:p w14:paraId="68463D50">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0F4BF04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2026.03.11</w:t>
            </w:r>
          </w:p>
        </w:tc>
        <w:tc>
          <w:tcPr>
            <w:tcW w:w="964" w:type="dxa"/>
            <w:vAlign w:val="center"/>
          </w:tcPr>
          <w:p w14:paraId="34F5B5D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杨小芹2026.03.11</w:t>
            </w:r>
          </w:p>
        </w:tc>
      </w:tr>
      <w:tr w14:paraId="4FAF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6022B5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CAPA-PC2504002</w:t>
            </w:r>
          </w:p>
        </w:tc>
        <w:tc>
          <w:tcPr>
            <w:tcW w:w="1176" w:type="dxa"/>
            <w:vAlign w:val="center"/>
          </w:tcPr>
          <w:p w14:paraId="7C5832B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2025.04.09</w:t>
            </w:r>
          </w:p>
        </w:tc>
        <w:tc>
          <w:tcPr>
            <w:tcW w:w="1104" w:type="dxa"/>
            <w:vAlign w:val="center"/>
          </w:tcPr>
          <w:p w14:paraId="3E80B4C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7C1C7596">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w:t>
            </w:r>
          </w:p>
        </w:tc>
        <w:tc>
          <w:tcPr>
            <w:tcW w:w="1344" w:type="dxa"/>
            <w:vAlign w:val="center"/>
          </w:tcPr>
          <w:p w14:paraId="394F39C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PC-2504001</w:t>
            </w:r>
          </w:p>
        </w:tc>
        <w:tc>
          <w:tcPr>
            <w:tcW w:w="5256" w:type="dxa"/>
            <w:vAlign w:val="center"/>
          </w:tcPr>
          <w:p w14:paraId="124B2BDF">
            <w:pPr>
              <w:widowControl/>
              <w:numPr>
                <w:ilvl w:val="0"/>
                <w:numId w:val="1"/>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更换高效液相色谱仪QC-1-2-008单向阀。</w:t>
            </w:r>
          </w:p>
          <w:p w14:paraId="40746F28">
            <w:pPr>
              <w:widowControl/>
              <w:numPr>
                <w:ilvl w:val="0"/>
                <w:numId w:val="1"/>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对高</w:t>
            </w:r>
            <w:r>
              <w:rPr>
                <w:rFonts w:hint="default" w:ascii="Times New Roman" w:hAnsi="Times New Roman" w:eastAsia="宋体" w:cs="Times New Roman"/>
                <w:kern w:val="0"/>
                <w:sz w:val="20"/>
                <w:szCs w:val="20"/>
                <w:lang w:val="en-US" w:eastAsia="zh-CN" w:bidi="ar"/>
              </w:rPr>
              <w:t>效</w:t>
            </w:r>
            <w:r>
              <w:rPr>
                <w:rFonts w:hint="default" w:ascii="Times New Roman" w:hAnsi="Times New Roman" w:eastAsia="宋体" w:cs="Times New Roman"/>
                <w:kern w:val="0"/>
                <w:sz w:val="20"/>
                <w:szCs w:val="20"/>
                <w:lang w:bidi="ar"/>
              </w:rPr>
              <w:t>液相色谱仪QC-1-2-008重新进行仪器校验。</w:t>
            </w:r>
          </w:p>
          <w:p w14:paraId="197B87F5">
            <w:p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3、修订《QC检测仪器使用及维护保养管理程序》（SMP-QC-025/18）中APP2-SMP-QC-025/18将高效液相色谱仪的单向阀维护“每年更换一次单向阀”变更为“11个月更换一次单向阀”文件生效前对相关人员进行培训。</w:t>
            </w:r>
          </w:p>
        </w:tc>
        <w:tc>
          <w:tcPr>
            <w:tcW w:w="948" w:type="dxa"/>
            <w:vAlign w:val="center"/>
          </w:tcPr>
          <w:p w14:paraId="36E3FCD2">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有效</w:t>
            </w:r>
          </w:p>
        </w:tc>
        <w:tc>
          <w:tcPr>
            <w:tcW w:w="1027" w:type="dxa"/>
            <w:vAlign w:val="center"/>
          </w:tcPr>
          <w:p w14:paraId="4A0C018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2026.04.02</w:t>
            </w:r>
          </w:p>
        </w:tc>
        <w:tc>
          <w:tcPr>
            <w:tcW w:w="964" w:type="dxa"/>
            <w:vAlign w:val="center"/>
          </w:tcPr>
          <w:p w14:paraId="2BCDE54D">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杨小芹2026.04.02</w:t>
            </w:r>
          </w:p>
        </w:tc>
      </w:tr>
      <w:tr w14:paraId="1F05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73974EF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CAPA-SI2504011</w:t>
            </w:r>
          </w:p>
        </w:tc>
        <w:tc>
          <w:tcPr>
            <w:tcW w:w="1176" w:type="dxa"/>
            <w:vAlign w:val="center"/>
          </w:tcPr>
          <w:p w14:paraId="47037D0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2025.04.21</w:t>
            </w:r>
          </w:p>
        </w:tc>
        <w:tc>
          <w:tcPr>
            <w:tcW w:w="1104" w:type="dxa"/>
            <w:vAlign w:val="center"/>
          </w:tcPr>
          <w:p w14:paraId="2F0ACFC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QA</w:t>
            </w:r>
          </w:p>
        </w:tc>
        <w:tc>
          <w:tcPr>
            <w:tcW w:w="1188" w:type="dxa"/>
            <w:vAlign w:val="center"/>
          </w:tcPr>
          <w:p w14:paraId="0FF0BDB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w:t>
            </w:r>
          </w:p>
        </w:tc>
        <w:tc>
          <w:tcPr>
            <w:tcW w:w="1344" w:type="dxa"/>
            <w:vAlign w:val="center"/>
          </w:tcPr>
          <w:p w14:paraId="1A2CAFE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SI-2502</w:t>
            </w:r>
          </w:p>
        </w:tc>
        <w:tc>
          <w:tcPr>
            <w:tcW w:w="5256" w:type="dxa"/>
            <w:vAlign w:val="center"/>
          </w:tcPr>
          <w:p w14:paraId="6D2E8B2F">
            <w:pPr>
              <w:numPr>
                <w:ilvl w:val="0"/>
                <w:numId w:val="2"/>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起草霉酚酸用回收乙酸丁酯复验期确认方案，并按照方案进行确认。</w:t>
            </w:r>
          </w:p>
          <w:p w14:paraId="70E4D46D">
            <w:pPr>
              <w:numPr>
                <w:ilvl w:val="0"/>
                <w:numId w:val="2"/>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起草洛伐他汀用回收甲苯、回收丙酮复验期确认方案，并按照方案进行确认。</w:t>
            </w:r>
          </w:p>
          <w:p w14:paraId="15566170">
            <w:pPr>
              <w:numPr>
                <w:ilvl w:val="0"/>
                <w:numId w:val="2"/>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起草美伐他汀用回收甲苯、回收丙酮复验期确认方案，并按照方案进行确认。</w:t>
            </w:r>
          </w:p>
          <w:p w14:paraId="494EF2B5">
            <w:pPr>
              <w:numPr>
                <w:ilvl w:val="0"/>
                <w:numId w:val="2"/>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起草多拉菌素用回收甲醇复验期确认方案，并按照方案进行确认。</w:t>
            </w:r>
          </w:p>
          <w:p w14:paraId="7A407CFE">
            <w:pPr>
              <w:numPr>
                <w:ilvl w:val="0"/>
                <w:numId w:val="2"/>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以上确认工作完成后按照确认结果修订《成品、物料有效期/复验期规定管理程序》（SMP-QA-024）。</w:t>
            </w:r>
          </w:p>
        </w:tc>
        <w:tc>
          <w:tcPr>
            <w:tcW w:w="948" w:type="dxa"/>
            <w:vAlign w:val="center"/>
          </w:tcPr>
          <w:p w14:paraId="53E6DFEE">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 xml:space="preserve"> 进行中</w:t>
            </w:r>
          </w:p>
        </w:tc>
        <w:tc>
          <w:tcPr>
            <w:tcW w:w="1027" w:type="dxa"/>
            <w:vAlign w:val="center"/>
          </w:tcPr>
          <w:p w14:paraId="762B7D9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进行中</w:t>
            </w:r>
          </w:p>
        </w:tc>
        <w:tc>
          <w:tcPr>
            <w:tcW w:w="964" w:type="dxa"/>
            <w:vAlign w:val="center"/>
          </w:tcPr>
          <w:p w14:paraId="0DA9B8A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进行中</w:t>
            </w:r>
          </w:p>
        </w:tc>
      </w:tr>
      <w:tr w14:paraId="0DC2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C2DB45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CAPA-PC2505001</w:t>
            </w:r>
          </w:p>
        </w:tc>
        <w:tc>
          <w:tcPr>
            <w:tcW w:w="1176" w:type="dxa"/>
            <w:vAlign w:val="center"/>
          </w:tcPr>
          <w:p w14:paraId="740FE350">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2025.05.09</w:t>
            </w:r>
          </w:p>
        </w:tc>
        <w:tc>
          <w:tcPr>
            <w:tcW w:w="1104" w:type="dxa"/>
            <w:vAlign w:val="center"/>
          </w:tcPr>
          <w:p w14:paraId="1553CCCB">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27EE3A2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洛伐他汀</w:t>
            </w:r>
          </w:p>
        </w:tc>
        <w:tc>
          <w:tcPr>
            <w:tcW w:w="1344" w:type="dxa"/>
            <w:vAlign w:val="center"/>
          </w:tcPr>
          <w:p w14:paraId="59EC352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PC-2505001</w:t>
            </w:r>
          </w:p>
        </w:tc>
        <w:tc>
          <w:tcPr>
            <w:tcW w:w="5256" w:type="dxa"/>
            <w:vAlign w:val="center"/>
          </w:tcPr>
          <w:p w14:paraId="2246AA5F">
            <w:pPr>
              <w:numPr>
                <w:ilvl w:val="0"/>
                <w:numId w:val="3"/>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清洁QC中控其他仪器（QC-1-12-040、QC-1-2-042、QC-1-2-008、QC-1-2-009），清洁后应确认仪器状态达到使用要求。</w:t>
            </w:r>
          </w:p>
          <w:p w14:paraId="295DAEFE">
            <w:pPr>
              <w:numPr>
                <w:ilvl w:val="0"/>
                <w:numId w:val="3"/>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修订《QC检测仪器使用及维护保养管理程序》（SMP-QC-025/18）中APP2-SMP-QC-025/18中增加“每年更换进样针前，使用吸耳球对进样针上部传感器清灰一次”文件生效前对相关人员进行培训。</w:t>
            </w:r>
          </w:p>
        </w:tc>
        <w:tc>
          <w:tcPr>
            <w:tcW w:w="948" w:type="dxa"/>
            <w:vAlign w:val="center"/>
          </w:tcPr>
          <w:p w14:paraId="50BF6AC9">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1A0B04D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2026.06.11</w:t>
            </w:r>
          </w:p>
        </w:tc>
        <w:tc>
          <w:tcPr>
            <w:tcW w:w="964" w:type="dxa"/>
            <w:vAlign w:val="center"/>
          </w:tcPr>
          <w:p w14:paraId="084E68C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杨小芹2026.06.11</w:t>
            </w:r>
          </w:p>
        </w:tc>
      </w:tr>
      <w:tr w14:paraId="3967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2BE2B0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CAPA-PC2505002</w:t>
            </w:r>
          </w:p>
        </w:tc>
        <w:tc>
          <w:tcPr>
            <w:tcW w:w="1176" w:type="dxa"/>
            <w:vAlign w:val="center"/>
          </w:tcPr>
          <w:p w14:paraId="3B490310">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2025.05.18</w:t>
            </w:r>
          </w:p>
        </w:tc>
        <w:tc>
          <w:tcPr>
            <w:tcW w:w="1104" w:type="dxa"/>
            <w:vAlign w:val="center"/>
          </w:tcPr>
          <w:p w14:paraId="4790A91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1FF5E80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洛伐他汀LV-A-2504001-2</w:t>
            </w:r>
          </w:p>
        </w:tc>
        <w:tc>
          <w:tcPr>
            <w:tcW w:w="1344" w:type="dxa"/>
            <w:vAlign w:val="center"/>
          </w:tcPr>
          <w:p w14:paraId="18AA85E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PC-2505002</w:t>
            </w:r>
          </w:p>
        </w:tc>
        <w:tc>
          <w:tcPr>
            <w:tcW w:w="5256" w:type="dxa"/>
            <w:vAlign w:val="center"/>
          </w:tcPr>
          <w:p w14:paraId="17F6BB79">
            <w:pPr>
              <w:widowControl/>
              <w:numPr>
                <w:ilvl w:val="0"/>
                <w:numId w:val="4"/>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对此序列中的所有批次：LV-A-2503015-1、LV-A-2503015-2、LV-A-2504001-1、LV-A-2504001-2、LV-A-2504002-1、LV-A-2504002-2进行原样复测。</w:t>
            </w:r>
          </w:p>
          <w:p w14:paraId="066CE225">
            <w:pPr>
              <w:widowControl/>
              <w:numPr>
                <w:ilvl w:val="0"/>
                <w:numId w:val="4"/>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修订《检验管理程序》SMP-QC-012/18，在文件中规定，流动相单独使用HPLC级的乙腈时直接用原试剂瓶超声后使用，抽滤装置的滤芯应至少每年更换一次。</w:t>
            </w:r>
          </w:p>
          <w:p w14:paraId="23FFF07F">
            <w:p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3、《检验管理程序》SMP-QC-012/19文件批准后对QC全员进行培训，并在文件生后对现有滤芯全部换新。</w:t>
            </w:r>
          </w:p>
        </w:tc>
        <w:tc>
          <w:tcPr>
            <w:tcW w:w="948" w:type="dxa"/>
            <w:vAlign w:val="center"/>
          </w:tcPr>
          <w:p w14:paraId="627A15A0">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77AA4E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2026.06.17</w:t>
            </w:r>
          </w:p>
        </w:tc>
        <w:tc>
          <w:tcPr>
            <w:tcW w:w="964" w:type="dxa"/>
            <w:vAlign w:val="center"/>
          </w:tcPr>
          <w:p w14:paraId="05915B3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杨小芹2026.06.17</w:t>
            </w:r>
          </w:p>
        </w:tc>
      </w:tr>
      <w:tr w14:paraId="1B26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A8EB24D">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CAPA-PC2506001</w:t>
            </w:r>
          </w:p>
        </w:tc>
        <w:tc>
          <w:tcPr>
            <w:tcW w:w="1176" w:type="dxa"/>
            <w:vAlign w:val="center"/>
          </w:tcPr>
          <w:p w14:paraId="05ED4C5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2025.06.15</w:t>
            </w:r>
          </w:p>
        </w:tc>
        <w:tc>
          <w:tcPr>
            <w:tcW w:w="1104" w:type="dxa"/>
            <w:vAlign w:val="center"/>
          </w:tcPr>
          <w:p w14:paraId="6EDDA0C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11FDDBE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w:t>
            </w:r>
          </w:p>
        </w:tc>
        <w:tc>
          <w:tcPr>
            <w:tcW w:w="1344" w:type="dxa"/>
            <w:vAlign w:val="center"/>
          </w:tcPr>
          <w:p w14:paraId="471739C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PC-2506002</w:t>
            </w:r>
          </w:p>
        </w:tc>
        <w:tc>
          <w:tcPr>
            <w:tcW w:w="5256" w:type="dxa"/>
            <w:vAlign w:val="center"/>
          </w:tcPr>
          <w:p w14:paraId="572A864B">
            <w:pPr>
              <w:widowControl/>
              <w:numPr>
                <w:ilvl w:val="0"/>
                <w:numId w:val="5"/>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重新编辑序列复测Blank。</w:t>
            </w:r>
          </w:p>
          <w:p w14:paraId="2F5AADF0">
            <w:pPr>
              <w:widowControl/>
              <w:numPr>
                <w:ilvl w:val="0"/>
                <w:numId w:val="5"/>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将现场键盘支架更换为升降键盘支架，确保键盘与操作区域处在不同平面。</w:t>
            </w:r>
          </w:p>
          <w:p w14:paraId="0264766A">
            <w:p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3、在键盘支架更换前，对QC相关人员进行培训，操作需定制升降支架的时，禁止将文件或记录放置在键盘操作区域，并粘贴“操作电脑时键盘操作区域禁止放置任何文件及记录”的标识。</w:t>
            </w:r>
          </w:p>
        </w:tc>
        <w:tc>
          <w:tcPr>
            <w:tcW w:w="948" w:type="dxa"/>
            <w:vAlign w:val="center"/>
          </w:tcPr>
          <w:p w14:paraId="6607287E">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637C624B">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2026.01.22</w:t>
            </w:r>
          </w:p>
        </w:tc>
        <w:tc>
          <w:tcPr>
            <w:tcW w:w="964" w:type="dxa"/>
            <w:vAlign w:val="center"/>
          </w:tcPr>
          <w:p w14:paraId="6F1F254C">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杨小芹2026.01.22</w:t>
            </w:r>
          </w:p>
        </w:tc>
      </w:tr>
      <w:tr w14:paraId="4804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34E653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CAPA-EI2507007</w:t>
            </w:r>
          </w:p>
        </w:tc>
        <w:tc>
          <w:tcPr>
            <w:tcW w:w="1176" w:type="dxa"/>
            <w:vAlign w:val="center"/>
          </w:tcPr>
          <w:p w14:paraId="3E2EDC3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2025.07.03</w:t>
            </w:r>
          </w:p>
        </w:tc>
        <w:tc>
          <w:tcPr>
            <w:tcW w:w="1104" w:type="dxa"/>
            <w:vAlign w:val="center"/>
          </w:tcPr>
          <w:p w14:paraId="4332767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102二车间</w:t>
            </w:r>
          </w:p>
        </w:tc>
        <w:tc>
          <w:tcPr>
            <w:tcW w:w="1188" w:type="dxa"/>
            <w:vAlign w:val="center"/>
          </w:tcPr>
          <w:p w14:paraId="5585131B">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eastAsia="zh-CN"/>
              </w:rPr>
              <w:t>—</w:t>
            </w:r>
          </w:p>
        </w:tc>
        <w:tc>
          <w:tcPr>
            <w:tcW w:w="1344" w:type="dxa"/>
            <w:vAlign w:val="center"/>
          </w:tcPr>
          <w:p w14:paraId="1995D32C">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w:t>
            </w:r>
          </w:p>
        </w:tc>
        <w:tc>
          <w:tcPr>
            <w:tcW w:w="5256" w:type="dxa"/>
            <w:vAlign w:val="center"/>
          </w:tcPr>
          <w:p w14:paraId="16B89C93">
            <w:pPr>
              <w:numPr>
                <w:ilvl w:val="0"/>
                <w:numId w:val="6"/>
              </w:numPr>
              <w:jc w:val="left"/>
              <w:rPr>
                <w:rFonts w:hint="default" w:ascii="Times New Roman" w:hAnsi="Times New Roman" w:eastAsia="宋体" w:cs="Times New Roman"/>
                <w:color w:val="auto"/>
                <w:vertAlign w:val="baseline"/>
                <w:lang w:val="en-US" w:eastAsia="zh-CN"/>
              </w:rPr>
            </w:pPr>
            <w:r>
              <w:rPr>
                <w:rFonts w:hint="default" w:ascii="Times New Roman" w:hAnsi="Times New Roman" w:eastAsia="宋体" w:cs="Times New Roman"/>
                <w:color w:val="auto"/>
                <w:vertAlign w:val="baseline"/>
                <w:lang w:val="en-US" w:eastAsia="zh-CN"/>
              </w:rPr>
              <w:t>执行变更管理程序，重新设计2%氟苯尼考预混剂混合机电子报表，使报表内容可以直观的反映工艺要求参数。</w:t>
            </w:r>
          </w:p>
          <w:p w14:paraId="0D530846">
            <w:pPr>
              <w:numPr>
                <w:ilvl w:val="0"/>
                <w:numId w:val="6"/>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vertAlign w:val="baseline"/>
                <w:lang w:val="en-US" w:eastAsia="zh-CN"/>
              </w:rPr>
              <w:t>对2%氟苯尼考预混剂上料混合系统重新进行计算机化系统确认。</w:t>
            </w:r>
          </w:p>
        </w:tc>
        <w:tc>
          <w:tcPr>
            <w:tcW w:w="948" w:type="dxa"/>
            <w:vAlign w:val="center"/>
          </w:tcPr>
          <w:p w14:paraId="26365938">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7879073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2026.03.09</w:t>
            </w:r>
          </w:p>
        </w:tc>
        <w:tc>
          <w:tcPr>
            <w:tcW w:w="964" w:type="dxa"/>
            <w:vAlign w:val="center"/>
          </w:tcPr>
          <w:p w14:paraId="1AACD11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杨小芹2026.03.09</w:t>
            </w:r>
          </w:p>
        </w:tc>
      </w:tr>
      <w:tr w14:paraId="306C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26616F4">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CAPA-PC2507013</w:t>
            </w:r>
          </w:p>
        </w:tc>
        <w:tc>
          <w:tcPr>
            <w:tcW w:w="1176" w:type="dxa"/>
            <w:vAlign w:val="center"/>
          </w:tcPr>
          <w:p w14:paraId="2DE7E34E">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2025.07.07</w:t>
            </w:r>
          </w:p>
        </w:tc>
        <w:tc>
          <w:tcPr>
            <w:tcW w:w="1104" w:type="dxa"/>
            <w:vAlign w:val="center"/>
          </w:tcPr>
          <w:p w14:paraId="256A7FB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QC</w:t>
            </w:r>
          </w:p>
        </w:tc>
        <w:tc>
          <w:tcPr>
            <w:tcW w:w="1188" w:type="dxa"/>
            <w:vAlign w:val="center"/>
          </w:tcPr>
          <w:p w14:paraId="6964EC90">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5%芬苯达唑粉</w:t>
            </w:r>
          </w:p>
        </w:tc>
        <w:tc>
          <w:tcPr>
            <w:tcW w:w="1344" w:type="dxa"/>
            <w:vAlign w:val="center"/>
          </w:tcPr>
          <w:p w14:paraId="30F42B4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rPr>
              <w:t>PC-2507001</w:t>
            </w:r>
          </w:p>
        </w:tc>
        <w:tc>
          <w:tcPr>
            <w:tcW w:w="5256" w:type="dxa"/>
            <w:vAlign w:val="center"/>
          </w:tcPr>
          <w:p w14:paraId="73772F27">
            <w:pPr>
              <w:widowControl/>
              <w:numPr>
                <w:ilvl w:val="0"/>
                <w:numId w:val="7"/>
              </w:numPr>
              <w:jc w:val="left"/>
              <w:rPr>
                <w:rFonts w:hint="default" w:ascii="Times New Roman" w:hAnsi="Times New Roman" w:eastAsia="宋体" w:cs="Times New Roman"/>
                <w:kern w:val="0"/>
                <w:sz w:val="20"/>
                <w:szCs w:val="20"/>
                <w:lang w:bidi="ar"/>
              </w:rPr>
            </w:pPr>
            <w:r>
              <w:rPr>
                <w:rFonts w:hint="default" w:ascii="Times New Roman" w:hAnsi="Times New Roman" w:eastAsia="宋体" w:cs="Times New Roman"/>
                <w:kern w:val="0"/>
                <w:sz w:val="20"/>
                <w:szCs w:val="20"/>
                <w:lang w:bidi="ar"/>
              </w:rPr>
              <w:t>对QC相关人员进行培训，培训内容为“管理人员需评估验证项目难易程度后，依据人员资质分配验证工作：准确度、专属性、检测限、定量限验证内容，需分配给该项目工作时间≥1.5年的人员。精密度（重复性/中间精密度）、线性、范围、耐用性、溶液稳定性验证内容，需分配给通过岗位考核人员。”</w:t>
            </w:r>
          </w:p>
          <w:p w14:paraId="296C0BF0">
            <w:pPr>
              <w:widowControl/>
              <w:numPr>
                <w:ilvl w:val="0"/>
                <w:numId w:val="7"/>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bidi="ar"/>
              </w:rPr>
              <w:t>修订《分析方法验证与确认管理程序》（SMP-QC-033/04）增加验证方案培训后，培训师需评估项目难易程度，匹配具有相应资质的人员接受合适难度的项目，并将分配情况记录在验证记录中。文件生效前对QC相关人员进行培训。</w:t>
            </w:r>
          </w:p>
        </w:tc>
        <w:tc>
          <w:tcPr>
            <w:tcW w:w="948" w:type="dxa"/>
            <w:vAlign w:val="center"/>
          </w:tcPr>
          <w:p w14:paraId="77A5E3B3">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进行中</w:t>
            </w:r>
          </w:p>
        </w:tc>
        <w:tc>
          <w:tcPr>
            <w:tcW w:w="1027" w:type="dxa"/>
            <w:vAlign w:val="center"/>
          </w:tcPr>
          <w:p w14:paraId="258B6126">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进行中</w:t>
            </w:r>
          </w:p>
        </w:tc>
        <w:tc>
          <w:tcPr>
            <w:tcW w:w="964" w:type="dxa"/>
            <w:vAlign w:val="center"/>
          </w:tcPr>
          <w:p w14:paraId="3EF51C5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进行中</w:t>
            </w:r>
          </w:p>
        </w:tc>
      </w:tr>
      <w:tr w14:paraId="0BE3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04B4FB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CAPA-EI2509002</w:t>
            </w:r>
          </w:p>
        </w:tc>
        <w:tc>
          <w:tcPr>
            <w:tcW w:w="1176" w:type="dxa"/>
            <w:vAlign w:val="center"/>
          </w:tcPr>
          <w:p w14:paraId="169411CC">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2025.09.09</w:t>
            </w:r>
          </w:p>
        </w:tc>
        <w:tc>
          <w:tcPr>
            <w:tcW w:w="1104" w:type="dxa"/>
            <w:vAlign w:val="center"/>
          </w:tcPr>
          <w:p w14:paraId="3F220C1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QC</w:t>
            </w:r>
          </w:p>
        </w:tc>
        <w:tc>
          <w:tcPr>
            <w:tcW w:w="1188" w:type="dxa"/>
            <w:vAlign w:val="center"/>
          </w:tcPr>
          <w:p w14:paraId="71297C9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0"/>
                <w:szCs w:val="20"/>
                <w:lang w:val="en-US" w:eastAsia="zh-CN"/>
              </w:rPr>
              <w:t>—</w:t>
            </w:r>
          </w:p>
        </w:tc>
        <w:tc>
          <w:tcPr>
            <w:tcW w:w="1344" w:type="dxa"/>
            <w:vAlign w:val="center"/>
          </w:tcPr>
          <w:p w14:paraId="4B4136B9">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w:t>
            </w:r>
          </w:p>
        </w:tc>
        <w:tc>
          <w:tcPr>
            <w:tcW w:w="5256" w:type="dxa"/>
            <w:vAlign w:val="center"/>
          </w:tcPr>
          <w:p w14:paraId="6355BC93">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对DR-2507003摇瓶种子液批次后续工序中间体及成品检测结果进行确认。</w:t>
            </w:r>
          </w:p>
          <w:p w14:paraId="7F292145">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排查自2025.07.05《培养液杂菌实验标准操作规程》（SOP-QC-502/06）文件生效以来所有产品的镜检检测图片，确认是否有其他样品存在因染色液涂不均用导致出现照片内容不清晰的异常情况，如有，需对该批次的后续中间体及成品检测结果进行确认是否正常，如不正常，则启动偏差调查。</w:t>
            </w:r>
          </w:p>
          <w:p w14:paraId="351B3C5E">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对显微镜涂片操作的相关人员进行培训，并开展实操考核。</w:t>
            </w:r>
          </w:p>
          <w:p w14:paraId="51BF30E9">
            <w:pPr>
              <w:widowControl/>
              <w:numPr>
                <w:ilvl w:val="0"/>
                <w:numId w:val="8"/>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给显微镜配备的专用拍照设施未购买来之前，在现场固定1台手机用于显微检测结果的拍照，避免底色、图像清晰度存在差异的情况。</w:t>
            </w:r>
          </w:p>
          <w:p w14:paraId="736EA8E3">
            <w:pPr>
              <w:widowControl/>
              <w:numPr>
                <w:ilvl w:val="0"/>
                <w:numId w:val="8"/>
              </w:numPr>
              <w:ind w:left="0" w:left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给显微镜配备专用的拍照设施用于显微检测结果的记录。</w:t>
            </w:r>
          </w:p>
        </w:tc>
        <w:tc>
          <w:tcPr>
            <w:tcW w:w="948" w:type="dxa"/>
            <w:vAlign w:val="center"/>
          </w:tcPr>
          <w:p w14:paraId="28690CBB">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3835510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2026.02.04</w:t>
            </w:r>
          </w:p>
        </w:tc>
        <w:tc>
          <w:tcPr>
            <w:tcW w:w="964" w:type="dxa"/>
            <w:vAlign w:val="center"/>
          </w:tcPr>
          <w:p w14:paraId="7F9E200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杨小芹2026.02.04</w:t>
            </w:r>
          </w:p>
        </w:tc>
      </w:tr>
      <w:tr w14:paraId="3DC7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245A22C">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CAPA-EL2510002</w:t>
            </w:r>
          </w:p>
        </w:tc>
        <w:tc>
          <w:tcPr>
            <w:tcW w:w="1176" w:type="dxa"/>
            <w:vAlign w:val="center"/>
          </w:tcPr>
          <w:p w14:paraId="63A02FAC">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2025.10.22</w:t>
            </w:r>
          </w:p>
        </w:tc>
        <w:tc>
          <w:tcPr>
            <w:tcW w:w="1104" w:type="dxa"/>
            <w:vAlign w:val="center"/>
          </w:tcPr>
          <w:p w14:paraId="77F8000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QC</w:t>
            </w:r>
          </w:p>
        </w:tc>
        <w:tc>
          <w:tcPr>
            <w:tcW w:w="1188" w:type="dxa"/>
            <w:vAlign w:val="center"/>
          </w:tcPr>
          <w:p w14:paraId="33ECBCEE">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w:t>
            </w:r>
          </w:p>
        </w:tc>
        <w:tc>
          <w:tcPr>
            <w:tcW w:w="1344" w:type="dxa"/>
            <w:vAlign w:val="center"/>
          </w:tcPr>
          <w:p w14:paraId="38337D6D">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AI-2510002</w:t>
            </w:r>
          </w:p>
        </w:tc>
        <w:tc>
          <w:tcPr>
            <w:tcW w:w="5256" w:type="dxa"/>
            <w:vAlign w:val="center"/>
          </w:tcPr>
          <w:p w14:paraId="658FC796">
            <w:pPr>
              <w:widowControl/>
              <w:numPr>
                <w:ilvl w:val="0"/>
                <w:numId w:val="9"/>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修订《美伐他汀（康百汀）MV成品检验标准操作规程（BT）》（SOP-QC-(MV)-004/10），增加6.2.7.9规定每次检测完MV  BT相关物质后，需要清洗针座，操作方法为：拆下针座，用纯化水超声十分钟，再用乙腈超声10分钟；更换乙腈再超声5分钟，然后在维护保养项目中按MV BT相关物质第一梯度方法进空白，空白中康百汀酯峰面积残留应不超过序列最后一针系统适应性中康百汀酯峰面积的0.2%（峰面积约400）。</w:t>
            </w:r>
          </w:p>
          <w:p w14:paraId="700A4D04">
            <w:pPr>
              <w:widowControl/>
              <w:numPr>
                <w:ilvl w:val="0"/>
                <w:numId w:val="9"/>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《美伐他汀（康百汀）MV成品检验标准操作规程（BT）》（SOP-QC-(MV)-004/11）文件批准后对QC相关人员进行培训。</w:t>
            </w:r>
          </w:p>
        </w:tc>
        <w:tc>
          <w:tcPr>
            <w:tcW w:w="948" w:type="dxa"/>
            <w:vAlign w:val="center"/>
          </w:tcPr>
          <w:p w14:paraId="5AB16830">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929F989">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2026.04.29</w:t>
            </w:r>
          </w:p>
        </w:tc>
        <w:tc>
          <w:tcPr>
            <w:tcW w:w="964" w:type="dxa"/>
            <w:vAlign w:val="center"/>
          </w:tcPr>
          <w:p w14:paraId="4F5A9FA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杨小芹2026.04.29</w:t>
            </w:r>
          </w:p>
        </w:tc>
      </w:tr>
      <w:tr w14:paraId="6682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49B7FC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CAPA-EI2511004</w:t>
            </w:r>
          </w:p>
        </w:tc>
        <w:tc>
          <w:tcPr>
            <w:tcW w:w="1176" w:type="dxa"/>
            <w:vAlign w:val="center"/>
          </w:tcPr>
          <w:p w14:paraId="7CB2859A">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2025.11.11</w:t>
            </w:r>
          </w:p>
        </w:tc>
        <w:tc>
          <w:tcPr>
            <w:tcW w:w="1104" w:type="dxa"/>
            <w:vAlign w:val="center"/>
          </w:tcPr>
          <w:p w14:paraId="2AAEF6F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QC</w:t>
            </w:r>
          </w:p>
        </w:tc>
        <w:tc>
          <w:tcPr>
            <w:tcW w:w="1188" w:type="dxa"/>
            <w:vAlign w:val="center"/>
          </w:tcPr>
          <w:p w14:paraId="5978BA57">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w:t>
            </w:r>
          </w:p>
        </w:tc>
        <w:tc>
          <w:tcPr>
            <w:tcW w:w="1344" w:type="dxa"/>
            <w:vAlign w:val="center"/>
          </w:tcPr>
          <w:p w14:paraId="1F2E87D6">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w:t>
            </w:r>
          </w:p>
        </w:tc>
        <w:tc>
          <w:tcPr>
            <w:tcW w:w="5256" w:type="dxa"/>
            <w:vAlign w:val="center"/>
          </w:tcPr>
          <w:p w14:paraId="01C15B74">
            <w:pPr>
              <w:widowControl/>
              <w:numPr>
                <w:ilvl w:val="0"/>
                <w:numId w:val="1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起草洛伐他汀EP标准对照溶液（C）的溶液稳定性补充验证方案，对对照溶液（C）的溶液稳定性做补充验证。</w:t>
            </w:r>
          </w:p>
          <w:p w14:paraId="31310420">
            <w:pPr>
              <w:widowControl/>
              <w:numPr>
                <w:ilvl w:val="0"/>
                <w:numId w:val="10"/>
              </w:numPr>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验证结束后，若溶液稳定性时间与文件规定不一致，则需要修订文件，若一致，不修订文件。（文件规定：对照溶液（C）在2-8℃储存744h（31天）内稳定。文件为《洛伐他汀（LV）成品检验标准操作规程（EP）》（SOP-QC(LV）-009/11）。</w:t>
            </w:r>
          </w:p>
        </w:tc>
        <w:tc>
          <w:tcPr>
            <w:tcW w:w="948" w:type="dxa"/>
            <w:vAlign w:val="center"/>
          </w:tcPr>
          <w:p w14:paraId="7DC1EC75">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0EFB568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2026.02.27</w:t>
            </w:r>
          </w:p>
        </w:tc>
        <w:tc>
          <w:tcPr>
            <w:tcW w:w="964" w:type="dxa"/>
            <w:vAlign w:val="center"/>
          </w:tcPr>
          <w:p w14:paraId="31A74AB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杨小芹2026.02.27</w:t>
            </w:r>
          </w:p>
        </w:tc>
      </w:tr>
      <w:tr w14:paraId="7236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31EF0E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CAPA-EI2511005</w:t>
            </w:r>
          </w:p>
        </w:tc>
        <w:tc>
          <w:tcPr>
            <w:tcW w:w="1176" w:type="dxa"/>
            <w:vAlign w:val="center"/>
          </w:tcPr>
          <w:p w14:paraId="58760FC3">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2025.11.11</w:t>
            </w:r>
          </w:p>
        </w:tc>
        <w:tc>
          <w:tcPr>
            <w:tcW w:w="1104" w:type="dxa"/>
            <w:vAlign w:val="center"/>
          </w:tcPr>
          <w:p w14:paraId="02170F32">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201一车间</w:t>
            </w:r>
          </w:p>
        </w:tc>
        <w:tc>
          <w:tcPr>
            <w:tcW w:w="1188" w:type="dxa"/>
            <w:vAlign w:val="center"/>
          </w:tcPr>
          <w:p w14:paraId="0B0DFC8D">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w:t>
            </w:r>
          </w:p>
        </w:tc>
        <w:tc>
          <w:tcPr>
            <w:tcW w:w="1344" w:type="dxa"/>
            <w:vAlign w:val="center"/>
          </w:tcPr>
          <w:p w14:paraId="4BDD2CC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w:t>
            </w:r>
          </w:p>
        </w:tc>
        <w:tc>
          <w:tcPr>
            <w:tcW w:w="5256" w:type="dxa"/>
            <w:vAlign w:val="center"/>
          </w:tcPr>
          <w:p w14:paraId="237E4B23">
            <w:pPr>
              <w:widowControl/>
              <w:numPr>
                <w:ilvl w:val="0"/>
                <w:numId w:val="11"/>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美伐他汀提炼二次精制岗位标准操作规程》（SOP-XT1(MV)-407/07）,将“二次精品湿粉生产结束后14小时内进入烘干工序”变更为“二次精品湿粉产生后，转移至干燥间进行投料或暂存，需在二次精制离心结束后14小时内全部投入双锥干燥器，投料时需记录每台双锥干燥器的进料重量”。</w:t>
            </w:r>
          </w:p>
          <w:p w14:paraId="60AAE299">
            <w:pPr>
              <w:widowControl/>
              <w:numPr>
                <w:ilvl w:val="0"/>
                <w:numId w:val="11"/>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修订《洛伐他汀提炼二次精制岗位标准操作规程》（SOP-XT1(LV)-406/10）内容如下：</w:t>
            </w:r>
          </w:p>
          <w:p w14:paraId="61DF710A">
            <w:pPr>
              <w:widowControl/>
              <w:numPr>
                <w:ilvl w:val="0"/>
                <w:numId w:val="12"/>
              </w:numPr>
              <w:ind w:left="0" w:leftChars="0" w:firstLine="400" w:firstLineChars="20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将“卸料时，将离心机内的二次精品湿粉卸至聚乙烯袋中，每卸料完一袋需将聚乙烯袋折扣”变更“卸料时，将离心机内的二次精品湿粉卸至聚乙烯袋中，每卸完一袋需拧紧折口并称重”。</w:t>
            </w:r>
          </w:p>
          <w:p w14:paraId="1E848B1B">
            <w:pPr>
              <w:widowControl/>
              <w:numPr>
                <w:ilvl w:val="0"/>
                <w:numId w:val="12"/>
              </w:numPr>
              <w:ind w:left="0" w:leftChars="0" w:firstLine="400" w:firstLineChars="20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二次精品湿粉生产结束后6小时内进入烘干工序”变更为“二次精品湿粉生产结束后，转移至干燥间进行投料或暂存，需在二次精制离心结束后6小时内全部投入双锥干燥器，投料时需要记录每台双锥干燥器的进料重量”。</w:t>
            </w:r>
          </w:p>
          <w:p w14:paraId="4D769C38">
            <w:pPr>
              <w:widowControl/>
              <w:numPr>
                <w:ilvl w:val="0"/>
                <w:numId w:val="11"/>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修订《美伐他汀工艺规程》（KP-XT1-MV-001/09）及《洛伐他汀工艺规程》（KP-XT1-LV-001/15）增加二次精品烘干操作每台双锥干燥器进料量的记录</w:t>
            </w:r>
          </w:p>
          <w:p w14:paraId="00ECCDFD">
            <w:pPr>
              <w:widowControl/>
              <w:numPr>
                <w:ilvl w:val="0"/>
                <w:numId w:val="11"/>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以上文件修订结束后对相关人员进行培训。</w:t>
            </w:r>
          </w:p>
        </w:tc>
        <w:tc>
          <w:tcPr>
            <w:tcW w:w="948" w:type="dxa"/>
            <w:vAlign w:val="center"/>
          </w:tcPr>
          <w:p w14:paraId="20C89938">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3C882656">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2026.01.15</w:t>
            </w:r>
          </w:p>
        </w:tc>
        <w:tc>
          <w:tcPr>
            <w:tcW w:w="964" w:type="dxa"/>
            <w:vAlign w:val="center"/>
          </w:tcPr>
          <w:p w14:paraId="4FB2CAB8">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杨小芹2026.01.15</w:t>
            </w:r>
          </w:p>
        </w:tc>
      </w:tr>
      <w:tr w14:paraId="5EED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091B19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CAPA-PC2511006</w:t>
            </w:r>
          </w:p>
        </w:tc>
        <w:tc>
          <w:tcPr>
            <w:tcW w:w="1176" w:type="dxa"/>
            <w:vAlign w:val="center"/>
          </w:tcPr>
          <w:p w14:paraId="0AC48B1B">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2025.11.18</w:t>
            </w:r>
          </w:p>
        </w:tc>
        <w:tc>
          <w:tcPr>
            <w:tcW w:w="1104" w:type="dxa"/>
            <w:vAlign w:val="center"/>
          </w:tcPr>
          <w:p w14:paraId="3F71CCF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QC</w:t>
            </w:r>
          </w:p>
        </w:tc>
        <w:tc>
          <w:tcPr>
            <w:tcW w:w="1188" w:type="dxa"/>
            <w:vAlign w:val="center"/>
          </w:tcPr>
          <w:p w14:paraId="02B5452D">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w:t>
            </w:r>
          </w:p>
        </w:tc>
        <w:tc>
          <w:tcPr>
            <w:tcW w:w="1344" w:type="dxa"/>
            <w:vAlign w:val="center"/>
          </w:tcPr>
          <w:p w14:paraId="3A2467D0">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PC-2511001</w:t>
            </w:r>
          </w:p>
        </w:tc>
        <w:tc>
          <w:tcPr>
            <w:tcW w:w="5256" w:type="dxa"/>
            <w:vAlign w:val="center"/>
          </w:tcPr>
          <w:p w14:paraId="062EACC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1、排查公司其他UPS电源逆变器状况及电池电阻数值，若逆变器、电池电阻数值异常应进行维修或更换。</w:t>
            </w:r>
          </w:p>
          <w:p w14:paraId="35489EF6">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2、采购新的UPS电源。</w:t>
            </w:r>
          </w:p>
          <w:p w14:paraId="1F1780F3">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3、修订《QC检测仪器维护保养一览表》（APP2-SMP-QC-025/18），规定每三个月对UPS电源逆变器进行检查，查看逆变器状态指示灯、显示屏告警信息，核对输出电压是否在额定范围；文件批准后对相关人员进行培训。</w:t>
            </w:r>
          </w:p>
          <w:p w14:paraId="1C3F50AD">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4、排查公司其他使用UPS电源的部门，对于UPS电源标准操作规程文件中是否规定UPS电源逆变器检查、维保相关内容。</w:t>
            </w:r>
          </w:p>
          <w:p w14:paraId="49F2640E">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5、根据4中排查结果，若公司其他部门UPS电源标准操作规程文件中没有规定UPS电源逆变器检查维保相关内容则相关部门需修订该文件。文件批准后对相关人员进行培训。</w:t>
            </w:r>
          </w:p>
        </w:tc>
        <w:tc>
          <w:tcPr>
            <w:tcW w:w="948" w:type="dxa"/>
            <w:vAlign w:val="center"/>
          </w:tcPr>
          <w:p w14:paraId="2B574222">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c>
          <w:tcPr>
            <w:tcW w:w="1027" w:type="dxa"/>
            <w:vAlign w:val="center"/>
          </w:tcPr>
          <w:p w14:paraId="5F6229DC">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c>
          <w:tcPr>
            <w:tcW w:w="964" w:type="dxa"/>
            <w:vAlign w:val="center"/>
          </w:tcPr>
          <w:p w14:paraId="31A8663A">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r>
      <w:tr w14:paraId="4B92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F1EB6C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CAPA-PC2512001</w:t>
            </w:r>
          </w:p>
        </w:tc>
        <w:tc>
          <w:tcPr>
            <w:tcW w:w="1176" w:type="dxa"/>
            <w:vAlign w:val="center"/>
          </w:tcPr>
          <w:p w14:paraId="07D04EE5">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2025.12.09</w:t>
            </w:r>
          </w:p>
        </w:tc>
        <w:tc>
          <w:tcPr>
            <w:tcW w:w="1104" w:type="dxa"/>
            <w:vAlign w:val="center"/>
          </w:tcPr>
          <w:p w14:paraId="0413414F">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QC</w:t>
            </w:r>
          </w:p>
        </w:tc>
        <w:tc>
          <w:tcPr>
            <w:tcW w:w="1188" w:type="dxa"/>
            <w:vAlign w:val="center"/>
          </w:tcPr>
          <w:p w14:paraId="1BE68772">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w:t>
            </w:r>
          </w:p>
        </w:tc>
        <w:tc>
          <w:tcPr>
            <w:tcW w:w="1344" w:type="dxa"/>
            <w:vAlign w:val="center"/>
          </w:tcPr>
          <w:p w14:paraId="20EBE9E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PC-2512001</w:t>
            </w:r>
          </w:p>
        </w:tc>
        <w:tc>
          <w:tcPr>
            <w:tcW w:w="5256" w:type="dxa"/>
            <w:vAlign w:val="center"/>
          </w:tcPr>
          <w:p w14:paraId="79775A51">
            <w:pPr>
              <w:widowControl/>
              <w:numPr>
                <w:ilvl w:val="0"/>
                <w:numId w:val="13"/>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禁止使用MC（K15）含量空白、MC（K15）含量仪器方法，在方法名称处标记禁止使用。</w:t>
            </w:r>
          </w:p>
          <w:p w14:paraId="5B58A3B8">
            <w:pPr>
              <w:widowControl/>
              <w:numPr>
                <w:ilvl w:val="0"/>
                <w:numId w:val="13"/>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新建MC（K15）含量空白、MC（K15）含量仪器方法，DATABASE设置为MC。</w:t>
            </w:r>
          </w:p>
          <w:p w14:paraId="0375CAD1">
            <w:pPr>
              <w:widowControl/>
              <w:numPr>
                <w:ilvl w:val="0"/>
                <w:numId w:val="13"/>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霉酚酸（MC）成品检验标准操作规程（FIS）（K15）》（SOP-QC(MC）-019/04）增加此项目仪器方法中DATABASE参数设置的要求，修订《电位滴定仪（888）标准操作规程》（SOP-QC-416/04）增加对其他仪器方法新建时应设置DATABASE参数的要求，文件批准后对相关人员进行培训。</w:t>
            </w:r>
          </w:p>
          <w:p w14:paraId="71470FD0">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4、《霉酚酸（MC）成品检验标准操作规程（FIS）（K15）》（SOP-QC(MC）-019/05）生效前，对相关人员（理化组组长、主管及以上人员、QA和IT相关人员）培训关于方法新建时，应按照对应的检验SOP参数设置，并注意选取DATABASE参数，选择对应的数据库。</w:t>
            </w:r>
          </w:p>
        </w:tc>
        <w:tc>
          <w:tcPr>
            <w:tcW w:w="948" w:type="dxa"/>
            <w:vAlign w:val="center"/>
          </w:tcPr>
          <w:p w14:paraId="0D4A1F49">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c>
          <w:tcPr>
            <w:tcW w:w="1027" w:type="dxa"/>
            <w:vAlign w:val="center"/>
          </w:tcPr>
          <w:p w14:paraId="2793B623">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c>
          <w:tcPr>
            <w:tcW w:w="964" w:type="dxa"/>
            <w:vAlign w:val="center"/>
          </w:tcPr>
          <w:p w14:paraId="40716A74">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进行中</w:t>
            </w:r>
          </w:p>
        </w:tc>
      </w:tr>
      <w:tr w14:paraId="5069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374E8E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CAPA-PC2512002</w:t>
            </w:r>
          </w:p>
        </w:tc>
        <w:tc>
          <w:tcPr>
            <w:tcW w:w="1176" w:type="dxa"/>
            <w:vAlign w:val="center"/>
          </w:tcPr>
          <w:p w14:paraId="2FECC665">
            <w:pPr>
              <w:tabs>
                <w:tab w:val="left" w:pos="276"/>
              </w:tabs>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2025.12.17</w:t>
            </w:r>
          </w:p>
        </w:tc>
        <w:tc>
          <w:tcPr>
            <w:tcW w:w="1104" w:type="dxa"/>
            <w:vAlign w:val="center"/>
          </w:tcPr>
          <w:p w14:paraId="7577BC6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201二车间</w:t>
            </w:r>
          </w:p>
        </w:tc>
        <w:tc>
          <w:tcPr>
            <w:tcW w:w="1188" w:type="dxa"/>
            <w:vAlign w:val="center"/>
          </w:tcPr>
          <w:p w14:paraId="471DD580">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霉酚酸USMC-M-2511019</w:t>
            </w:r>
          </w:p>
          <w:p w14:paraId="6EE345D2">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USMC-M-2511020</w:t>
            </w:r>
          </w:p>
          <w:p w14:paraId="456ACC08">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USMC-M-2511021</w:t>
            </w:r>
          </w:p>
        </w:tc>
        <w:tc>
          <w:tcPr>
            <w:tcW w:w="1344" w:type="dxa"/>
            <w:vAlign w:val="center"/>
          </w:tcPr>
          <w:p w14:paraId="5E365A49">
            <w:pPr>
              <w:jc w:val="both"/>
              <w:rPr>
                <w:rFonts w:hint="default" w:ascii="Times New Roman" w:hAnsi="Times New Roman" w:eastAsia="宋体" w:cs="Times New Roman"/>
                <w:szCs w:val="18"/>
                <w:lang w:val="en-US" w:eastAsia="zh-CN"/>
              </w:rPr>
            </w:pPr>
            <w:r>
              <w:rPr>
                <w:rFonts w:hint="default" w:ascii="Times New Roman" w:hAnsi="Times New Roman" w:eastAsia="宋体" w:cs="Times New Roman"/>
                <w:szCs w:val="18"/>
                <w:lang w:val="en-US" w:eastAsia="zh-CN"/>
              </w:rPr>
              <w:t>PC-2512002</w:t>
            </w:r>
          </w:p>
        </w:tc>
        <w:tc>
          <w:tcPr>
            <w:tcW w:w="5256" w:type="dxa"/>
            <w:vAlign w:val="center"/>
          </w:tcPr>
          <w:p w14:paraId="2C149C4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1、升版《霉酚酸（MC）精制岗位标准操作规程》[SOP-FT3(MC)-403/09]，在文件中规定二次结晶时，根据《提炼生产指令（霉酚酸二次精制至成品包装工序）》（QR10-SMP-PM-022）准备所要投料的一次结晶湿粉等相关操作。</w:t>
            </w:r>
          </w:p>
          <w:p w14:paraId="0D41FEC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2、升版《霉酚酸提炼工艺规程》[KP-FT3-MC-001/15]，增加二次结晶投料时一次结晶湿粉的投料范围，并在相关的批记录中增加两行等。</w:t>
            </w:r>
          </w:p>
          <w:p w14:paraId="1D4DDA8E">
            <w:pPr>
              <w:widowControl/>
              <w:numPr>
                <w:ilvl w:val="0"/>
                <w:numId w:val="0"/>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3、升版《霉酚酸生产指令管理程序》（SMP-PM-022/09）文件，调整霉酚酸生产过程中的批号编制及增加“提炼生产指令（霉酚酸二次精制至成品包装工序）”等。</w:t>
            </w:r>
          </w:p>
        </w:tc>
        <w:tc>
          <w:tcPr>
            <w:tcW w:w="948" w:type="dxa"/>
            <w:vAlign w:val="center"/>
          </w:tcPr>
          <w:p w14:paraId="265AF5CC">
            <w:pPr>
              <w:ind w:left="210" w:left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有效</w:t>
            </w:r>
          </w:p>
        </w:tc>
        <w:tc>
          <w:tcPr>
            <w:tcW w:w="1027" w:type="dxa"/>
            <w:vAlign w:val="center"/>
          </w:tcPr>
          <w:p w14:paraId="03ABCA2B">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2026.02.01</w:t>
            </w:r>
          </w:p>
        </w:tc>
        <w:tc>
          <w:tcPr>
            <w:tcW w:w="964" w:type="dxa"/>
            <w:vAlign w:val="center"/>
          </w:tcPr>
          <w:p w14:paraId="463E927B">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杨小芹2026.02.01</w:t>
            </w:r>
          </w:p>
        </w:tc>
      </w:tr>
      <w:tr w14:paraId="73EA9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72CF1D9">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CAPA-CC2512003</w:t>
            </w:r>
          </w:p>
        </w:tc>
        <w:tc>
          <w:tcPr>
            <w:tcW w:w="1176" w:type="dxa"/>
            <w:vAlign w:val="center"/>
          </w:tcPr>
          <w:p w14:paraId="3436AF14">
            <w:pPr>
              <w:tabs>
                <w:tab w:val="left" w:pos="276"/>
              </w:tabs>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2025.12.23</w:t>
            </w:r>
          </w:p>
        </w:tc>
        <w:tc>
          <w:tcPr>
            <w:tcW w:w="1104" w:type="dxa"/>
            <w:vAlign w:val="center"/>
          </w:tcPr>
          <w:p w14:paraId="06CFBB00">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201二车间</w:t>
            </w:r>
          </w:p>
        </w:tc>
        <w:tc>
          <w:tcPr>
            <w:tcW w:w="1188" w:type="dxa"/>
            <w:vAlign w:val="center"/>
          </w:tcPr>
          <w:p w14:paraId="13D6F83D">
            <w:pPr>
              <w:widowControl/>
              <w:numPr>
                <w:ilvl w:val="0"/>
                <w:numId w:val="0"/>
              </w:numPr>
              <w:ind w:left="0" w:leftChars="0" w:firstLine="0" w:firstLineChars="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霉酚酸</w:t>
            </w:r>
          </w:p>
        </w:tc>
        <w:tc>
          <w:tcPr>
            <w:tcW w:w="1344" w:type="dxa"/>
            <w:vAlign w:val="center"/>
          </w:tcPr>
          <w:p w14:paraId="25D4C091">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Cs w:val="18"/>
                <w:lang w:val="en-US" w:eastAsia="zh-CN"/>
              </w:rPr>
              <w:t>CC-MC2512001</w:t>
            </w:r>
          </w:p>
        </w:tc>
        <w:tc>
          <w:tcPr>
            <w:tcW w:w="5256" w:type="dxa"/>
            <w:vAlign w:val="center"/>
          </w:tcPr>
          <w:p w14:paraId="788A44CD">
            <w:pPr>
              <w:widowControl/>
              <w:numPr>
                <w:ilvl w:val="0"/>
                <w:numId w:val="14"/>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下一次发货时，在该客户的订单基础上额外包装1.45kg×1桶，用于补齐客户在此次事件中损失的产品量。</w:t>
            </w:r>
          </w:p>
          <w:p w14:paraId="6E0FFCA5">
            <w:pPr>
              <w:widowControl/>
              <w:numPr>
                <w:ilvl w:val="0"/>
                <w:numId w:val="14"/>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将USMC-H2508001批量信息由1569.75kg纠正为1568.30kg，同步纠正COA、入库量、出库量、产品放行审核单和销售记录等资料中的数量信息。</w:t>
            </w:r>
          </w:p>
          <w:p w14:paraId="373D2950">
            <w:pPr>
              <w:widowControl/>
              <w:numPr>
                <w:ilvl w:val="0"/>
                <w:numId w:val="14"/>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对目前库存的所有的桶装霉酚酸进行复称，确认是否存在重量与包装规格不符的情况。</w:t>
            </w:r>
          </w:p>
          <w:p w14:paraId="19F08D82">
            <w:pPr>
              <w:widowControl/>
              <w:numPr>
                <w:ilvl w:val="0"/>
                <w:numId w:val="14"/>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对霉酚酸方锥混合间中电子秤和转运小车的使用位置进行定置，确保操作过程中电子秤和转运小车之间有足够的空间不会发生影响称量操作的情况。</w:t>
            </w:r>
          </w:p>
          <w:p w14:paraId="18F0EA2E">
            <w:pPr>
              <w:widowControl/>
              <w:numPr>
                <w:ilvl w:val="0"/>
                <w:numId w:val="14"/>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对定置区域（称量区、转运小车暂停区）加贴标识，同时对霉酚酸烘包岗位全员进行培训。</w:t>
            </w:r>
          </w:p>
          <w:p w14:paraId="0077CA72">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培训内容：</w:t>
            </w:r>
          </w:p>
          <w:p w14:paraId="1DFFFECA">
            <w:pPr>
              <w:widowControl/>
              <w:numPr>
                <w:ilvl w:val="0"/>
                <w:numId w:val="15"/>
              </w:numPr>
              <w:ind w:left="0" w:leftChars="0" w:firstLine="400" w:firstLineChars="20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方锥混合间和离心间中电子秤的定置区域只用于物料的称量，禁止放置任何物品，称量后的物料及时转移至定置区域外。</w:t>
            </w:r>
          </w:p>
          <w:p w14:paraId="401E5957">
            <w:pPr>
              <w:widowControl/>
              <w:numPr>
                <w:ilvl w:val="0"/>
                <w:numId w:val="15"/>
              </w:numPr>
              <w:ind w:left="0" w:leftChars="0" w:firstLine="400" w:firstLineChars="200"/>
              <w:jc w:val="left"/>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称量后的物料需转运小车转运的，转运小车只能停在暂停区域，与称量区域留有足够的空间，不能影响称量操作。</w:t>
            </w:r>
          </w:p>
        </w:tc>
        <w:tc>
          <w:tcPr>
            <w:tcW w:w="948" w:type="dxa"/>
            <w:vAlign w:val="center"/>
          </w:tcPr>
          <w:p w14:paraId="1741B383">
            <w:pPr>
              <w:ind w:left="210" w:leftChars="0"/>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2A8CD8A7">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2026.01.28</w:t>
            </w:r>
          </w:p>
        </w:tc>
        <w:tc>
          <w:tcPr>
            <w:tcW w:w="964" w:type="dxa"/>
            <w:vAlign w:val="center"/>
          </w:tcPr>
          <w:p w14:paraId="740C8825">
            <w:pPr>
              <w:jc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杨小芹2026.01.28</w:t>
            </w:r>
          </w:p>
        </w:tc>
      </w:tr>
      <w:tr w14:paraId="5247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03C07E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CAPA-EL2601001</w:t>
            </w:r>
          </w:p>
        </w:tc>
        <w:tc>
          <w:tcPr>
            <w:tcW w:w="1176" w:type="dxa"/>
            <w:vAlign w:val="center"/>
          </w:tcPr>
          <w:p w14:paraId="1A87EBB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2026.01.05</w:t>
            </w:r>
          </w:p>
        </w:tc>
        <w:tc>
          <w:tcPr>
            <w:tcW w:w="1104" w:type="dxa"/>
            <w:vAlign w:val="center"/>
          </w:tcPr>
          <w:p w14:paraId="66138CA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QC</w:t>
            </w:r>
          </w:p>
        </w:tc>
        <w:tc>
          <w:tcPr>
            <w:tcW w:w="1188" w:type="dxa"/>
            <w:vAlign w:val="center"/>
          </w:tcPr>
          <w:p w14:paraId="05E2687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盐酸林可霉素</w:t>
            </w:r>
          </w:p>
        </w:tc>
        <w:tc>
          <w:tcPr>
            <w:tcW w:w="1344" w:type="dxa"/>
            <w:vAlign w:val="center"/>
          </w:tcPr>
          <w:p w14:paraId="172CBBC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AI-2601001</w:t>
            </w:r>
          </w:p>
        </w:tc>
        <w:tc>
          <w:tcPr>
            <w:tcW w:w="5256" w:type="dxa"/>
            <w:vAlign w:val="center"/>
          </w:tcPr>
          <w:p w14:paraId="50C5B1B9">
            <w:pPr>
              <w:widowControl/>
              <w:numPr>
                <w:ilvl w:val="0"/>
                <w:numId w:val="0"/>
              </w:numPr>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1、暂停在QC-1-2-067上检测LN各标准中的残留溶剂项目。</w:t>
            </w:r>
          </w:p>
          <w:p w14:paraId="6480114A">
            <w:pPr>
              <w:widowControl/>
              <w:numPr>
                <w:ilvl w:val="0"/>
                <w:numId w:val="0"/>
              </w:numPr>
              <w:jc w:val="left"/>
              <w:rPr>
                <w:rFonts w:hint="default" w:ascii="Times New Roman" w:hAnsi="Times New Roman" w:eastAsia="宋体" w:cs="Times New Roman"/>
                <w:lang w:val="en-US" w:eastAsia="zh-CN"/>
              </w:rPr>
            </w:pPr>
            <w:r>
              <w:rPr>
                <w:rFonts w:hint="default" w:ascii="Times New Roman" w:hAnsi="Times New Roman" w:eastAsia="宋体" w:cs="Times New Roman"/>
                <w:kern w:val="0"/>
                <w:sz w:val="20"/>
                <w:szCs w:val="20"/>
                <w:lang w:val="en-US" w:eastAsia="zh-CN" w:bidi="ar"/>
              </w:rPr>
              <w:t>2、变更LN成品检验文件（涉及残留溶剂项目的）中残留溶剂项下GC循环时间，由7.0min变更为10.0min，文件批准后对相关人员进行培训。文件生效后恢复QC-1-2-067上检测LN各标准残留溶剂项目。</w:t>
            </w:r>
          </w:p>
        </w:tc>
        <w:tc>
          <w:tcPr>
            <w:tcW w:w="948" w:type="dxa"/>
            <w:vAlign w:val="center"/>
          </w:tcPr>
          <w:p w14:paraId="26CCD84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A39E28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2026.03.17</w:t>
            </w:r>
          </w:p>
        </w:tc>
        <w:tc>
          <w:tcPr>
            <w:tcW w:w="964" w:type="dxa"/>
            <w:vAlign w:val="center"/>
          </w:tcPr>
          <w:p w14:paraId="7DC62B4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杨小芹2026.03.17</w:t>
            </w:r>
          </w:p>
        </w:tc>
      </w:tr>
      <w:tr w14:paraId="6158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F60E1F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bookmarkStart w:id="0" w:name="OLE_LINK3"/>
            <w:r>
              <w:rPr>
                <w:rFonts w:hint="default" w:ascii="Times New Roman" w:hAnsi="Times New Roman" w:eastAsia="宋体" w:cs="Times New Roman"/>
                <w:sz w:val="21"/>
                <w:szCs w:val="21"/>
                <w:lang w:val="en-US" w:eastAsia="zh-CN"/>
              </w:rPr>
              <w:t>CAPA-SI2601002</w:t>
            </w:r>
            <w:bookmarkEnd w:id="0"/>
          </w:p>
        </w:tc>
        <w:tc>
          <w:tcPr>
            <w:tcW w:w="1176" w:type="dxa"/>
            <w:vAlign w:val="center"/>
          </w:tcPr>
          <w:p w14:paraId="44DB722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2026.01.05</w:t>
            </w:r>
          </w:p>
        </w:tc>
        <w:tc>
          <w:tcPr>
            <w:tcW w:w="1104" w:type="dxa"/>
            <w:vAlign w:val="center"/>
          </w:tcPr>
          <w:p w14:paraId="2683936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生产管理部</w:t>
            </w:r>
          </w:p>
        </w:tc>
        <w:tc>
          <w:tcPr>
            <w:tcW w:w="1188" w:type="dxa"/>
            <w:vAlign w:val="center"/>
          </w:tcPr>
          <w:p w14:paraId="378C931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5CFA80D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SI-2504</w:t>
            </w:r>
          </w:p>
        </w:tc>
        <w:tc>
          <w:tcPr>
            <w:tcW w:w="5256" w:type="dxa"/>
            <w:vAlign w:val="center"/>
          </w:tcPr>
          <w:p w14:paraId="2F0972DA">
            <w:pPr>
              <w:keepNext w:val="0"/>
              <w:keepLines w:val="0"/>
              <w:pageBreakBefore w:val="0"/>
              <w:numPr>
                <w:ilvl w:val="0"/>
                <w:numId w:val="16"/>
              </w:numPr>
              <w:kinsoku/>
              <w:wordWrap/>
              <w:overflowPunct/>
              <w:topLinePunct w:val="0"/>
              <w:autoSpaceDE/>
              <w:autoSpaceDN/>
              <w:bidi w:val="0"/>
              <w:adjustRightInd/>
              <w:snapToGrid/>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对生产管理部仓库全员进行《虫害控制管理程序》(SMP-HR-006/09)进行培训。</w:t>
            </w:r>
          </w:p>
          <w:p w14:paraId="0E24590B">
            <w:pPr>
              <w:pStyle w:val="2"/>
              <w:numPr>
                <w:ilvl w:val="0"/>
                <w:numId w:val="16"/>
              </w:num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对生产管理部仓库全员进行《数据完整性相关文件或法规》培训。</w:t>
            </w:r>
          </w:p>
          <w:p w14:paraId="52D535B4">
            <w:pPr>
              <w:numPr>
                <w:ilvl w:val="0"/>
                <w:numId w:val="16"/>
              </w:num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修订生产管理部《生产管理部虫害控制标准操作规程》（SOP-PM-114/13）及《危险品库标准管理程序》（SMP-PM-104/01）,对各虫害控制设施点位重新进行编号，将编号顺延使每个虫害控制点位编号无重复，并对修订后的文件进行仓库全员培训。</w:t>
            </w:r>
          </w:p>
          <w:p w14:paraId="201362F3">
            <w:pPr>
              <w:pStyle w:val="2"/>
              <w:ind w:left="0" w:leftChars="0" w:firstLine="0" w:firstLineChars="0"/>
              <w:rPr>
                <w:rFonts w:hint="default" w:ascii="Times New Roman" w:hAnsi="Times New Roman" w:eastAsia="宋体" w:cs="Times New Roman"/>
                <w:lang w:val="en-US" w:eastAsia="zh-CN"/>
              </w:rPr>
            </w:pPr>
            <w:bookmarkStart w:id="1" w:name="OLE_LINK2"/>
            <w:r>
              <w:rPr>
                <w:rFonts w:hint="default" w:ascii="Times New Roman" w:hAnsi="Times New Roman" w:eastAsia="宋体" w:cs="Times New Roman"/>
                <w:lang w:val="en-US" w:eastAsia="zh-CN"/>
              </w:rPr>
              <w:t>4、排查全厂涉及虫害控制的部门是否有出现虫害控制点位编号重复的问题，如有则修订对应文件。</w:t>
            </w:r>
            <w:bookmarkEnd w:id="1"/>
          </w:p>
        </w:tc>
        <w:tc>
          <w:tcPr>
            <w:tcW w:w="948" w:type="dxa"/>
            <w:vAlign w:val="center"/>
          </w:tcPr>
          <w:p w14:paraId="05716A1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D0AAB7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2026.02.27</w:t>
            </w:r>
          </w:p>
        </w:tc>
        <w:tc>
          <w:tcPr>
            <w:tcW w:w="964" w:type="dxa"/>
            <w:vAlign w:val="center"/>
          </w:tcPr>
          <w:p w14:paraId="2791354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杨小芹2026.02.27</w:t>
            </w:r>
          </w:p>
        </w:tc>
      </w:tr>
      <w:tr w14:paraId="1617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7D953FA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bookmarkStart w:id="2" w:name="OLE_LINK4"/>
            <w:r>
              <w:rPr>
                <w:rFonts w:hint="default" w:ascii="Times New Roman" w:hAnsi="Times New Roman" w:eastAsia="宋体" w:cs="Times New Roman"/>
                <w:sz w:val="21"/>
                <w:szCs w:val="21"/>
                <w:lang w:val="en-US" w:eastAsia="zh-CN"/>
              </w:rPr>
              <w:t>CAPA-SI2601003</w:t>
            </w:r>
            <w:bookmarkEnd w:id="2"/>
          </w:p>
        </w:tc>
        <w:tc>
          <w:tcPr>
            <w:tcW w:w="1176" w:type="dxa"/>
            <w:vAlign w:val="center"/>
          </w:tcPr>
          <w:p w14:paraId="65AAA74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2026.01.05</w:t>
            </w:r>
          </w:p>
        </w:tc>
        <w:tc>
          <w:tcPr>
            <w:tcW w:w="1104" w:type="dxa"/>
            <w:vAlign w:val="center"/>
          </w:tcPr>
          <w:p w14:paraId="7CAB4E6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生产管理部</w:t>
            </w:r>
          </w:p>
        </w:tc>
        <w:tc>
          <w:tcPr>
            <w:tcW w:w="1188" w:type="dxa"/>
            <w:vAlign w:val="center"/>
          </w:tcPr>
          <w:p w14:paraId="5589882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17AD625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SI-2504</w:t>
            </w:r>
          </w:p>
        </w:tc>
        <w:tc>
          <w:tcPr>
            <w:tcW w:w="5256" w:type="dxa"/>
            <w:vAlign w:val="center"/>
          </w:tcPr>
          <w:p w14:paraId="3FF18538">
            <w:pPr>
              <w:keepNext w:val="0"/>
              <w:keepLines w:val="0"/>
              <w:pageBreakBefore w:val="0"/>
              <w:numPr>
                <w:ilvl w:val="0"/>
                <w:numId w:val="17"/>
              </w:numPr>
              <w:kinsoku/>
              <w:wordWrap/>
              <w:overflowPunct/>
              <w:topLinePunct w:val="0"/>
              <w:autoSpaceDE/>
              <w:autoSpaceDN/>
              <w:bidi w:val="0"/>
              <w:adjustRightInd/>
              <w:snapToGrid/>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对生产管理部仓库全员进行《数据完整性相关文件或法规》及《生产管理部虫害控制标准操作规程》（SOP-PM-114/13）培训。</w:t>
            </w:r>
          </w:p>
          <w:p w14:paraId="126904A9">
            <w:pPr>
              <w:pStyle w:val="2"/>
              <w:numPr>
                <w:ilvl w:val="0"/>
                <w:numId w:val="0"/>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2、排查全厂涉及虫害控制的部门是否有出现一份记录涉及多个虫害控制点状态的问题，如有则修订对应文件。</w:t>
            </w:r>
          </w:p>
        </w:tc>
        <w:tc>
          <w:tcPr>
            <w:tcW w:w="948" w:type="dxa"/>
            <w:vAlign w:val="center"/>
          </w:tcPr>
          <w:p w14:paraId="057A205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68D07C4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2026.06.01</w:t>
            </w:r>
          </w:p>
        </w:tc>
        <w:tc>
          <w:tcPr>
            <w:tcW w:w="964" w:type="dxa"/>
            <w:vAlign w:val="center"/>
          </w:tcPr>
          <w:p w14:paraId="6D75C7F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杨小芹2026.06.01</w:t>
            </w:r>
          </w:p>
        </w:tc>
      </w:tr>
      <w:tr w14:paraId="50DC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40692B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CAPA-SI2601004</w:t>
            </w:r>
          </w:p>
        </w:tc>
        <w:tc>
          <w:tcPr>
            <w:tcW w:w="1176" w:type="dxa"/>
            <w:vAlign w:val="center"/>
          </w:tcPr>
          <w:p w14:paraId="14AAA29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2026.01.05</w:t>
            </w:r>
          </w:p>
        </w:tc>
        <w:tc>
          <w:tcPr>
            <w:tcW w:w="1104" w:type="dxa"/>
            <w:vAlign w:val="center"/>
          </w:tcPr>
          <w:p w14:paraId="6EDF409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设备动力部</w:t>
            </w:r>
          </w:p>
        </w:tc>
        <w:tc>
          <w:tcPr>
            <w:tcW w:w="1188" w:type="dxa"/>
            <w:vAlign w:val="center"/>
          </w:tcPr>
          <w:p w14:paraId="068FED9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16C3083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sz w:val="21"/>
                <w:szCs w:val="21"/>
                <w:lang w:val="en-US" w:eastAsia="zh-CN"/>
              </w:rPr>
              <w:t>SI-2504</w:t>
            </w:r>
          </w:p>
        </w:tc>
        <w:tc>
          <w:tcPr>
            <w:tcW w:w="5256" w:type="dxa"/>
            <w:vAlign w:val="center"/>
          </w:tcPr>
          <w:p w14:paraId="2E971191">
            <w:pPr>
              <w:keepNext w:val="0"/>
              <w:keepLines w:val="0"/>
              <w:pageBreakBefore w:val="0"/>
              <w:kinsoku/>
              <w:wordWrap/>
              <w:overflowPunct/>
              <w:topLinePunct w:val="0"/>
              <w:autoSpaceDE/>
              <w:autoSpaceDN/>
              <w:bidi w:val="0"/>
              <w:adjustRightInd/>
              <w:snapToGrid/>
              <w:jc w:val="left"/>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1、修订文件《计量器具管理程序》（SMP-EE-400/07），在《计量器具检定周期一览表》中添加“洁净工作台（高效检漏）每半年检测一次”的相关规定，并对相关人员进行培训。</w:t>
            </w:r>
          </w:p>
        </w:tc>
        <w:tc>
          <w:tcPr>
            <w:tcW w:w="948" w:type="dxa"/>
            <w:vAlign w:val="center"/>
          </w:tcPr>
          <w:p w14:paraId="66F20EA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4D8AFBC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2026.02.10</w:t>
            </w:r>
          </w:p>
        </w:tc>
        <w:tc>
          <w:tcPr>
            <w:tcW w:w="964" w:type="dxa"/>
            <w:vAlign w:val="center"/>
          </w:tcPr>
          <w:p w14:paraId="30077AA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杨小芹2026.02.10</w:t>
            </w:r>
          </w:p>
        </w:tc>
      </w:tr>
      <w:tr w14:paraId="527C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A262A1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CAPA-SI2601005</w:t>
            </w:r>
          </w:p>
        </w:tc>
        <w:tc>
          <w:tcPr>
            <w:tcW w:w="1176" w:type="dxa"/>
            <w:vAlign w:val="center"/>
          </w:tcPr>
          <w:p w14:paraId="7D79590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2026.01.05</w:t>
            </w:r>
          </w:p>
        </w:tc>
        <w:tc>
          <w:tcPr>
            <w:tcW w:w="1104" w:type="dxa"/>
            <w:vAlign w:val="center"/>
          </w:tcPr>
          <w:p w14:paraId="17B7838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31CD0A9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1C2E132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SI-2504</w:t>
            </w:r>
          </w:p>
        </w:tc>
        <w:tc>
          <w:tcPr>
            <w:tcW w:w="5256" w:type="dxa"/>
            <w:vAlign w:val="center"/>
          </w:tcPr>
          <w:p w14:paraId="4F959415">
            <w:pPr>
              <w:keepNext w:val="0"/>
              <w:keepLines w:val="0"/>
              <w:pageBreakBefore w:val="0"/>
              <w:kinsoku/>
              <w:wordWrap/>
              <w:overflowPunct/>
              <w:topLinePunct w:val="0"/>
              <w:autoSpaceDE/>
              <w:autoSpaceDN/>
              <w:bidi w:val="0"/>
              <w:adjustRightInd/>
              <w:snapToGrid/>
              <w:jc w:val="left"/>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1、修订《自动旋光仪校验操作规程》（SOP-QC-109/05）增加自动旋光仪（SWG-531）内部年度校准的相关要求，并对相关人员进行培训。</w:t>
            </w:r>
          </w:p>
        </w:tc>
        <w:tc>
          <w:tcPr>
            <w:tcW w:w="948" w:type="dxa"/>
            <w:vAlign w:val="center"/>
          </w:tcPr>
          <w:p w14:paraId="30237BF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FCCD3B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2026.02.02</w:t>
            </w:r>
          </w:p>
        </w:tc>
        <w:tc>
          <w:tcPr>
            <w:tcW w:w="964" w:type="dxa"/>
            <w:vAlign w:val="center"/>
          </w:tcPr>
          <w:p w14:paraId="121F632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杨小芹2026.02.02</w:t>
            </w:r>
          </w:p>
        </w:tc>
      </w:tr>
      <w:tr w14:paraId="55CE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7BBBD8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CAPA-SI2601006</w:t>
            </w:r>
          </w:p>
        </w:tc>
        <w:tc>
          <w:tcPr>
            <w:tcW w:w="1176" w:type="dxa"/>
            <w:vAlign w:val="center"/>
          </w:tcPr>
          <w:p w14:paraId="492EBF0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2026.01.05</w:t>
            </w:r>
          </w:p>
        </w:tc>
        <w:tc>
          <w:tcPr>
            <w:tcW w:w="1104" w:type="dxa"/>
            <w:vAlign w:val="center"/>
          </w:tcPr>
          <w:p w14:paraId="0C764A0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101一车间</w:t>
            </w:r>
          </w:p>
        </w:tc>
        <w:tc>
          <w:tcPr>
            <w:tcW w:w="1188" w:type="dxa"/>
            <w:vAlign w:val="center"/>
          </w:tcPr>
          <w:p w14:paraId="0D9C55F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76B5026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SI-2504</w:t>
            </w:r>
          </w:p>
        </w:tc>
        <w:tc>
          <w:tcPr>
            <w:tcW w:w="5256" w:type="dxa"/>
            <w:vAlign w:val="center"/>
          </w:tcPr>
          <w:p w14:paraId="226A294B">
            <w:pPr>
              <w:keepNext w:val="0"/>
              <w:keepLines w:val="0"/>
              <w:pageBreakBefore w:val="0"/>
              <w:kinsoku/>
              <w:wordWrap/>
              <w:overflowPunct/>
              <w:topLinePunct w:val="0"/>
              <w:autoSpaceDE/>
              <w:autoSpaceDN/>
              <w:bidi w:val="0"/>
              <w:adjustRightInd/>
              <w:snapToGrid/>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1、101一车间电子天平（SC-3-1-001、SC-3-1-005、SC-3-1-013）在需修订文件生效前，每天首次使用前校准时，操作人员需在记录中补充填写砝码的检定值。</w:t>
            </w:r>
          </w:p>
          <w:p w14:paraId="5EF3D98E">
            <w:pPr>
              <w:pStyle w:val="2"/>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2、组织排查全厂使用电子天平的部门，核查其校准记录中是否记录标准砝码的检定值，若无，则需修订文件并增加标准砝码检定值的记录。</w:t>
            </w:r>
          </w:p>
          <w:p w14:paraId="542F3EDC">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3、修订《6L602-L电子天平操作维护保养规程》（SOP-SC-009/06）和《LT10001A电子天平操作维护保养规程》（SOP-SC-030/06）在对应的校准记录中增加砝码检定值填写位置，并对相关人员进行修订后文件的培训。</w:t>
            </w:r>
          </w:p>
          <w:p w14:paraId="65E5830C">
            <w:pPr>
              <w:numPr>
                <w:ilvl w:val="0"/>
                <w:numId w:val="0"/>
              </w:numPr>
              <w:ind w:leftChars="0"/>
              <w:rPr>
                <w:rFonts w:hint="default" w:ascii="Times New Roman" w:hAnsi="Times New Roman" w:eastAsia="宋体" w:cs="Times New Roman"/>
                <w:lang w:val="en-US" w:eastAsia="zh-CN"/>
              </w:rPr>
            </w:pPr>
          </w:p>
        </w:tc>
        <w:tc>
          <w:tcPr>
            <w:tcW w:w="948" w:type="dxa"/>
            <w:vAlign w:val="center"/>
          </w:tcPr>
          <w:p w14:paraId="6A88A79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DD8DBF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2026.02.12</w:t>
            </w:r>
          </w:p>
        </w:tc>
        <w:tc>
          <w:tcPr>
            <w:tcW w:w="964" w:type="dxa"/>
            <w:vAlign w:val="center"/>
          </w:tcPr>
          <w:p w14:paraId="5A8CADE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杨小芹2026.02.12</w:t>
            </w:r>
          </w:p>
        </w:tc>
      </w:tr>
      <w:tr w14:paraId="7BC1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CAB60D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CAPA-PC2601007</w:t>
            </w:r>
          </w:p>
        </w:tc>
        <w:tc>
          <w:tcPr>
            <w:tcW w:w="1176" w:type="dxa"/>
            <w:vAlign w:val="center"/>
          </w:tcPr>
          <w:p w14:paraId="0580C8F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2026.01.28</w:t>
            </w:r>
          </w:p>
        </w:tc>
        <w:tc>
          <w:tcPr>
            <w:tcW w:w="1104" w:type="dxa"/>
            <w:vAlign w:val="center"/>
          </w:tcPr>
          <w:p w14:paraId="2FBAF43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0B9BBF8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盐酸林可霉素</w:t>
            </w:r>
          </w:p>
        </w:tc>
        <w:tc>
          <w:tcPr>
            <w:tcW w:w="1344" w:type="dxa"/>
            <w:vAlign w:val="center"/>
          </w:tcPr>
          <w:p w14:paraId="2461640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PC-2601001</w:t>
            </w:r>
          </w:p>
        </w:tc>
        <w:tc>
          <w:tcPr>
            <w:tcW w:w="5256" w:type="dxa"/>
            <w:vAlign w:val="center"/>
          </w:tcPr>
          <w:p w14:paraId="01C9BA33">
            <w:pPr>
              <w:widowControl/>
              <w:numPr>
                <w:ilvl w:val="0"/>
                <w:numId w:val="18"/>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对该序列涉及批次进行复测。</w:t>
            </w:r>
          </w:p>
          <w:p w14:paraId="71622B4F">
            <w:pPr>
              <w:widowControl/>
              <w:numPr>
                <w:ilvl w:val="0"/>
                <w:numId w:val="18"/>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对仪器组全员培训《盐酸林可霉素（LN）成品检验标准操作规程（兽药）》（SOP-QC(LN)-101/15）残留溶剂项目，重点培训稀释剂的使用及配制。</w:t>
            </w:r>
          </w:p>
          <w:p w14:paraId="1BD275A6">
            <w:pPr>
              <w:widowControl/>
              <w:numPr>
                <w:ilvl w:val="0"/>
                <w:numId w:val="18"/>
              </w:numPr>
              <w:ind w:left="0" w:leftChars="0" w:firstLine="0" w:firstLine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修订《盐酸林可霉素（LN）成品检验标准操作规程（兽药）》（SOP-QC（LN）-101/15），在残留溶剂检验记录下增加10%N,N-二甲基甲酰胺溶液稀释剂的体积、浓度填写项。文件批准后对仪器组全员进行培训。</w:t>
            </w:r>
          </w:p>
          <w:p w14:paraId="56818957">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kern w:val="0"/>
                <w:sz w:val="20"/>
                <w:szCs w:val="20"/>
                <w:lang w:val="en-US" w:eastAsia="zh-CN" w:bidi="ar"/>
              </w:rPr>
              <w:t>4、修订《检验管理程序》（SMP-QC-012/20）明确要求容器必须标注具体试液名称。文件批准后对QC仪器组全员培训。</w:t>
            </w:r>
          </w:p>
        </w:tc>
        <w:tc>
          <w:tcPr>
            <w:tcW w:w="948" w:type="dxa"/>
            <w:vAlign w:val="center"/>
          </w:tcPr>
          <w:p w14:paraId="26F7FD8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74D3DE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2026.06.05</w:t>
            </w:r>
          </w:p>
        </w:tc>
        <w:tc>
          <w:tcPr>
            <w:tcW w:w="964" w:type="dxa"/>
            <w:vAlign w:val="center"/>
          </w:tcPr>
          <w:p w14:paraId="00F3FE1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杨小芹2026.06.05</w:t>
            </w:r>
          </w:p>
        </w:tc>
      </w:tr>
      <w:tr w14:paraId="6485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7F6B268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CAPA-EI2602001</w:t>
            </w:r>
          </w:p>
        </w:tc>
        <w:tc>
          <w:tcPr>
            <w:tcW w:w="1176" w:type="dxa"/>
            <w:vAlign w:val="center"/>
          </w:tcPr>
          <w:p w14:paraId="64D032D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2026.02.04</w:t>
            </w:r>
          </w:p>
        </w:tc>
        <w:tc>
          <w:tcPr>
            <w:tcW w:w="1104" w:type="dxa"/>
            <w:vAlign w:val="center"/>
          </w:tcPr>
          <w:p w14:paraId="7227356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153F16A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29CEB40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5256" w:type="dxa"/>
            <w:vAlign w:val="center"/>
          </w:tcPr>
          <w:p w14:paraId="659EF9A5">
            <w:pPr>
              <w:numPr>
                <w:ilvl w:val="0"/>
                <w:numId w:val="19"/>
              </w:numPr>
              <w:ind w:leftChars="0"/>
              <w:rPr>
                <w:rFonts w:hint="default" w:ascii="Times New Roman" w:hAnsi="Times New Roman" w:eastAsia="宋体" w:cs="Times New Roman"/>
                <w:lang w:val="en-US" w:eastAsia="zh-CN"/>
              </w:rPr>
            </w:pPr>
            <w:bookmarkStart w:id="3" w:name="OLE_LINK1"/>
            <w:r>
              <w:rPr>
                <w:rFonts w:hint="default" w:ascii="Times New Roman" w:hAnsi="Times New Roman" w:eastAsia="宋体" w:cs="Times New Roman"/>
                <w:lang w:val="en-US" w:eastAsia="zh-CN"/>
              </w:rPr>
              <w:t>排查QC实验室用于仪器校验的其他试剂是否存在同样的问题，根据排查结果，针对无COA的试剂，立即向厂家索要COA。</w:t>
            </w:r>
          </w:p>
          <w:p w14:paraId="51E0975F">
            <w:pPr>
              <w:pStyle w:val="2"/>
              <w:numPr>
                <w:ilvl w:val="0"/>
                <w:numId w:val="19"/>
              </w:num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在《检验用化学试剂、试液管理程序》（SMP-QC-009/10）文件中增加：对于检验用试剂，在验收时向供应商索要对应批次的电子版COA，确认其检验合格后方可入库，并将COA打印签字保存。</w:t>
            </w:r>
          </w:p>
          <w:p w14:paraId="192B0636">
            <w:pPr>
              <w:numPr>
                <w:ilvl w:val="0"/>
                <w:numId w:val="19"/>
              </w:num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文件生效前对相关人员完成培训。</w:t>
            </w:r>
            <w:bookmarkEnd w:id="3"/>
          </w:p>
        </w:tc>
        <w:tc>
          <w:tcPr>
            <w:tcW w:w="948" w:type="dxa"/>
            <w:vAlign w:val="center"/>
          </w:tcPr>
          <w:p w14:paraId="2972338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3DC3780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2026.03.09</w:t>
            </w:r>
          </w:p>
        </w:tc>
        <w:tc>
          <w:tcPr>
            <w:tcW w:w="964" w:type="dxa"/>
            <w:vAlign w:val="center"/>
          </w:tcPr>
          <w:p w14:paraId="62E8AE1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杨小芹2026.03.09</w:t>
            </w:r>
          </w:p>
        </w:tc>
      </w:tr>
      <w:tr w14:paraId="75D7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5A84CC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CAPA-EL2602002</w:t>
            </w:r>
          </w:p>
        </w:tc>
        <w:tc>
          <w:tcPr>
            <w:tcW w:w="1176" w:type="dxa"/>
            <w:vAlign w:val="center"/>
          </w:tcPr>
          <w:p w14:paraId="3DD0468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2026.02.09</w:t>
            </w:r>
          </w:p>
        </w:tc>
        <w:tc>
          <w:tcPr>
            <w:tcW w:w="1104" w:type="dxa"/>
            <w:vAlign w:val="center"/>
          </w:tcPr>
          <w:p w14:paraId="49F528D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32041E7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151A9A8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AI-2602002</w:t>
            </w:r>
          </w:p>
        </w:tc>
        <w:tc>
          <w:tcPr>
            <w:tcW w:w="5256" w:type="dxa"/>
            <w:vAlign w:val="center"/>
          </w:tcPr>
          <w:p w14:paraId="4774D2A1">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1、使用高效液相色谱仪QC-1-2-060对序列所涉及的样品进行原液复测。</w:t>
            </w:r>
          </w:p>
          <w:p w14:paraId="69009E52">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2、对高效液相色谱仪QC-1-2-062进行进样器重复性、线性和准确度测试。</w:t>
            </w:r>
          </w:p>
          <w:p w14:paraId="0A4B2D29">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3、在放置液相进样瓶的位置张贴标识并对QC相关人员培训标识内容,具体如下:使用液相进样瓶前应检查液相进样瓶有无倾斜、破损，出现上述情况直接丢弃。</w:t>
            </w:r>
          </w:p>
        </w:tc>
        <w:tc>
          <w:tcPr>
            <w:tcW w:w="948" w:type="dxa"/>
            <w:vAlign w:val="center"/>
          </w:tcPr>
          <w:p w14:paraId="715D402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05FE4EE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2026.03.13</w:t>
            </w:r>
          </w:p>
        </w:tc>
        <w:tc>
          <w:tcPr>
            <w:tcW w:w="964" w:type="dxa"/>
            <w:vAlign w:val="center"/>
          </w:tcPr>
          <w:p w14:paraId="79186C5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杨小芹2026.03.13</w:t>
            </w:r>
          </w:p>
        </w:tc>
      </w:tr>
      <w:tr w14:paraId="308C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CE8D01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CAPA-EL2602003</w:t>
            </w:r>
          </w:p>
        </w:tc>
        <w:tc>
          <w:tcPr>
            <w:tcW w:w="1176" w:type="dxa"/>
            <w:vAlign w:val="center"/>
          </w:tcPr>
          <w:p w14:paraId="021B5B2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2026.02.12</w:t>
            </w:r>
          </w:p>
        </w:tc>
        <w:tc>
          <w:tcPr>
            <w:tcW w:w="1104" w:type="dxa"/>
            <w:vAlign w:val="center"/>
          </w:tcPr>
          <w:p w14:paraId="77F568D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47542AB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盐酸林可霉素/LN-2601004、LN-2601006</w:t>
            </w:r>
          </w:p>
        </w:tc>
        <w:tc>
          <w:tcPr>
            <w:tcW w:w="1344" w:type="dxa"/>
            <w:vAlign w:val="center"/>
          </w:tcPr>
          <w:p w14:paraId="676A340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AI-2602003</w:t>
            </w:r>
          </w:p>
        </w:tc>
        <w:tc>
          <w:tcPr>
            <w:tcW w:w="5256" w:type="dxa"/>
            <w:vAlign w:val="center"/>
          </w:tcPr>
          <w:p w14:paraId="1B354BF7">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1、暂停使用高效液相色谱仪QC-1-2-055,更换该仪器流通池，更换后完成仪器基线噪声和基线漂移测试，测试合格后方可恢复使用。</w:t>
            </w:r>
          </w:p>
          <w:p w14:paraId="09D774C4">
            <w:pPr>
              <w:numPr>
                <w:ilvl w:val="0"/>
                <w:numId w:val="0"/>
              </w:numPr>
              <w:ind w:leftChars="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2、修订《QC检测仪器使用注意事项》（APP1-SMP-QC-025）(ZYSX-001)增加反向冲洗及注意事项。文件批准后对QC相关人员进行培训。</w:t>
            </w:r>
          </w:p>
        </w:tc>
        <w:tc>
          <w:tcPr>
            <w:tcW w:w="948" w:type="dxa"/>
            <w:vAlign w:val="center"/>
          </w:tcPr>
          <w:p w14:paraId="25CD855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3E9DF2B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2026.03.19</w:t>
            </w:r>
          </w:p>
        </w:tc>
        <w:tc>
          <w:tcPr>
            <w:tcW w:w="964" w:type="dxa"/>
            <w:vAlign w:val="center"/>
          </w:tcPr>
          <w:p w14:paraId="04D7CB0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杨小芹2026.03.19</w:t>
            </w:r>
          </w:p>
        </w:tc>
      </w:tr>
      <w:tr w14:paraId="4478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F4AF9D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CAPA-PC2602004</w:t>
            </w:r>
          </w:p>
        </w:tc>
        <w:tc>
          <w:tcPr>
            <w:tcW w:w="1176" w:type="dxa"/>
            <w:vAlign w:val="center"/>
          </w:tcPr>
          <w:p w14:paraId="41F5847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2026.02.12</w:t>
            </w:r>
          </w:p>
        </w:tc>
        <w:tc>
          <w:tcPr>
            <w:tcW w:w="1104" w:type="dxa"/>
            <w:vAlign w:val="center"/>
          </w:tcPr>
          <w:p w14:paraId="71206E6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102二车间</w:t>
            </w:r>
          </w:p>
        </w:tc>
        <w:tc>
          <w:tcPr>
            <w:tcW w:w="1188" w:type="dxa"/>
            <w:vAlign w:val="center"/>
          </w:tcPr>
          <w:p w14:paraId="1B0529F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2%氟苯尼考预混剂/FL-2602003</w:t>
            </w:r>
          </w:p>
        </w:tc>
        <w:tc>
          <w:tcPr>
            <w:tcW w:w="1344" w:type="dxa"/>
            <w:vAlign w:val="center"/>
          </w:tcPr>
          <w:p w14:paraId="7816DFD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PC-2602001</w:t>
            </w:r>
          </w:p>
        </w:tc>
        <w:tc>
          <w:tcPr>
            <w:tcW w:w="5256" w:type="dxa"/>
            <w:vAlign w:val="center"/>
          </w:tcPr>
          <w:p w14:paraId="60C72440">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1、起草二维码扫码器标准操作规程，规定每个托盘入库扫描数据需单独生成数据文件相关内容。</w:t>
            </w:r>
          </w:p>
          <w:p w14:paraId="76CE44B2">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2、文件批准后、生效前对相关人员进行培训。</w:t>
            </w:r>
          </w:p>
          <w:p w14:paraId="5901C933">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3、对FL-2602003批次重新进行扫码。</w:t>
            </w:r>
          </w:p>
        </w:tc>
        <w:tc>
          <w:tcPr>
            <w:tcW w:w="948" w:type="dxa"/>
            <w:vAlign w:val="center"/>
          </w:tcPr>
          <w:p w14:paraId="760C346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4539BCF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2026.03.04</w:t>
            </w:r>
          </w:p>
        </w:tc>
        <w:tc>
          <w:tcPr>
            <w:tcW w:w="964" w:type="dxa"/>
            <w:vAlign w:val="center"/>
          </w:tcPr>
          <w:p w14:paraId="465C3DF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杨小芹2026.03.04</w:t>
            </w:r>
          </w:p>
        </w:tc>
      </w:tr>
      <w:tr w14:paraId="20BC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A68B8D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CAPA-PC2603001</w:t>
            </w:r>
          </w:p>
        </w:tc>
        <w:tc>
          <w:tcPr>
            <w:tcW w:w="1176" w:type="dxa"/>
            <w:vAlign w:val="center"/>
          </w:tcPr>
          <w:p w14:paraId="2FEBD41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2026.03.02</w:t>
            </w:r>
          </w:p>
        </w:tc>
        <w:tc>
          <w:tcPr>
            <w:tcW w:w="1104" w:type="dxa"/>
            <w:vAlign w:val="center"/>
          </w:tcPr>
          <w:p w14:paraId="5361CFE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101二车间</w:t>
            </w:r>
          </w:p>
        </w:tc>
        <w:tc>
          <w:tcPr>
            <w:tcW w:w="1188" w:type="dxa"/>
            <w:vAlign w:val="center"/>
          </w:tcPr>
          <w:p w14:paraId="527B1FE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kern w:val="0"/>
                <w:sz w:val="20"/>
                <w:szCs w:val="20"/>
                <w:lang w:val="en-US" w:eastAsia="zh-CN" w:bidi="ar"/>
              </w:rPr>
            </w:pPr>
          </w:p>
          <w:p w14:paraId="20226F0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盐酸林可霉素/</w:t>
            </w:r>
          </w:p>
          <w:p w14:paraId="01F34AB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kern w:val="0"/>
                <w:sz w:val="20"/>
                <w:szCs w:val="20"/>
                <w:lang w:val="en-US" w:eastAsia="zh-CN" w:bidi="ar"/>
              </w:rPr>
              <w:t>LN-2602006</w:t>
            </w:r>
          </w:p>
        </w:tc>
        <w:tc>
          <w:tcPr>
            <w:tcW w:w="1344" w:type="dxa"/>
            <w:vAlign w:val="center"/>
          </w:tcPr>
          <w:p w14:paraId="3CBAE33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PC-2603001</w:t>
            </w:r>
          </w:p>
        </w:tc>
        <w:tc>
          <w:tcPr>
            <w:tcW w:w="5256" w:type="dxa"/>
            <w:vAlign w:val="center"/>
          </w:tcPr>
          <w:p w14:paraId="4FA0C55D">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生产管理程序》（SMP-PM-004/10）在文件中规定：除按文件规定执行的物料、中间体、成品及验证过程样品的请检外，如需发起额外请检须填写《生产过程临时请检申请表》（QR1-SMP-PM-004），经QA负责人批准后，填写《样品请检单》（QR4-SMP-QC-011）此类样品需按特殊样品进行请检。</w:t>
            </w:r>
          </w:p>
          <w:p w14:paraId="15BC71A4">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2、对2026.03.01日请检的请检单进行归档处理。</w:t>
            </w:r>
          </w:p>
        </w:tc>
        <w:tc>
          <w:tcPr>
            <w:tcW w:w="948" w:type="dxa"/>
            <w:vAlign w:val="center"/>
          </w:tcPr>
          <w:p w14:paraId="0D3BFE0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有效</w:t>
            </w:r>
          </w:p>
        </w:tc>
        <w:tc>
          <w:tcPr>
            <w:tcW w:w="1027" w:type="dxa"/>
            <w:vAlign w:val="center"/>
          </w:tcPr>
          <w:p w14:paraId="2E31B15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2026.04.03</w:t>
            </w:r>
          </w:p>
        </w:tc>
        <w:tc>
          <w:tcPr>
            <w:tcW w:w="964" w:type="dxa"/>
            <w:vAlign w:val="center"/>
          </w:tcPr>
          <w:p w14:paraId="6C65E0E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杨小芹2026.04.03</w:t>
            </w:r>
          </w:p>
        </w:tc>
      </w:tr>
      <w:tr w14:paraId="005D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FDF592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CAPA-PC2603002</w:t>
            </w:r>
          </w:p>
        </w:tc>
        <w:tc>
          <w:tcPr>
            <w:tcW w:w="1176" w:type="dxa"/>
            <w:vAlign w:val="center"/>
          </w:tcPr>
          <w:p w14:paraId="212559A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2026.03.06</w:t>
            </w:r>
          </w:p>
        </w:tc>
        <w:tc>
          <w:tcPr>
            <w:tcW w:w="1104" w:type="dxa"/>
            <w:vAlign w:val="center"/>
          </w:tcPr>
          <w:p w14:paraId="0CAAEC8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0C5F89F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558684A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PC-2603002</w:t>
            </w:r>
          </w:p>
        </w:tc>
        <w:tc>
          <w:tcPr>
            <w:tcW w:w="5256" w:type="dxa"/>
            <w:vAlign w:val="center"/>
          </w:tcPr>
          <w:p w14:paraId="07131886">
            <w:pPr>
              <w:widowControl/>
              <w:numPr>
                <w:ilvl w:val="0"/>
                <w:numId w:val="20"/>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对“FID检测器线性和进样器残留”及“ALS进样重复性测试”校验项目进行复测。</w:t>
            </w:r>
          </w:p>
          <w:p w14:paraId="23532B0C">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kern w:val="0"/>
                <w:sz w:val="20"/>
                <w:szCs w:val="20"/>
                <w:lang w:val="en-US" w:eastAsia="zh-CN" w:bidi="ar"/>
              </w:rPr>
              <w:t>2、修订《QC检测仪器使用及维护保养管理程序》（SMP-QC-025/18）文件，在APP2-SMP-QC-025/18中明确规定气相色谱仪的维护应由设备管理员来执行，更换完注射器或进样针后应进行重复性测试。文件批准后对QC仪器组全员进行培训。</w:t>
            </w:r>
          </w:p>
        </w:tc>
        <w:tc>
          <w:tcPr>
            <w:tcW w:w="948" w:type="dxa"/>
            <w:vAlign w:val="center"/>
          </w:tcPr>
          <w:p w14:paraId="11C05A1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6566A17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2026.04.18</w:t>
            </w:r>
          </w:p>
        </w:tc>
        <w:tc>
          <w:tcPr>
            <w:tcW w:w="964" w:type="dxa"/>
            <w:vAlign w:val="center"/>
          </w:tcPr>
          <w:p w14:paraId="553D58F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杨小芹2026.04.18</w:t>
            </w:r>
          </w:p>
        </w:tc>
      </w:tr>
      <w:tr w14:paraId="57C8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737075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CAPA-OS2603003</w:t>
            </w:r>
          </w:p>
        </w:tc>
        <w:tc>
          <w:tcPr>
            <w:tcW w:w="1176" w:type="dxa"/>
            <w:vAlign w:val="center"/>
          </w:tcPr>
          <w:p w14:paraId="5908360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2026.03.06</w:t>
            </w:r>
          </w:p>
        </w:tc>
        <w:tc>
          <w:tcPr>
            <w:tcW w:w="1104" w:type="dxa"/>
            <w:vAlign w:val="center"/>
          </w:tcPr>
          <w:p w14:paraId="710FDEA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7E87ADC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盐酸林可霉素/LN-260305-J1碱化液</w:t>
            </w:r>
          </w:p>
        </w:tc>
        <w:tc>
          <w:tcPr>
            <w:tcW w:w="1344" w:type="dxa"/>
            <w:vAlign w:val="center"/>
          </w:tcPr>
          <w:p w14:paraId="22D127C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OOS260301</w:t>
            </w:r>
          </w:p>
        </w:tc>
        <w:tc>
          <w:tcPr>
            <w:tcW w:w="5256" w:type="dxa"/>
            <w:vAlign w:val="center"/>
          </w:tcPr>
          <w:p w14:paraId="6CD7AF4E">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对QC中控中心高效液相色谱仪（5台）进行为期一个月的跟踪，确认是否因仪器偶然波动导致结果异常的情况发生。</w:t>
            </w:r>
          </w:p>
        </w:tc>
        <w:tc>
          <w:tcPr>
            <w:tcW w:w="948" w:type="dxa"/>
            <w:vAlign w:val="center"/>
          </w:tcPr>
          <w:p w14:paraId="33CA59D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有效</w:t>
            </w:r>
          </w:p>
        </w:tc>
        <w:tc>
          <w:tcPr>
            <w:tcW w:w="1027" w:type="dxa"/>
            <w:vAlign w:val="center"/>
          </w:tcPr>
          <w:p w14:paraId="6D2F689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2026.04.08</w:t>
            </w:r>
          </w:p>
        </w:tc>
        <w:tc>
          <w:tcPr>
            <w:tcW w:w="964" w:type="dxa"/>
            <w:vAlign w:val="center"/>
          </w:tcPr>
          <w:p w14:paraId="45809A9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杨小芹2026.04.08</w:t>
            </w:r>
          </w:p>
        </w:tc>
      </w:tr>
      <w:tr w14:paraId="1BF0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852A5C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CAPA-PC2603004</w:t>
            </w:r>
          </w:p>
        </w:tc>
        <w:tc>
          <w:tcPr>
            <w:tcW w:w="1176" w:type="dxa"/>
            <w:vAlign w:val="center"/>
          </w:tcPr>
          <w:p w14:paraId="647B853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2026.03.08</w:t>
            </w:r>
          </w:p>
        </w:tc>
        <w:tc>
          <w:tcPr>
            <w:tcW w:w="1104" w:type="dxa"/>
            <w:vAlign w:val="center"/>
          </w:tcPr>
          <w:p w14:paraId="4C76DEE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QC</w:t>
            </w:r>
          </w:p>
        </w:tc>
        <w:tc>
          <w:tcPr>
            <w:tcW w:w="1188" w:type="dxa"/>
            <w:vAlign w:val="center"/>
          </w:tcPr>
          <w:p w14:paraId="4C9E084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3D06362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PC-2603003</w:t>
            </w:r>
          </w:p>
        </w:tc>
        <w:tc>
          <w:tcPr>
            <w:tcW w:w="5256" w:type="dxa"/>
            <w:vAlign w:val="center"/>
          </w:tcPr>
          <w:p w14:paraId="1ABFA867">
            <w:pPr>
              <w:widowControl/>
              <w:numPr>
                <w:ilvl w:val="0"/>
                <w:numId w:val="21"/>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对QC仪器组全员进行临时培训，内容为：在“FID检测器基线噪声和基线漂移”项目时，序列表中进样功能选择“进直接样品”。</w:t>
            </w:r>
          </w:p>
          <w:p w14:paraId="07CD9B55">
            <w:pPr>
              <w:widowControl/>
              <w:numPr>
                <w:ilvl w:val="0"/>
                <w:numId w:val="21"/>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培训合格后，由检验员周媛完成气相色谱仪QC-1-2-067“FID检测器基线噪声和基线漂移”校验项目的复测。</w:t>
            </w:r>
          </w:p>
          <w:p w14:paraId="08FD7D6E">
            <w:pPr>
              <w:widowControl/>
              <w:numPr>
                <w:ilvl w:val="0"/>
                <w:numId w:val="21"/>
              </w:numPr>
              <w:ind w:leftChars="0"/>
              <w:jc w:val="left"/>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修订《气相色谱仪校验标准操作规程》（SOP-QC-101/07）具体修订内容为：将进样功能由“样品进样”修订为“进直接样品”。文件批准后对QC相关人员进行培训。</w:t>
            </w:r>
          </w:p>
          <w:p w14:paraId="5E83D200">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kern w:val="0"/>
                <w:sz w:val="20"/>
                <w:szCs w:val="20"/>
                <w:lang w:val="en-US" w:eastAsia="zh-CN" w:bidi="ar"/>
              </w:rPr>
              <w:t>4、排查其他涉及仪器方法和序列进样体积的文件，确认参数是否一致，若不一致，则修订对应文件。</w:t>
            </w:r>
          </w:p>
        </w:tc>
        <w:tc>
          <w:tcPr>
            <w:tcW w:w="948" w:type="dxa"/>
            <w:vAlign w:val="center"/>
          </w:tcPr>
          <w:p w14:paraId="70159DB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684C792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2026.03.23</w:t>
            </w:r>
          </w:p>
        </w:tc>
        <w:tc>
          <w:tcPr>
            <w:tcW w:w="964" w:type="dxa"/>
            <w:vAlign w:val="center"/>
          </w:tcPr>
          <w:p w14:paraId="5221E0B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杨小芹2026.03.23</w:t>
            </w:r>
          </w:p>
        </w:tc>
      </w:tr>
      <w:tr w14:paraId="2B13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2623F3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CAPA-PC2604001</w:t>
            </w:r>
          </w:p>
        </w:tc>
        <w:tc>
          <w:tcPr>
            <w:tcW w:w="1176" w:type="dxa"/>
            <w:vAlign w:val="center"/>
          </w:tcPr>
          <w:p w14:paraId="199CC8C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2026.04.14</w:t>
            </w:r>
          </w:p>
        </w:tc>
        <w:tc>
          <w:tcPr>
            <w:tcW w:w="1104" w:type="dxa"/>
            <w:vAlign w:val="center"/>
          </w:tcPr>
          <w:p w14:paraId="50D4162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QC</w:t>
            </w:r>
          </w:p>
        </w:tc>
        <w:tc>
          <w:tcPr>
            <w:tcW w:w="1188" w:type="dxa"/>
            <w:shd w:val="clear" w:color="auto" w:fill="auto"/>
            <w:vAlign w:val="center"/>
          </w:tcPr>
          <w:p w14:paraId="222ED11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美伐他汀/USMV-A-2603001、USMV-A-2603002、USMV-A-2603003、USMV-A-2603004</w:t>
            </w:r>
          </w:p>
        </w:tc>
        <w:tc>
          <w:tcPr>
            <w:tcW w:w="1344" w:type="dxa"/>
            <w:vAlign w:val="center"/>
          </w:tcPr>
          <w:p w14:paraId="2718070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PC-2604001</w:t>
            </w:r>
          </w:p>
        </w:tc>
        <w:tc>
          <w:tcPr>
            <w:tcW w:w="5256" w:type="dxa"/>
            <w:vAlign w:val="center"/>
          </w:tcPr>
          <w:p w14:paraId="06E13B59">
            <w:pPr>
              <w:numPr>
                <w:ilvl w:val="0"/>
                <w:numId w:val="22"/>
              </w:numPr>
              <w:rPr>
                <w:rFonts w:hint="default" w:ascii="Times New Roman" w:hAnsi="Times New Roman" w:eastAsia="宋体" w:cs="Times New Roman"/>
              </w:rPr>
            </w:pPr>
            <w:r>
              <w:rPr>
                <w:rFonts w:hint="default" w:ascii="Times New Roman" w:hAnsi="Times New Roman" w:eastAsia="宋体" w:cs="Times New Roman"/>
              </w:rPr>
              <w:t>1、对此序列涉及批次的MV（BT）相关物质项目进行原样复测。</w:t>
            </w:r>
          </w:p>
          <w:p w14:paraId="5C851DC4">
            <w:pPr>
              <w:numPr>
                <w:ilvl w:val="0"/>
                <w:numId w:val="22"/>
              </w:numPr>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rPr>
              <w:t>2、修订《美伐他汀(康百汀)(MV)成品检验标准操作规程(BT)》（SOP-QC（MV）-004/11）文件，将“每次检测完”修订为“只要检测MV（BT）相关物质（执行了含待测组分溶液的进样操作）”。文件批准后对QC全员进行培训。</w:t>
            </w:r>
          </w:p>
        </w:tc>
        <w:tc>
          <w:tcPr>
            <w:tcW w:w="948" w:type="dxa"/>
            <w:vAlign w:val="center"/>
          </w:tcPr>
          <w:p w14:paraId="03ABFEA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1E794E7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2026.05.26</w:t>
            </w:r>
          </w:p>
        </w:tc>
        <w:tc>
          <w:tcPr>
            <w:tcW w:w="964" w:type="dxa"/>
            <w:vAlign w:val="center"/>
          </w:tcPr>
          <w:p w14:paraId="48ED0AF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杨小芹2026.05.26</w:t>
            </w:r>
          </w:p>
        </w:tc>
      </w:tr>
      <w:tr w14:paraId="4877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112C23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CAPA-SI2604002</w:t>
            </w:r>
          </w:p>
        </w:tc>
        <w:tc>
          <w:tcPr>
            <w:tcW w:w="1176" w:type="dxa"/>
            <w:vAlign w:val="center"/>
          </w:tcPr>
          <w:p w14:paraId="015F45C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2026.04.17</w:t>
            </w:r>
          </w:p>
        </w:tc>
        <w:tc>
          <w:tcPr>
            <w:tcW w:w="1104" w:type="dxa"/>
            <w:vAlign w:val="center"/>
          </w:tcPr>
          <w:p w14:paraId="4F38604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QA</w:t>
            </w:r>
          </w:p>
        </w:tc>
        <w:tc>
          <w:tcPr>
            <w:tcW w:w="1188" w:type="dxa"/>
            <w:vAlign w:val="center"/>
          </w:tcPr>
          <w:p w14:paraId="5C46C58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w:t>
            </w:r>
          </w:p>
        </w:tc>
        <w:tc>
          <w:tcPr>
            <w:tcW w:w="1344" w:type="dxa"/>
            <w:vAlign w:val="center"/>
          </w:tcPr>
          <w:p w14:paraId="2E65E76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SI-2601</w:t>
            </w:r>
          </w:p>
        </w:tc>
        <w:tc>
          <w:tcPr>
            <w:tcW w:w="5256" w:type="dxa"/>
            <w:vAlign w:val="center"/>
          </w:tcPr>
          <w:p w14:paraId="42D8D3B8">
            <w:pPr>
              <w:numPr>
                <w:ilvl w:val="0"/>
                <w:numId w:val="0"/>
              </w:numPr>
              <w:ind w:leftChars="0"/>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rPr>
              <w:t>1、修订《清洁验证管理程序》（SMP-QA-105/11）,明确规定连续6个月生产过程中的清洁样品编号原则，确保编号规范、唯一、可追溯，并对相关人员进行培训。</w:t>
            </w:r>
          </w:p>
        </w:tc>
        <w:tc>
          <w:tcPr>
            <w:tcW w:w="948" w:type="dxa"/>
            <w:vAlign w:val="center"/>
          </w:tcPr>
          <w:p w14:paraId="6C15B22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有效</w:t>
            </w:r>
          </w:p>
        </w:tc>
        <w:tc>
          <w:tcPr>
            <w:tcW w:w="1027" w:type="dxa"/>
            <w:vAlign w:val="center"/>
          </w:tcPr>
          <w:p w14:paraId="7E3C786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2026.05.07</w:t>
            </w:r>
          </w:p>
        </w:tc>
        <w:tc>
          <w:tcPr>
            <w:tcW w:w="964" w:type="dxa"/>
            <w:vAlign w:val="center"/>
          </w:tcPr>
          <w:p w14:paraId="7B74C2F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杨小芹2026.05.07</w:t>
            </w:r>
          </w:p>
        </w:tc>
      </w:tr>
      <w:tr w14:paraId="3A7B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731607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CAPA-SI2604003</w:t>
            </w:r>
          </w:p>
        </w:tc>
        <w:tc>
          <w:tcPr>
            <w:tcW w:w="1176" w:type="dxa"/>
            <w:vAlign w:val="center"/>
          </w:tcPr>
          <w:p w14:paraId="112468F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2026.04.17</w:t>
            </w:r>
          </w:p>
        </w:tc>
        <w:tc>
          <w:tcPr>
            <w:tcW w:w="1104" w:type="dxa"/>
            <w:vAlign w:val="center"/>
          </w:tcPr>
          <w:p w14:paraId="46E23B1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101一车间</w:t>
            </w:r>
          </w:p>
        </w:tc>
        <w:tc>
          <w:tcPr>
            <w:tcW w:w="1188" w:type="dxa"/>
            <w:vAlign w:val="center"/>
          </w:tcPr>
          <w:p w14:paraId="3444E40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rPr>
              <w:t>—</w:t>
            </w:r>
          </w:p>
        </w:tc>
        <w:tc>
          <w:tcPr>
            <w:tcW w:w="1344" w:type="dxa"/>
            <w:vAlign w:val="center"/>
          </w:tcPr>
          <w:p w14:paraId="5A5EF9C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SI-2601</w:t>
            </w:r>
          </w:p>
        </w:tc>
        <w:tc>
          <w:tcPr>
            <w:tcW w:w="5256" w:type="dxa"/>
            <w:vAlign w:val="center"/>
          </w:tcPr>
          <w:p w14:paraId="393DD771">
            <w:pPr>
              <w:numPr>
                <w:ilvl w:val="0"/>
                <w:numId w:val="0"/>
              </w:numPr>
              <w:ind w:leftChars="0"/>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rPr>
              <w:t>1、修订《试液配制使用标准操作规程》（SOP-SC-207/06）在文件中增加：6.5.2电极补充液开启使用有效期为3个月，若开启后使用有效期超出试剂有效期的，则开启后使用有效期以试剂有效期为准。例如：开启日期为：2026.04.17，有效期至：2026.07.16（假如试剂有效期到2026.07.07，则有效期至：2026.07.07）。</w:t>
            </w:r>
            <w:r>
              <w:rPr>
                <w:rFonts w:hint="default" w:ascii="Times New Roman" w:hAnsi="Times New Roman" w:eastAsia="宋体" w:cs="Times New Roman"/>
              </w:rPr>
              <w:br w:type="textWrapping"/>
            </w:r>
            <w:r>
              <w:rPr>
                <w:rFonts w:hint="default" w:ascii="Times New Roman" w:hAnsi="Times New Roman" w:eastAsia="宋体" w:cs="Times New Roman"/>
              </w:rPr>
              <w:t>2、对修订后的文件进行全员培训。</w:t>
            </w:r>
          </w:p>
        </w:tc>
        <w:tc>
          <w:tcPr>
            <w:tcW w:w="948" w:type="dxa"/>
            <w:vAlign w:val="center"/>
          </w:tcPr>
          <w:p w14:paraId="784BF27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7D9D790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2026.04.30</w:t>
            </w:r>
          </w:p>
        </w:tc>
        <w:tc>
          <w:tcPr>
            <w:tcW w:w="964" w:type="dxa"/>
            <w:vAlign w:val="center"/>
          </w:tcPr>
          <w:p w14:paraId="22783E0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lang w:val="en-US" w:eastAsia="zh-CN"/>
              </w:rPr>
              <w:t>杨小芹2026.04.30</w:t>
            </w:r>
          </w:p>
        </w:tc>
      </w:tr>
      <w:tr w14:paraId="29B4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B862DB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CAPA-SI2604004</w:t>
            </w:r>
          </w:p>
        </w:tc>
        <w:tc>
          <w:tcPr>
            <w:tcW w:w="1176" w:type="dxa"/>
            <w:vAlign w:val="center"/>
          </w:tcPr>
          <w:p w14:paraId="6D76968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2026.04.17</w:t>
            </w:r>
          </w:p>
        </w:tc>
        <w:tc>
          <w:tcPr>
            <w:tcW w:w="1104" w:type="dxa"/>
            <w:vAlign w:val="center"/>
          </w:tcPr>
          <w:p w14:paraId="0D31966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设备动力部</w:t>
            </w:r>
          </w:p>
        </w:tc>
        <w:tc>
          <w:tcPr>
            <w:tcW w:w="1188" w:type="dxa"/>
            <w:vAlign w:val="center"/>
          </w:tcPr>
          <w:p w14:paraId="4DDE7D9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0EB841E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t>SI-2601</w:t>
            </w:r>
          </w:p>
        </w:tc>
        <w:tc>
          <w:tcPr>
            <w:tcW w:w="5256" w:type="dxa"/>
            <w:vAlign w:val="center"/>
          </w:tcPr>
          <w:p w14:paraId="630016AA">
            <w:pPr>
              <w:numPr>
                <w:ilvl w:val="0"/>
                <w:numId w:val="0"/>
              </w:numPr>
              <w:ind w:leftChars="0"/>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kern w:val="0"/>
                <w:sz w:val="20"/>
                <w:szCs w:val="20"/>
                <w:lang w:val="en-US" w:eastAsia="zh-CN" w:bidi="ar"/>
              </w:rPr>
              <w:t>1、修订文件《计量器具委托外方检定/标准管理程序》（SMP-EE-401/03），删除《计量器具月度检定计划》（APP5-SMP-EE-400）的相关内容，并对相关人员进行培训。</w:t>
            </w:r>
            <w:r>
              <w:rPr>
                <w:rFonts w:hint="default" w:ascii="Times New Roman" w:hAnsi="Times New Roman" w:eastAsia="宋体" w:cs="Times New Roman"/>
                <w:kern w:val="0"/>
                <w:sz w:val="20"/>
                <w:szCs w:val="20"/>
                <w:lang w:val="en-US" w:eastAsia="zh-CN" w:bidi="ar"/>
              </w:rPr>
              <w:br w:type="textWrapping"/>
            </w:r>
            <w:r>
              <w:rPr>
                <w:rFonts w:hint="default" w:ascii="Times New Roman" w:hAnsi="Times New Roman" w:eastAsia="宋体" w:cs="Times New Roman"/>
                <w:kern w:val="0"/>
                <w:sz w:val="20"/>
                <w:szCs w:val="20"/>
                <w:lang w:val="en-US" w:eastAsia="zh-CN" w:bidi="ar"/>
              </w:rPr>
              <w:t>2、排查正文中有索引其他文件的文件，与被索引文件信息是否保持一致。</w:t>
            </w:r>
          </w:p>
        </w:tc>
        <w:tc>
          <w:tcPr>
            <w:tcW w:w="948" w:type="dxa"/>
            <w:vAlign w:val="center"/>
          </w:tcPr>
          <w:p w14:paraId="419B253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69D38AF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2026.05.09</w:t>
            </w:r>
          </w:p>
        </w:tc>
        <w:tc>
          <w:tcPr>
            <w:tcW w:w="964" w:type="dxa"/>
            <w:vAlign w:val="center"/>
          </w:tcPr>
          <w:p w14:paraId="76F796B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杨小芹2026.05.09</w:t>
            </w:r>
          </w:p>
        </w:tc>
      </w:tr>
      <w:tr w14:paraId="5F28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1A7080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CAPA-</w:t>
            </w:r>
            <w:r>
              <w:rPr>
                <w:rFonts w:hint="default" w:ascii="Times New Roman" w:hAnsi="Times New Roman" w:eastAsia="宋体" w:cs="Times New Roman"/>
                <w:lang w:val="en-US" w:eastAsia="zh-CN"/>
              </w:rPr>
              <w:t>PC</w:t>
            </w:r>
            <w:r>
              <w:rPr>
                <w:rFonts w:hint="default" w:ascii="Times New Roman" w:hAnsi="Times New Roman" w:eastAsia="宋体" w:cs="Times New Roman"/>
              </w:rPr>
              <w:t>2604005</w:t>
            </w:r>
          </w:p>
        </w:tc>
        <w:tc>
          <w:tcPr>
            <w:tcW w:w="1176" w:type="dxa"/>
            <w:vAlign w:val="center"/>
          </w:tcPr>
          <w:p w14:paraId="2781A3E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rPr>
            </w:pPr>
            <w:r>
              <w:rPr>
                <w:rFonts w:hint="default" w:ascii="Times New Roman" w:hAnsi="Times New Roman" w:eastAsia="宋体" w:cs="Times New Roman"/>
              </w:rPr>
              <w:t>2026.04.18</w:t>
            </w:r>
          </w:p>
        </w:tc>
        <w:tc>
          <w:tcPr>
            <w:tcW w:w="1104" w:type="dxa"/>
            <w:vAlign w:val="center"/>
          </w:tcPr>
          <w:p w14:paraId="26DA7E2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335C6EC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6F58F9A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PC-2604002</w:t>
            </w:r>
          </w:p>
        </w:tc>
        <w:tc>
          <w:tcPr>
            <w:tcW w:w="5256" w:type="dxa"/>
            <w:vAlign w:val="center"/>
          </w:tcPr>
          <w:p w14:paraId="6FE06C0E">
            <w:pPr>
              <w:pStyle w:val="2"/>
              <w:numPr>
                <w:ilvl w:val="0"/>
                <w:numId w:val="23"/>
              </w:numPr>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对纯化水P21-XT3-260418批样品进行原样复测。</w:t>
            </w:r>
          </w:p>
          <w:p w14:paraId="4E1C3EE6">
            <w:pPr>
              <w:numPr>
                <w:ilvl w:val="0"/>
                <w:numId w:val="0"/>
              </w:numPr>
              <w:ind w:leftChars="0"/>
              <w:rPr>
                <w:rFonts w:hint="default" w:ascii="Times New Roman" w:hAnsi="Times New Roman" w:eastAsia="宋体" w:cs="Times New Roman"/>
                <w:kern w:val="0"/>
                <w:sz w:val="20"/>
                <w:szCs w:val="20"/>
                <w:lang w:val="en-US" w:eastAsia="zh-CN" w:bidi="ar"/>
              </w:rPr>
            </w:pPr>
            <w:r>
              <w:rPr>
                <w:rFonts w:hint="default" w:ascii="Times New Roman" w:hAnsi="Times New Roman" w:eastAsia="宋体" w:cs="Times New Roman"/>
                <w:lang w:val="en-US" w:eastAsia="zh-CN"/>
              </w:rPr>
              <w:t>2、对TOC分析仪QC-1-2-020的进样状态进行一个月的跟踪，若跟踪期内不再出现进样针堵塞的情况，则进样针内外夹层缝隙发生堵塞情况为偶发事件。</w:t>
            </w:r>
          </w:p>
        </w:tc>
        <w:tc>
          <w:tcPr>
            <w:tcW w:w="948" w:type="dxa"/>
            <w:vAlign w:val="center"/>
          </w:tcPr>
          <w:p w14:paraId="7DBF343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A99E1C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2026.05.18</w:t>
            </w:r>
          </w:p>
        </w:tc>
        <w:tc>
          <w:tcPr>
            <w:tcW w:w="964" w:type="dxa"/>
            <w:vAlign w:val="center"/>
          </w:tcPr>
          <w:p w14:paraId="7B9ABA6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杨小芹2026.05.18</w:t>
            </w:r>
          </w:p>
        </w:tc>
      </w:tr>
      <w:tr w14:paraId="1D8F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4CA10FB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CAPA-CC2604006</w:t>
            </w:r>
          </w:p>
        </w:tc>
        <w:tc>
          <w:tcPr>
            <w:tcW w:w="1176" w:type="dxa"/>
            <w:vAlign w:val="center"/>
          </w:tcPr>
          <w:p w14:paraId="418FB70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2026.04.27</w:t>
            </w:r>
          </w:p>
        </w:tc>
        <w:tc>
          <w:tcPr>
            <w:tcW w:w="1104" w:type="dxa"/>
            <w:vAlign w:val="center"/>
          </w:tcPr>
          <w:p w14:paraId="4928351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203车间</w:t>
            </w:r>
          </w:p>
        </w:tc>
        <w:tc>
          <w:tcPr>
            <w:tcW w:w="1188" w:type="dxa"/>
            <w:vAlign w:val="center"/>
          </w:tcPr>
          <w:p w14:paraId="67CD0B3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106086A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CC-FA2604001</w:t>
            </w:r>
          </w:p>
        </w:tc>
        <w:tc>
          <w:tcPr>
            <w:tcW w:w="5256" w:type="dxa"/>
            <w:vAlign w:val="center"/>
          </w:tcPr>
          <w:p w14:paraId="528A4334">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1、修订《三效浓缩蒸发器清洁标准操作规程》（SOP-FT1-207/01）在清洁步骤中增加酸洗步骤，以彻底清洁积累/富集在设备表面的钙盐。</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2、对岗位操作人员进行修订后文件的培训。</w:t>
            </w:r>
          </w:p>
        </w:tc>
        <w:tc>
          <w:tcPr>
            <w:tcW w:w="948" w:type="dxa"/>
            <w:vAlign w:val="center"/>
          </w:tcPr>
          <w:p w14:paraId="3BBC870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77F5267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2026.06.22</w:t>
            </w:r>
          </w:p>
        </w:tc>
        <w:tc>
          <w:tcPr>
            <w:tcW w:w="964" w:type="dxa"/>
            <w:vAlign w:val="center"/>
          </w:tcPr>
          <w:p w14:paraId="0D4B0B7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杨小芹2026.06.22</w:t>
            </w:r>
          </w:p>
        </w:tc>
      </w:tr>
      <w:tr w14:paraId="2E51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478CDE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CAPA-EI2604007</w:t>
            </w:r>
          </w:p>
        </w:tc>
        <w:tc>
          <w:tcPr>
            <w:tcW w:w="1176" w:type="dxa"/>
            <w:vAlign w:val="center"/>
          </w:tcPr>
          <w:p w14:paraId="05716E2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2026.04.27</w:t>
            </w:r>
          </w:p>
        </w:tc>
        <w:tc>
          <w:tcPr>
            <w:tcW w:w="1104" w:type="dxa"/>
            <w:vAlign w:val="center"/>
          </w:tcPr>
          <w:p w14:paraId="08997FD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103车间</w:t>
            </w:r>
          </w:p>
        </w:tc>
        <w:tc>
          <w:tcPr>
            <w:tcW w:w="1188" w:type="dxa"/>
            <w:vAlign w:val="center"/>
          </w:tcPr>
          <w:p w14:paraId="14F29D4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侯少东</w:t>
            </w:r>
          </w:p>
        </w:tc>
        <w:tc>
          <w:tcPr>
            <w:tcW w:w="1344" w:type="dxa"/>
            <w:vAlign w:val="center"/>
          </w:tcPr>
          <w:p w14:paraId="004CF92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34724613">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清洁验证管理程序》（SMP-QA-105/11),在6.2.16中增加“在可获取完整毒理临床相关数据的前提下，需分别采用PDE、TDD、LD50及通用限度四种方法完成MACO计算。清洁验证可接受标准并非强制选取计算结果中的最小值，若未采用最严格限度，需结合法规要求、物料属性及风险分析，出具充分、科学的论证说明”。并对相关部门进行修订后文件的培训。</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对《103车间洛伐他汀（200KL）发酵设备转产清洁验证报告》（VR-FF2-CV2204-01)和《103车间MV生产设备连续生产清洁验证报告》（VR-FF2-CV2303-01)残留限度计算过程（TDD、ADE/PDE、100PPM、LD50四种方法）及残留检测结果符合性进行补充评估并形成评估报告。</w:t>
            </w:r>
          </w:p>
        </w:tc>
        <w:tc>
          <w:tcPr>
            <w:tcW w:w="948" w:type="dxa"/>
            <w:vAlign w:val="center"/>
          </w:tcPr>
          <w:p w14:paraId="163969A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D27969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2026.06.05</w:t>
            </w:r>
          </w:p>
        </w:tc>
        <w:tc>
          <w:tcPr>
            <w:tcW w:w="964" w:type="dxa"/>
            <w:vAlign w:val="center"/>
          </w:tcPr>
          <w:p w14:paraId="5370E96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杨小芹2026.06.05</w:t>
            </w:r>
          </w:p>
        </w:tc>
      </w:tr>
      <w:tr w14:paraId="6070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6EE13C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CAPA-PC2605001</w:t>
            </w:r>
          </w:p>
        </w:tc>
        <w:tc>
          <w:tcPr>
            <w:tcW w:w="1176" w:type="dxa"/>
            <w:vAlign w:val="center"/>
          </w:tcPr>
          <w:p w14:paraId="45C9659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2026.05.12</w:t>
            </w:r>
          </w:p>
        </w:tc>
        <w:tc>
          <w:tcPr>
            <w:tcW w:w="1104" w:type="dxa"/>
            <w:vAlign w:val="center"/>
          </w:tcPr>
          <w:p w14:paraId="14F4196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5836290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bookmarkStart w:id="4" w:name="OLE_LINK6"/>
            <w:r>
              <w:rPr>
                <w:rFonts w:hint="default" w:ascii="Times New Roman" w:hAnsi="Times New Roman" w:eastAsia="宋体" w:cs="Times New Roman"/>
                <w:b w:val="0"/>
                <w:bCs w:val="0"/>
                <w:kern w:val="2"/>
                <w:sz w:val="21"/>
                <w:szCs w:val="21"/>
                <w:vertAlign w:val="baseline"/>
                <w:lang w:val="en-US" w:eastAsia="zh-CN" w:bidi="ar-SA"/>
              </w:rPr>
              <w:t>美伐他汀 、洛伐他汀、霉酚酸、多拉菌素、5%芬苯达唑、2%氟苯尼考预混剂、艾莫德斯等相关批次</w:t>
            </w:r>
            <w:bookmarkEnd w:id="4"/>
          </w:p>
        </w:tc>
        <w:tc>
          <w:tcPr>
            <w:tcW w:w="1344" w:type="dxa"/>
            <w:vAlign w:val="center"/>
          </w:tcPr>
          <w:p w14:paraId="6030166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PC-2605001</w:t>
            </w:r>
          </w:p>
        </w:tc>
        <w:tc>
          <w:tcPr>
            <w:tcW w:w="5256" w:type="dxa"/>
            <w:vAlign w:val="center"/>
          </w:tcPr>
          <w:p w14:paraId="1631F429">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1、对综合组组长、样品管理员及设备管理员进行培训，培训内容为：在5月12日至31日每周清洁一次外部冷凝器。                  </w:t>
            </w:r>
          </w:p>
          <w:p w14:paraId="01D4CB26">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2、修订《QC检测仪器维护保养一览表》（APP2-SMP-QC-025/18），在文件中规定2~5月份应每周清理一次。并对相关人员进行培训。</w:t>
            </w:r>
          </w:p>
        </w:tc>
        <w:tc>
          <w:tcPr>
            <w:tcW w:w="948" w:type="dxa"/>
            <w:vAlign w:val="center"/>
          </w:tcPr>
          <w:p w14:paraId="079B4DD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78114CF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09C811B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35AC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9C1E76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CAPA-EI2605002</w:t>
            </w:r>
          </w:p>
        </w:tc>
        <w:tc>
          <w:tcPr>
            <w:tcW w:w="1176" w:type="dxa"/>
            <w:vAlign w:val="center"/>
          </w:tcPr>
          <w:p w14:paraId="4F1A078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2026.05.18</w:t>
            </w:r>
          </w:p>
        </w:tc>
        <w:tc>
          <w:tcPr>
            <w:tcW w:w="1104" w:type="dxa"/>
            <w:vAlign w:val="center"/>
          </w:tcPr>
          <w:p w14:paraId="6A8EB43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生产管理部</w:t>
            </w:r>
          </w:p>
        </w:tc>
        <w:tc>
          <w:tcPr>
            <w:tcW w:w="1188" w:type="dxa"/>
            <w:vAlign w:val="center"/>
          </w:tcPr>
          <w:p w14:paraId="45CF63C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多拉菌素、2%氟苯尼考预混剂</w:t>
            </w:r>
          </w:p>
        </w:tc>
        <w:tc>
          <w:tcPr>
            <w:tcW w:w="1344" w:type="dxa"/>
            <w:vAlign w:val="center"/>
          </w:tcPr>
          <w:p w14:paraId="7780C25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66A0C62A">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产品销售与发运管理程序》（SMP-PM-012/14）在6.1.5.3项下增加“《产品销售台账》（APP6-SMP-PM-012/14）中发货数量单位按产品重量/效价进行登记，不得以桶数进行登记，计量单位包含但不仅限于kg、g、十亿”的内容。同时，将7.6《产品销售台账》（APP6-SMP-PM-012）中“发货数量”列进行拆分优化，补充完善计量单位的内容。</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2、文件签批后对相关人员进行培训。</w:t>
            </w:r>
          </w:p>
        </w:tc>
        <w:tc>
          <w:tcPr>
            <w:tcW w:w="948" w:type="dxa"/>
            <w:vAlign w:val="center"/>
          </w:tcPr>
          <w:p w14:paraId="7796201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BBF337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5B31100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562A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9BD0C2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CAPA-EI2605003</w:t>
            </w:r>
          </w:p>
        </w:tc>
        <w:tc>
          <w:tcPr>
            <w:tcW w:w="1176" w:type="dxa"/>
            <w:vAlign w:val="center"/>
          </w:tcPr>
          <w:p w14:paraId="2EEDD8B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68298DB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102二车间</w:t>
            </w:r>
          </w:p>
        </w:tc>
        <w:tc>
          <w:tcPr>
            <w:tcW w:w="1188" w:type="dxa"/>
            <w:vAlign w:val="center"/>
          </w:tcPr>
          <w:p w14:paraId="0267E72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2%氟苯尼考预混剂、5%芬苯达唑粉</w:t>
            </w:r>
          </w:p>
        </w:tc>
        <w:tc>
          <w:tcPr>
            <w:tcW w:w="1344" w:type="dxa"/>
            <w:vAlign w:val="center"/>
          </w:tcPr>
          <w:p w14:paraId="1E4E583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152AE3E4">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1、修订文件《102二车间兽药制剂生产线生产区清洁标准操作规程》（SOP-XT2-310/05），增加设备清洁用软管、喷淋球，按照器具管理，在器具清洗存放间清洁存放。</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2、对修订后的文件进行培训，并考核合格。</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3、将设备清洁用软管、喷淋球转移至器具清洗存放间定置存放。</w:t>
            </w:r>
          </w:p>
        </w:tc>
        <w:tc>
          <w:tcPr>
            <w:tcW w:w="948" w:type="dxa"/>
            <w:vAlign w:val="center"/>
          </w:tcPr>
          <w:p w14:paraId="4BF3F6C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2ADC35D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46594AC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2515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708ED70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CAPA-EI2605004</w:t>
            </w:r>
          </w:p>
        </w:tc>
        <w:tc>
          <w:tcPr>
            <w:tcW w:w="1176" w:type="dxa"/>
            <w:vAlign w:val="center"/>
          </w:tcPr>
          <w:p w14:paraId="161C26F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0659068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102二车间</w:t>
            </w:r>
          </w:p>
        </w:tc>
        <w:tc>
          <w:tcPr>
            <w:tcW w:w="1188" w:type="dxa"/>
            <w:vAlign w:val="center"/>
          </w:tcPr>
          <w:p w14:paraId="586EC78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2%氟苯尼考预混剂</w:t>
            </w:r>
          </w:p>
        </w:tc>
        <w:tc>
          <w:tcPr>
            <w:tcW w:w="1344" w:type="dxa"/>
            <w:vAlign w:val="center"/>
          </w:tcPr>
          <w:p w14:paraId="251EF97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318DAD25">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1、修订《生产工艺验证管理程序》（SMP-QA-106/06）,在6.1.2.2中规定：新增兽药产品时，需先进行设备的性能确认（PQ），批准之后，方可进行工艺验证。</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2、对修订后的文件进行培训，并考核合格。</w:t>
            </w:r>
          </w:p>
        </w:tc>
        <w:tc>
          <w:tcPr>
            <w:tcW w:w="948" w:type="dxa"/>
            <w:vAlign w:val="center"/>
          </w:tcPr>
          <w:p w14:paraId="5E0CC17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5E6A14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452A9B1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28DD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E49184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CAPA-EI2605005</w:t>
            </w:r>
          </w:p>
        </w:tc>
        <w:tc>
          <w:tcPr>
            <w:tcW w:w="1176" w:type="dxa"/>
            <w:vAlign w:val="center"/>
          </w:tcPr>
          <w:p w14:paraId="04FFE5E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4DEC987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QA</w:t>
            </w:r>
          </w:p>
        </w:tc>
        <w:tc>
          <w:tcPr>
            <w:tcW w:w="1188" w:type="dxa"/>
            <w:vAlign w:val="center"/>
          </w:tcPr>
          <w:p w14:paraId="472096A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w:t>
            </w:r>
          </w:p>
        </w:tc>
        <w:tc>
          <w:tcPr>
            <w:tcW w:w="1344" w:type="dxa"/>
            <w:vAlign w:val="center"/>
          </w:tcPr>
          <w:p w14:paraId="3EF1A40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002D860A">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1、对多拉菌素确认与验证的范围程度未经过风险评估的事件进行风险评估。</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2、修订《设备仪器确认管理程序》（SMP-QA-103/06）,在文件中规定所有关键设备，必须完成IQ/OQ/PQ全项确认，一般设备经风险评估后可豁免确认或仅实施IQ/OQ无需进行性能确认PQ。</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3、修订《生产工艺验证管理程序》（SMP-QA-106/06）,在文件中规定需进行生产工艺的验证包括但不限于：产品的工艺验证、均一性验证、回收工艺验证（如回收母液、回收溶剂）。</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4、对修订后文件进行培训。</w:t>
            </w:r>
          </w:p>
        </w:tc>
        <w:tc>
          <w:tcPr>
            <w:tcW w:w="948" w:type="dxa"/>
            <w:vAlign w:val="center"/>
          </w:tcPr>
          <w:p w14:paraId="643D895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46AD775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11F6280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1AA4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6EF886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CAPA-EI2605006</w:t>
            </w:r>
          </w:p>
        </w:tc>
        <w:tc>
          <w:tcPr>
            <w:tcW w:w="1176" w:type="dxa"/>
            <w:vAlign w:val="center"/>
          </w:tcPr>
          <w:p w14:paraId="73859A6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5D8FB11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QA</w:t>
            </w:r>
          </w:p>
        </w:tc>
        <w:tc>
          <w:tcPr>
            <w:tcW w:w="1188" w:type="dxa"/>
            <w:vAlign w:val="center"/>
          </w:tcPr>
          <w:p w14:paraId="7BD2977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7FEDF0E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7C9F4B55">
            <w:pPr>
              <w:numPr>
                <w:ilvl w:val="0"/>
                <w:numId w:val="24"/>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修订文件《防止污染及交叉污染管理程序》（SMP-QA-040/02）增加防止污染及交叉污染措施定期评估的相关内容，并对相关部门进行培训。</w:t>
            </w:r>
          </w:p>
          <w:p w14:paraId="791608EC">
            <w:pPr>
              <w:pStyle w:val="2"/>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2、文件生效后立即按照新版文件的相关内容对各车间组织一次针对污染及交叉污染措施的检查与评估。</w:t>
            </w:r>
          </w:p>
        </w:tc>
        <w:tc>
          <w:tcPr>
            <w:tcW w:w="948" w:type="dxa"/>
            <w:vAlign w:val="center"/>
          </w:tcPr>
          <w:p w14:paraId="0F05464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3496DBB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5DF45E2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06FA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9B120D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CAPA-EI2605007</w:t>
            </w:r>
          </w:p>
        </w:tc>
        <w:tc>
          <w:tcPr>
            <w:tcW w:w="1176" w:type="dxa"/>
            <w:vAlign w:val="center"/>
          </w:tcPr>
          <w:p w14:paraId="185CB54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1D3CE16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550C482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w:t>
            </w:r>
          </w:p>
        </w:tc>
        <w:tc>
          <w:tcPr>
            <w:tcW w:w="1344" w:type="dxa"/>
            <w:vAlign w:val="center"/>
          </w:tcPr>
          <w:p w14:paraId="421D59B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10C3FA3E">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1、对QA和QC相关人员培训《兽药管理条例》第九条、第四十五条，和农业农村部《关于加强兽药标准物质管理的通知》（2025.11）关于标准物质管理和使用的内容。</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2、紧急采购阿维菌素国家标准物质。</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3、修订《标准品、对照品及其配制和使用管理程序》（SMP-QC-015/10），在文件增加：6.4.4兽药标准物质使用要求：有国家兽药标准物质的必须使用国家兽药标准物质，如果使用自制工作对照品，必须用中国兽药监察所兽用标准物质标定，对相关人员进行培训。</w:t>
            </w:r>
          </w:p>
        </w:tc>
        <w:tc>
          <w:tcPr>
            <w:tcW w:w="948" w:type="dxa"/>
            <w:vAlign w:val="center"/>
          </w:tcPr>
          <w:p w14:paraId="12D46D6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30C2DDC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18E2677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6267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976E68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CAPA-EI2605008</w:t>
            </w:r>
          </w:p>
        </w:tc>
        <w:tc>
          <w:tcPr>
            <w:tcW w:w="1176" w:type="dxa"/>
            <w:vAlign w:val="center"/>
          </w:tcPr>
          <w:p w14:paraId="3F820BE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467EF79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1A176B4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5%芬苯达唑粉</w:t>
            </w:r>
          </w:p>
        </w:tc>
        <w:tc>
          <w:tcPr>
            <w:tcW w:w="1344" w:type="dxa"/>
            <w:vAlign w:val="center"/>
          </w:tcPr>
          <w:p w14:paraId="5F1AA12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2F6DB42E">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1、将兽药留样室5%芬苯达唑粉留样转移至常温条件的成品留样室（1）。</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2、修订《常规留样管理程序》（SMP-QC-021/12）在文件中增加6.7.2对于贮存项下未规定温度的一般系指常温。</w:t>
            </w:r>
          </w:p>
        </w:tc>
        <w:tc>
          <w:tcPr>
            <w:tcW w:w="948" w:type="dxa"/>
            <w:vAlign w:val="center"/>
          </w:tcPr>
          <w:p w14:paraId="0DD9865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57F3A31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2026.05.20</w:t>
            </w:r>
          </w:p>
        </w:tc>
        <w:tc>
          <w:tcPr>
            <w:tcW w:w="964" w:type="dxa"/>
            <w:vAlign w:val="center"/>
          </w:tcPr>
          <w:p w14:paraId="28E177B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杨小芹2026.05.20</w:t>
            </w:r>
          </w:p>
        </w:tc>
      </w:tr>
      <w:tr w14:paraId="5E8C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20B481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CAPA-CC2605009</w:t>
            </w:r>
          </w:p>
        </w:tc>
        <w:tc>
          <w:tcPr>
            <w:tcW w:w="1176" w:type="dxa"/>
            <w:vAlign w:val="center"/>
          </w:tcPr>
          <w:p w14:paraId="50EE48C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15B91ED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席晓</w:t>
            </w:r>
          </w:p>
        </w:tc>
        <w:tc>
          <w:tcPr>
            <w:tcW w:w="1188" w:type="dxa"/>
            <w:vAlign w:val="center"/>
          </w:tcPr>
          <w:p w14:paraId="673071D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霉酚酸/USMC-M-2603018、</w:t>
            </w:r>
            <w:bookmarkStart w:id="5" w:name="OLE_LINK5"/>
            <w:r>
              <w:rPr>
                <w:rFonts w:hint="default" w:ascii="Times New Roman" w:hAnsi="Times New Roman" w:eastAsia="宋体" w:cs="Times New Roman"/>
                <w:b w:val="0"/>
                <w:bCs w:val="0"/>
                <w:kern w:val="2"/>
                <w:sz w:val="21"/>
                <w:szCs w:val="21"/>
                <w:vertAlign w:val="baseline"/>
                <w:lang w:val="en-US" w:eastAsia="zh-CN" w:bidi="ar-SA"/>
              </w:rPr>
              <w:t>USMC-M-2604003</w:t>
            </w:r>
            <w:bookmarkEnd w:id="5"/>
            <w:r>
              <w:rPr>
                <w:rFonts w:hint="default" w:ascii="Times New Roman" w:hAnsi="Times New Roman" w:eastAsia="宋体" w:cs="Times New Roman"/>
                <w:b w:val="0"/>
                <w:bCs w:val="0"/>
                <w:kern w:val="2"/>
                <w:sz w:val="21"/>
                <w:szCs w:val="21"/>
                <w:vertAlign w:val="baseline"/>
                <w:lang w:val="en-US" w:eastAsia="zh-CN" w:bidi="ar-SA"/>
              </w:rPr>
              <w:t>、USMC-M-2604004、USMC-M-2604005、USMC-M-2604006、USMC-M-2604007、USMC-M-2604008、USMC-M-2604009、USMC-M-2604010</w:t>
            </w:r>
          </w:p>
        </w:tc>
        <w:tc>
          <w:tcPr>
            <w:tcW w:w="1344" w:type="dxa"/>
            <w:vAlign w:val="center"/>
          </w:tcPr>
          <w:p w14:paraId="49290ED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CC-MC2605001</w:t>
            </w:r>
          </w:p>
        </w:tc>
        <w:tc>
          <w:tcPr>
            <w:tcW w:w="5256" w:type="dxa"/>
            <w:vAlign w:val="center"/>
          </w:tcPr>
          <w:p w14:paraId="1026E36F">
            <w:pPr>
              <w:numPr>
                <w:ilvl w:val="0"/>
                <w:numId w:val="0"/>
              </w:numPr>
              <w:ind w:leftChars="0"/>
              <w:rPr>
                <w:rFonts w:hint="default" w:ascii="Times New Roman" w:hAnsi="Times New Roman" w:eastAsia="宋体" w:cs="Times New Roman"/>
                <w:b w:val="0"/>
                <w:bCs w:val="0"/>
                <w:color w:val="000000" w:themeColor="text1"/>
                <w:u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u w:val="none"/>
                <w:lang w:val="en-US" w:eastAsia="zh-CN"/>
                <w14:textFill>
                  <w14:solidFill>
                    <w14:schemeClr w14:val="tx1"/>
                  </w14:solidFill>
                </w14:textFill>
              </w:rPr>
              <w:t>1.修订《变更控制管理程序》（SMP-QA-012/13），增加：所有变更通知类的邮件，销售人员在通知客户的同时，需要将邮件同步抄送至工厂质量部门邮箱（nxnnrzc@126.com），且后续关于该变更的邮件沟通过程始终保持抄送工厂质量部门邮箱（nxnnrzc@126.com）；同时规定：当接到客户批准变更的邮件时，由产品QA对邮件原文打印并确认邮件信息的准确性（如邮件内容与变更内容是否对应、是否有明确的批准或不批准的结论、邮件落款是否为对应的客户公司等），确认无误后签字，并作为变更记录的一部分保存。以此确保工厂质量部门和销售部门获取的客户信息是一致的，从而避免信息传递错误</w:t>
            </w:r>
          </w:p>
          <w:p w14:paraId="37DD0709">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themeColor="text1"/>
                <w:u w:val="none"/>
                <w:lang w:val="en-US" w:eastAsia="zh-CN"/>
                <w14:textFill>
                  <w14:solidFill>
                    <w14:schemeClr w14:val="tx1"/>
                  </w14:solidFill>
                </w14:textFill>
              </w:rPr>
              <w:t>2.修订《QA人员岗位职责》（QP-QA-004/04），在产品QA的岗位职责中增加：对于通知客户的变更，应跟踪客户的反馈情况，在收到客户反馈后，应对反馈内容进行确认。</w:t>
            </w:r>
          </w:p>
        </w:tc>
        <w:tc>
          <w:tcPr>
            <w:tcW w:w="948" w:type="dxa"/>
            <w:vAlign w:val="center"/>
          </w:tcPr>
          <w:p w14:paraId="419B6F2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7DD1344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2026.06.12</w:t>
            </w:r>
          </w:p>
        </w:tc>
        <w:tc>
          <w:tcPr>
            <w:tcW w:w="964" w:type="dxa"/>
            <w:vAlign w:val="center"/>
          </w:tcPr>
          <w:p w14:paraId="15A648F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杨小芹2026.06.12</w:t>
            </w:r>
          </w:p>
        </w:tc>
      </w:tr>
      <w:tr w14:paraId="6134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E731F0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bookmarkStart w:id="6" w:name="OLE_LINK8"/>
            <w:r>
              <w:rPr>
                <w:rFonts w:hint="default" w:ascii="Times New Roman" w:hAnsi="Times New Roman" w:eastAsia="宋体" w:cs="Times New Roman"/>
                <w:lang w:val="en-US" w:eastAsia="zh-CN"/>
              </w:rPr>
              <w:t>CAPA-EI2605010</w:t>
            </w:r>
            <w:bookmarkEnd w:id="6"/>
          </w:p>
        </w:tc>
        <w:tc>
          <w:tcPr>
            <w:tcW w:w="1176" w:type="dxa"/>
            <w:vAlign w:val="center"/>
          </w:tcPr>
          <w:p w14:paraId="43C69A2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2026.05.19</w:t>
            </w:r>
          </w:p>
        </w:tc>
        <w:tc>
          <w:tcPr>
            <w:tcW w:w="1104" w:type="dxa"/>
            <w:vAlign w:val="center"/>
          </w:tcPr>
          <w:p w14:paraId="0455643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41856FB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4DDC153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68A0650D">
            <w:pPr>
              <w:numPr>
                <w:ilvl w:val="0"/>
                <w:numId w:val="0"/>
              </w:numPr>
              <w:ind w:leftChars="0"/>
              <w:rPr>
                <w:rFonts w:hint="default" w:ascii="Times New Roman" w:hAnsi="Times New Roman" w:eastAsia="宋体" w:cs="Times New Roman"/>
                <w:lang w:val="en-US" w:eastAsia="zh-CN"/>
              </w:rPr>
            </w:pPr>
            <w:bookmarkStart w:id="7" w:name="OLE_LINK7"/>
            <w:r>
              <w:rPr>
                <w:rFonts w:hint="default" w:ascii="Times New Roman" w:hAnsi="Times New Roman" w:eastAsia="宋体" w:cs="Times New Roman"/>
                <w:lang w:val="en-US" w:eastAsia="zh-CN"/>
              </w:rPr>
              <w:t>1、修订《实验室器皿自助清洗机（M80000）标准操作规程》（SOP-QC-405/03）增加：洗瓶机清洁效果验证应对待清洁物质进行清洗难易程度评估，选取最难清洁物质开展验证，所用HPLC分析方法应有检出限（DL）与定量限（QL），并对相关人员进行培训。</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2、起草《QC实验室器皿自助清洗机（QC-1-2-058）补充确认方案》评估所有待清洁物质在LV（EP）有关物质方法下的吸收情况，选择吸收最差的待清洁物质进行DL/QL验证。</w:t>
            </w:r>
            <w:bookmarkEnd w:id="7"/>
          </w:p>
        </w:tc>
        <w:tc>
          <w:tcPr>
            <w:tcW w:w="948" w:type="dxa"/>
            <w:vAlign w:val="center"/>
          </w:tcPr>
          <w:p w14:paraId="39E7C34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5E68E2C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0E7D0D1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337A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ECA26E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CAPA-EI2605011</w:t>
            </w:r>
          </w:p>
        </w:tc>
        <w:tc>
          <w:tcPr>
            <w:tcW w:w="1176" w:type="dxa"/>
            <w:vAlign w:val="center"/>
          </w:tcPr>
          <w:p w14:paraId="69FB722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2026.05.21</w:t>
            </w:r>
          </w:p>
        </w:tc>
        <w:tc>
          <w:tcPr>
            <w:tcW w:w="1104" w:type="dxa"/>
            <w:vAlign w:val="center"/>
          </w:tcPr>
          <w:p w14:paraId="4636219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201一车间</w:t>
            </w:r>
          </w:p>
        </w:tc>
        <w:tc>
          <w:tcPr>
            <w:tcW w:w="1188" w:type="dxa"/>
            <w:vAlign w:val="center"/>
          </w:tcPr>
          <w:p w14:paraId="620B3F8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367DD16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5514A393">
            <w:pPr>
              <w:numPr>
                <w:ilvl w:val="0"/>
                <w:numId w:val="25"/>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对纯化水系统、精制岗位使用的PH试纸按外层大包装信息统一粘贴批号，有效期的信息标识。</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2、排查所有生产车间在用PH试纸，凡最小包装无批号、有效期，补充粘贴批号、有效期信息。</w:t>
            </w:r>
          </w:p>
          <w:p w14:paraId="57557BCD">
            <w:pPr>
              <w:pStyle w:val="2"/>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3、修订《生产管理程序》（SMP-PM-004/11）,增加“对于试纸等生产辅助耗材，优先购买最小包装有批号、有效期信息的材料，若最小包装无批号、有效期追溯信息，使用前在最小包装上粘贴批号、有效期标识”的规定。文件修订后对相关人员进行培训。</w:t>
            </w:r>
          </w:p>
        </w:tc>
        <w:tc>
          <w:tcPr>
            <w:tcW w:w="948" w:type="dxa"/>
            <w:vAlign w:val="center"/>
          </w:tcPr>
          <w:p w14:paraId="19FE87C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30CD48F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21F19B2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2553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3B0E5F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CAPA-EI2605012</w:t>
            </w:r>
          </w:p>
        </w:tc>
        <w:tc>
          <w:tcPr>
            <w:tcW w:w="1176" w:type="dxa"/>
            <w:vAlign w:val="center"/>
          </w:tcPr>
          <w:p w14:paraId="6666C51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2026.05.21</w:t>
            </w:r>
          </w:p>
        </w:tc>
        <w:tc>
          <w:tcPr>
            <w:tcW w:w="1104" w:type="dxa"/>
            <w:vAlign w:val="center"/>
          </w:tcPr>
          <w:p w14:paraId="134D150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201一车间</w:t>
            </w:r>
          </w:p>
        </w:tc>
        <w:tc>
          <w:tcPr>
            <w:tcW w:w="1188" w:type="dxa"/>
            <w:vAlign w:val="center"/>
          </w:tcPr>
          <w:p w14:paraId="298228C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洛伐他汀</w:t>
            </w:r>
          </w:p>
        </w:tc>
        <w:tc>
          <w:tcPr>
            <w:tcW w:w="1344" w:type="dxa"/>
            <w:vAlign w:val="center"/>
          </w:tcPr>
          <w:p w14:paraId="2D81391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5D3D3427">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1、洛伐他汀复产后，开展LV生产工艺对丙酮中苯去除实验配制苯含量在20-30ppm的丙酮，验证洛伐他汀生产工艺对苯的去除效果。</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2、结合洛伐他汀生产工艺对苯去除能力的试验，对洛伐他汀成品苯控制策略的科学性开展全面评估，确认现有控制策略的科学性。</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3、依据风险评估结论，修订《洛伐他汀（EP）质量标准》（STP-QSLV-104/07)并对相关部门进行修订后文件的培训。</w:t>
            </w:r>
          </w:p>
        </w:tc>
        <w:tc>
          <w:tcPr>
            <w:tcW w:w="948" w:type="dxa"/>
            <w:vAlign w:val="center"/>
          </w:tcPr>
          <w:p w14:paraId="580BCEF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31162A4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2A18998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6A1A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95E0D4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CAPA-EI2605013</w:t>
            </w:r>
          </w:p>
        </w:tc>
        <w:tc>
          <w:tcPr>
            <w:tcW w:w="1176" w:type="dxa"/>
            <w:vAlign w:val="center"/>
          </w:tcPr>
          <w:p w14:paraId="34C5F85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2026.05.27</w:t>
            </w:r>
          </w:p>
        </w:tc>
        <w:tc>
          <w:tcPr>
            <w:tcW w:w="1104" w:type="dxa"/>
            <w:vAlign w:val="center"/>
          </w:tcPr>
          <w:p w14:paraId="75B72A0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102一车间</w:t>
            </w:r>
          </w:p>
        </w:tc>
        <w:tc>
          <w:tcPr>
            <w:tcW w:w="1188" w:type="dxa"/>
            <w:vAlign w:val="center"/>
          </w:tcPr>
          <w:p w14:paraId="5F18C7F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t>
            </w:r>
          </w:p>
        </w:tc>
        <w:tc>
          <w:tcPr>
            <w:tcW w:w="1344" w:type="dxa"/>
            <w:vAlign w:val="center"/>
          </w:tcPr>
          <w:p w14:paraId="433959A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5A15659F">
            <w:pPr>
              <w:numPr>
                <w:ilvl w:val="0"/>
                <w:numId w:val="26"/>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修订《试验管理管理程序》（SMP-PM-015/04)在文件中将《实验申请计划书》（APP1-SMP-PM-015)变更为《XX部门XXX实验方案》（APP1-SMP-PM-015)，《试验报告书》（APP2-SMP-PM-015)变更为《XX部门XXX实验报告》（APP2-SMP-PM-015)，同时调整格式，内容包括试验的目的及要求、范围、试验设备（包括设备名称及设备编号）、试验物料、试验实施时间、方法步骤（应该写清楚具体的操作步骤，可以有效指导员工操作）、试验检验项目、实验期待效果、记录、试验后处理措施、偏差说明等项目，在文件中增加”按照《记录管理程序》（SMP-QA-003)质量体系管理记录要求长期保存“。文件签批后生效前对相关人员进行培训。</w:t>
            </w:r>
          </w:p>
        </w:tc>
        <w:tc>
          <w:tcPr>
            <w:tcW w:w="948" w:type="dxa"/>
            <w:vAlign w:val="center"/>
          </w:tcPr>
          <w:p w14:paraId="322B266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有效</w:t>
            </w:r>
          </w:p>
        </w:tc>
        <w:tc>
          <w:tcPr>
            <w:tcW w:w="1027" w:type="dxa"/>
            <w:vAlign w:val="center"/>
          </w:tcPr>
          <w:p w14:paraId="139F8FB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2026.06.05</w:t>
            </w:r>
          </w:p>
        </w:tc>
        <w:tc>
          <w:tcPr>
            <w:tcW w:w="964" w:type="dxa"/>
            <w:vAlign w:val="center"/>
          </w:tcPr>
          <w:p w14:paraId="4FB1957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杨小芹2026.06.05</w:t>
            </w:r>
          </w:p>
        </w:tc>
      </w:tr>
      <w:tr w14:paraId="42F26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20CE502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CAPA-EI2606001</w:t>
            </w:r>
          </w:p>
        </w:tc>
        <w:tc>
          <w:tcPr>
            <w:tcW w:w="1176" w:type="dxa"/>
            <w:vAlign w:val="center"/>
          </w:tcPr>
          <w:p w14:paraId="6C3ABD3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2026.06.02</w:t>
            </w:r>
          </w:p>
        </w:tc>
        <w:tc>
          <w:tcPr>
            <w:tcW w:w="1104" w:type="dxa"/>
            <w:vAlign w:val="center"/>
          </w:tcPr>
          <w:p w14:paraId="734B842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201二车间</w:t>
            </w:r>
          </w:p>
        </w:tc>
        <w:tc>
          <w:tcPr>
            <w:tcW w:w="1188" w:type="dxa"/>
            <w:vAlign w:val="center"/>
          </w:tcPr>
          <w:p w14:paraId="7364A86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霉酚酸</w:t>
            </w:r>
          </w:p>
        </w:tc>
        <w:tc>
          <w:tcPr>
            <w:tcW w:w="1344" w:type="dxa"/>
            <w:vAlign w:val="center"/>
          </w:tcPr>
          <w:p w14:paraId="65E0CE2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1166B0EB">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统计霉酚酸近一年内提炼生产批次中一次、二次、三次结晶降温过程的每小时结晶液温度的数据。基于统计分析结果，确立霉酚酸提炼过程中一次、二次、三次结晶降温在第1小时、第2小时以及第3至第4小时期间结晶液温度的控制范围。</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2、根据统计分析结果，修订《霉酚酸（MC）精制岗位标准操作规程》（SOP-TT3(MC)-403/10)，需在文件中明确规定霉酚酸提炼生产一次、二次以及三次结晶降温过程中，第1小时、第2小时、第3至第4小时的结晶液温度控制范围。</w:t>
            </w:r>
          </w:p>
        </w:tc>
        <w:tc>
          <w:tcPr>
            <w:tcW w:w="948" w:type="dxa"/>
            <w:vAlign w:val="center"/>
          </w:tcPr>
          <w:p w14:paraId="19C5E27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34839B9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56D681A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1B37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7460418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CAPA-EL2606002</w:t>
            </w:r>
          </w:p>
        </w:tc>
        <w:tc>
          <w:tcPr>
            <w:tcW w:w="1176" w:type="dxa"/>
            <w:vAlign w:val="center"/>
          </w:tcPr>
          <w:p w14:paraId="6E0EA48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2026.06.09</w:t>
            </w:r>
          </w:p>
        </w:tc>
        <w:tc>
          <w:tcPr>
            <w:tcW w:w="1104" w:type="dxa"/>
            <w:vAlign w:val="center"/>
          </w:tcPr>
          <w:p w14:paraId="2B6C403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5D6268F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344" w:type="dxa"/>
            <w:vAlign w:val="center"/>
          </w:tcPr>
          <w:p w14:paraId="7E2090D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5256" w:type="dxa"/>
            <w:vAlign w:val="center"/>
          </w:tcPr>
          <w:p w14:paraId="53835F8E">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1、修订《步入式药品稳定性考察室（25W·B13-6）标准操作规程》（SOP-QC-391/11),在文件中规定每日检查水泵情况，发现水泵有异常声音及震动应及时更换，并对相关人员进行培训。</w:t>
            </w:r>
          </w:p>
        </w:tc>
        <w:tc>
          <w:tcPr>
            <w:tcW w:w="948" w:type="dxa"/>
            <w:vAlign w:val="center"/>
          </w:tcPr>
          <w:p w14:paraId="01EDE83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7EB247A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4D9A45C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6AE7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08CF1C2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CAPA-PC2606003</w:t>
            </w:r>
          </w:p>
        </w:tc>
        <w:tc>
          <w:tcPr>
            <w:tcW w:w="1176" w:type="dxa"/>
            <w:vAlign w:val="center"/>
          </w:tcPr>
          <w:p w14:paraId="2A3CE1D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2026.06.15</w:t>
            </w:r>
          </w:p>
        </w:tc>
        <w:tc>
          <w:tcPr>
            <w:tcW w:w="1104" w:type="dxa"/>
            <w:vAlign w:val="center"/>
          </w:tcPr>
          <w:p w14:paraId="34A00A7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QC</w:t>
            </w:r>
          </w:p>
        </w:tc>
        <w:tc>
          <w:tcPr>
            <w:tcW w:w="1188" w:type="dxa"/>
            <w:vAlign w:val="center"/>
          </w:tcPr>
          <w:p w14:paraId="1CB7EF6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344" w:type="dxa"/>
            <w:vAlign w:val="center"/>
          </w:tcPr>
          <w:p w14:paraId="59D3B96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PC-2606001</w:t>
            </w:r>
          </w:p>
        </w:tc>
        <w:tc>
          <w:tcPr>
            <w:tcW w:w="5256" w:type="dxa"/>
            <w:vAlign w:val="center"/>
          </w:tcPr>
          <w:p w14:paraId="61A5027B">
            <w:pPr>
              <w:numPr>
                <w:ilvl w:val="0"/>
                <w:numId w:val="0"/>
              </w:numPr>
              <w:ind w:leftChars="0"/>
              <w:rPr>
                <w:rFonts w:hint="default" w:ascii="Times New Roman" w:hAnsi="Times New Roman" w:eastAsia="宋体" w:cs="Times New Roman"/>
                <w:lang w:val="en-US" w:eastAsia="zh-CN"/>
              </w:rPr>
            </w:pPr>
          </w:p>
        </w:tc>
        <w:tc>
          <w:tcPr>
            <w:tcW w:w="948" w:type="dxa"/>
            <w:vAlign w:val="center"/>
          </w:tcPr>
          <w:p w14:paraId="2A8AC58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027" w:type="dxa"/>
            <w:vAlign w:val="center"/>
          </w:tcPr>
          <w:p w14:paraId="4A2D824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964" w:type="dxa"/>
            <w:vAlign w:val="center"/>
          </w:tcPr>
          <w:p w14:paraId="47E6EE0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r>
      <w:tr w14:paraId="5B68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E412F38">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CAPA-PC2606004</w:t>
            </w:r>
          </w:p>
        </w:tc>
        <w:tc>
          <w:tcPr>
            <w:tcW w:w="1176" w:type="dxa"/>
            <w:vAlign w:val="center"/>
          </w:tcPr>
          <w:p w14:paraId="4A7B1C3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2026.06.16</w:t>
            </w:r>
          </w:p>
        </w:tc>
        <w:tc>
          <w:tcPr>
            <w:tcW w:w="1104" w:type="dxa"/>
            <w:vAlign w:val="center"/>
          </w:tcPr>
          <w:p w14:paraId="1FC5335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102二车间</w:t>
            </w:r>
          </w:p>
        </w:tc>
        <w:tc>
          <w:tcPr>
            <w:tcW w:w="1188" w:type="dxa"/>
            <w:vAlign w:val="center"/>
          </w:tcPr>
          <w:p w14:paraId="6C945BB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344" w:type="dxa"/>
            <w:vAlign w:val="center"/>
          </w:tcPr>
          <w:p w14:paraId="563A29D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PC-2606002</w:t>
            </w:r>
          </w:p>
        </w:tc>
        <w:tc>
          <w:tcPr>
            <w:tcW w:w="5256" w:type="dxa"/>
            <w:vAlign w:val="center"/>
          </w:tcPr>
          <w:p w14:paraId="71D6B047">
            <w:pPr>
              <w:numPr>
                <w:ilvl w:val="0"/>
                <w:numId w:val="0"/>
              </w:numPr>
              <w:ind w:leftChars="0"/>
              <w:rPr>
                <w:rFonts w:hint="default" w:ascii="Times New Roman" w:hAnsi="Times New Roman" w:eastAsia="宋体" w:cs="Times New Roman"/>
                <w:lang w:val="en-US" w:eastAsia="zh-CN"/>
              </w:rPr>
            </w:pPr>
          </w:p>
        </w:tc>
        <w:tc>
          <w:tcPr>
            <w:tcW w:w="948" w:type="dxa"/>
            <w:vAlign w:val="center"/>
          </w:tcPr>
          <w:p w14:paraId="086CF49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027" w:type="dxa"/>
            <w:vAlign w:val="center"/>
          </w:tcPr>
          <w:p w14:paraId="0AB9BC3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964" w:type="dxa"/>
            <w:vAlign w:val="center"/>
          </w:tcPr>
          <w:p w14:paraId="50E567E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r>
      <w:tr w14:paraId="2374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3B1E4AF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CAPA-EI2606005</w:t>
            </w:r>
          </w:p>
        </w:tc>
        <w:tc>
          <w:tcPr>
            <w:tcW w:w="1176" w:type="dxa"/>
            <w:vAlign w:val="center"/>
          </w:tcPr>
          <w:p w14:paraId="66FA641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2026.06.17</w:t>
            </w:r>
          </w:p>
        </w:tc>
        <w:tc>
          <w:tcPr>
            <w:tcW w:w="1104" w:type="dxa"/>
            <w:vAlign w:val="center"/>
          </w:tcPr>
          <w:p w14:paraId="4E6441D3">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201二车间</w:t>
            </w:r>
          </w:p>
        </w:tc>
        <w:tc>
          <w:tcPr>
            <w:tcW w:w="1188" w:type="dxa"/>
            <w:vAlign w:val="center"/>
          </w:tcPr>
          <w:p w14:paraId="6AD36F6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w:t>
            </w:r>
          </w:p>
        </w:tc>
        <w:tc>
          <w:tcPr>
            <w:tcW w:w="1344" w:type="dxa"/>
            <w:vAlign w:val="center"/>
          </w:tcPr>
          <w:p w14:paraId="090D619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59A62FDE">
            <w:pPr>
              <w:numPr>
                <w:ilvl w:val="0"/>
                <w:numId w:val="27"/>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修订《DR过滤标准操作规程》（SOP-XT2(DR)-402/04),在文件中明确规定：拆卸后的菌渣包装完成前，液压车不得进入板框底部的卸渣区域，待当批菌渣全部包装完成并放置托盘上以后，用拉丝膜将每托菌渣缠紧，避免转移过程中掉落，所有菌渣包装完成并用拉丝膜缠好以后，用液压车将托盘上包装好的菌渣转移至电子台秤处称重，然后转移至菌渣暂存区存放。</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lang w:val="en-US" w:eastAsia="zh-CN"/>
              </w:rPr>
              <w:t xml:space="preserve">2、修订《过滤清场标准操作规程》（SOP-XT2 (DR)-206/01），在文件中明确规定：菌渣转运的液压车，每次使用后用湿润的丝光毛巾擦拭外表面及车轮至目测无可见异物，自然晾干后存放至指定区域。     </w:t>
            </w:r>
          </w:p>
          <w:p w14:paraId="320307D9">
            <w:pPr>
              <w:numPr>
                <w:ilvl w:val="0"/>
                <w:numId w:val="0"/>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3、在修订后的文件生效前对相关人员进行培训。</w:t>
            </w:r>
          </w:p>
        </w:tc>
        <w:tc>
          <w:tcPr>
            <w:tcW w:w="948" w:type="dxa"/>
            <w:vAlign w:val="center"/>
          </w:tcPr>
          <w:p w14:paraId="0114669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29D08624">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39F4FBC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06B2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5198F91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CAPA-EI2606006</w:t>
            </w:r>
          </w:p>
        </w:tc>
        <w:tc>
          <w:tcPr>
            <w:tcW w:w="1176" w:type="dxa"/>
            <w:vAlign w:val="center"/>
          </w:tcPr>
          <w:p w14:paraId="1D6A40A5">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2026.06.17</w:t>
            </w:r>
          </w:p>
        </w:tc>
        <w:tc>
          <w:tcPr>
            <w:tcW w:w="1104" w:type="dxa"/>
            <w:vAlign w:val="center"/>
          </w:tcPr>
          <w:p w14:paraId="6A0233C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201二车间</w:t>
            </w:r>
          </w:p>
        </w:tc>
        <w:tc>
          <w:tcPr>
            <w:tcW w:w="1188" w:type="dxa"/>
            <w:vAlign w:val="center"/>
          </w:tcPr>
          <w:p w14:paraId="7C5654E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w:t>
            </w:r>
          </w:p>
        </w:tc>
        <w:tc>
          <w:tcPr>
            <w:tcW w:w="1344" w:type="dxa"/>
            <w:vAlign w:val="center"/>
          </w:tcPr>
          <w:p w14:paraId="24A65C1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265D8BC7">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修订《201二车间多拉菌素提炼烘包岗位操作程序》（SOP-FT3(DR)-416/11）在文件中明确规定：每批成品包装完成入库前，操作人员在洁净区外包间粘贴入库标签的同时需粘贴桶号标识，桶号标识内容为“桶号/总桶数”，以1批产品共计包装19桶为例，其桶号标识即为1/19、2/19、3/19.....19/19。桶号标识由车间工艺员统一打印、发放，操作人员领取并粘贴在桶身箭头标识的下方位置，粘贴时优先粘贴整桶，最后粘贴零头桶。同时建立“桶号标识领用记录”，记录发放日期、标识内容、数量、发放人、领用人及用途。</w:t>
            </w:r>
          </w:p>
          <w:p w14:paraId="78A32F31">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2、修订《多拉菌素提炼工段工艺规程》(KP-FT3-DR-002/16)，在《多拉菌素提炼工段生产批记录》（QR3-KP-FT3-DR-002/16）中烘包工序增加桶号标识的相关记录。</w:t>
            </w:r>
          </w:p>
          <w:p w14:paraId="00BB471E">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修订《201二车间多拉菌素提炼产品重新分装标准操作规程》（SOP-FT3(DR)-417/05），在文件中明确规定：从仓库领回的产品，需确认领取的产品包装纤维桶上的桶号标识并记录，重新分装后的产品如需更换包装纤维桶，则重新领取并在包装纤维桶上依次粘贴桶号标识。同时在《201二车间多拉菌素(DR)提炼产品重新分装记录》（QR1-SOP-FT3(DR)-417/05）和《201二车间多拉菌(DR)提炼产品内标签粘贴/气泡脚填充记录》（QR2-SOP-FT3(DR)-417/05）中增加桶号标识的相关记录。</w:t>
            </w:r>
          </w:p>
          <w:p w14:paraId="7B661C49">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对修订后的文件《201二车间多拉菌素提炼产品重新分装标准操作规程》（SOP-FT3(DR)-417/06）、《201二车间多拉菌素提炼烘包岗位操作程序》（SOP-FT3(DR)-416/12）、《多拉菌素提炼工段工艺规程》（KP-FT3-DR-002/17）在文件批准后生效之前对相关人员进行培训。</w:t>
            </w:r>
          </w:p>
        </w:tc>
        <w:tc>
          <w:tcPr>
            <w:tcW w:w="948" w:type="dxa"/>
            <w:vAlign w:val="center"/>
          </w:tcPr>
          <w:p w14:paraId="7D84976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620CEF5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61A98CEF">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3E51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6664E9A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CAPA-EI2606007</w:t>
            </w:r>
          </w:p>
        </w:tc>
        <w:tc>
          <w:tcPr>
            <w:tcW w:w="1176" w:type="dxa"/>
            <w:vAlign w:val="center"/>
          </w:tcPr>
          <w:p w14:paraId="3B7E95B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2026.06.17</w:t>
            </w:r>
          </w:p>
        </w:tc>
        <w:tc>
          <w:tcPr>
            <w:tcW w:w="1104" w:type="dxa"/>
            <w:vAlign w:val="center"/>
          </w:tcPr>
          <w:p w14:paraId="6B5689A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201二车间</w:t>
            </w:r>
          </w:p>
        </w:tc>
        <w:tc>
          <w:tcPr>
            <w:tcW w:w="1188" w:type="dxa"/>
            <w:vAlign w:val="center"/>
          </w:tcPr>
          <w:p w14:paraId="5A997F9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多拉菌素</w:t>
            </w:r>
          </w:p>
        </w:tc>
        <w:tc>
          <w:tcPr>
            <w:tcW w:w="1344" w:type="dxa"/>
            <w:vAlign w:val="center"/>
          </w:tcPr>
          <w:p w14:paraId="329C08F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tc>
        <w:tc>
          <w:tcPr>
            <w:tcW w:w="5256" w:type="dxa"/>
            <w:vAlign w:val="center"/>
          </w:tcPr>
          <w:p w14:paraId="17E76C66">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1.将多拉菌素生产过程中用于溶剂含量检测的比重计全部更换为便携式音叉密度计/浓度计(统称为音叉密度计),该音叉密度计采用频率信号源激励金属音叉,使其以固有中心频率自由振动;音叉振动频率与液体密度呈固定对应关系,通过解析频率信号实现液体密度测定,配合温度补偿消除温漂影响。设备内置各介质密度-浓度换算方程,自动输出20°C标况浓度,集密度、浓度、波美度检测功能于一体,同时内置各介质密度-浓度换算方程,可按需选择对应待测液体类型。该音叉密度计精度为0.05%,误差范围为±0.1%;经第三方机构校验合格后方可使用。 </w:t>
            </w:r>
          </w:p>
          <w:p w14:paraId="7A91D6D0">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使用新增的音叉密度计和原有的比重计分别对3批洗脱液中的甲醇浓度和二次结晶液中的丙酮浓度进行检测,确认新增的音叉密度计与原比重计的检测结果具有一致性能够准确反映多拉菌素生产过程中甲醇和丙酮的含量结果。</w:t>
            </w:r>
          </w:p>
          <w:p w14:paraId="429C61D8">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修订《201二车间多拉菌素提炼萃取岗位操作程序》(SOP-FT3(DR)-410/06)、《201二车间多拉菌素提炼层析岗位操作程序》(SOP-FT3(DR)-411/05)、《201二车间多拉菌素提炼一次精制岗位操作程序》(SOP-FT3(DR)-412/04)、《201二车间多拉菌素提炼二次精制岗位操作程序》(SOP-FT3(DR)-413/04),删除文件中关于比重计和《酒精计温度浓度换算表》(APP1-SOP-FT3(DR)-411/05)相关内容;同时增加音叉密度计的使用方法及注意事项:用不锈钢桶放在配制罐或者溶剂中转罐取样口正下方,打开取样阀,排放待检测溶液30s后,用量简量取100-200ml待检测溶液检测溶液浓度,将音叉密度计探头全部浸入待检测溶液中,液面没过整个密度计探头振动部位,保持探头不动,静置20~60秒,待仪器浓度数值稳定后,显示结果即为所检测样品溶液的浓度结果,读取该结果并记录。每次使用时不可只沾液面;应将音叉密度计探头缓慢放入,避免音叉缝隙包裹气泡,进而导致检测浓度数值严重偏低的情况。</w:t>
            </w:r>
          </w:p>
          <w:p w14:paraId="008A0051">
            <w:pPr>
              <w:numPr>
                <w:ilvl w:val="0"/>
                <w:numId w:val="0"/>
              </w:numPr>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对修订后的文件《201二车间多拉菌素提炼萃取岗位操作程序》(SOP-FT3(DR)-410/07)、《201二车间多拉菌素提炼层析岗位操作程序》（SOP-FT3(DR)-411/06）、《201二车间多拉菌素提炼一次精制岗位操作程序》（SOP-FT3(DR)-412/05）、《201二车间多拉菌素提炼二次精制岗位操作程序》（SOP-FT3(DR)-413/05）在文件批准后生效之前对相关人员进行培训。</w:t>
            </w:r>
          </w:p>
        </w:tc>
        <w:tc>
          <w:tcPr>
            <w:tcW w:w="948" w:type="dxa"/>
            <w:vAlign w:val="center"/>
          </w:tcPr>
          <w:p w14:paraId="094B4A8B">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1027" w:type="dxa"/>
            <w:vAlign w:val="center"/>
          </w:tcPr>
          <w:p w14:paraId="26868EA1">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c>
          <w:tcPr>
            <w:tcW w:w="964" w:type="dxa"/>
            <w:vAlign w:val="center"/>
          </w:tcPr>
          <w:p w14:paraId="647F5AFD">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进行中</w:t>
            </w:r>
          </w:p>
        </w:tc>
      </w:tr>
      <w:tr w14:paraId="19D7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76" w:type="dxa"/>
            <w:vAlign w:val="center"/>
          </w:tcPr>
          <w:p w14:paraId="1BAFFDB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CAPA-PC2606008</w:t>
            </w:r>
          </w:p>
        </w:tc>
        <w:tc>
          <w:tcPr>
            <w:tcW w:w="1176" w:type="dxa"/>
            <w:vAlign w:val="center"/>
          </w:tcPr>
          <w:p w14:paraId="5C7FBCC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2026.06.17</w:t>
            </w:r>
          </w:p>
        </w:tc>
        <w:tc>
          <w:tcPr>
            <w:tcW w:w="1104" w:type="dxa"/>
            <w:vAlign w:val="center"/>
          </w:tcPr>
          <w:p w14:paraId="586652D9">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生产管理部</w:t>
            </w:r>
          </w:p>
        </w:tc>
        <w:tc>
          <w:tcPr>
            <w:tcW w:w="1188" w:type="dxa"/>
            <w:vAlign w:val="center"/>
          </w:tcPr>
          <w:p w14:paraId="221DF0D2">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344" w:type="dxa"/>
            <w:vAlign w:val="center"/>
          </w:tcPr>
          <w:p w14:paraId="125B3707">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PC-2606003</w:t>
            </w:r>
          </w:p>
        </w:tc>
        <w:tc>
          <w:tcPr>
            <w:tcW w:w="5256" w:type="dxa"/>
            <w:vAlign w:val="center"/>
          </w:tcPr>
          <w:p w14:paraId="35613192">
            <w:pPr>
              <w:numPr>
                <w:ilvl w:val="0"/>
                <w:numId w:val="0"/>
              </w:numPr>
              <w:ind w:leftChars="0"/>
              <w:rPr>
                <w:rFonts w:hint="default" w:ascii="Times New Roman" w:hAnsi="Times New Roman" w:eastAsia="宋体" w:cs="Times New Roman"/>
                <w:lang w:val="en-US" w:eastAsia="zh-CN"/>
              </w:rPr>
            </w:pPr>
          </w:p>
        </w:tc>
        <w:tc>
          <w:tcPr>
            <w:tcW w:w="948" w:type="dxa"/>
            <w:vAlign w:val="center"/>
          </w:tcPr>
          <w:p w14:paraId="1DE46ED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1027" w:type="dxa"/>
            <w:vAlign w:val="center"/>
          </w:tcPr>
          <w:p w14:paraId="43C8DEC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964" w:type="dxa"/>
            <w:vAlign w:val="center"/>
          </w:tcPr>
          <w:p w14:paraId="0863460A">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r>
      <w:permEnd w:id="0"/>
    </w:tbl>
    <w:p w14:paraId="49D82CE8">
      <w:pPr>
        <w:jc w:val="left"/>
        <w:rPr>
          <w:rFonts w:hint="eastAsia" w:ascii="Times New Roman" w:hAnsi="Times New Roman" w:eastAsia="宋体" w:cs="Times New Roman"/>
          <w:b w:val="0"/>
          <w:bCs w:val="0"/>
          <w:kern w:val="2"/>
          <w:sz w:val="21"/>
          <w:szCs w:val="21"/>
          <w:lang w:val="en-US" w:eastAsia="zh-CN" w:bidi="ar-SA"/>
        </w:rPr>
      </w:pPr>
    </w:p>
    <w:p w14:paraId="4047FC6D">
      <w:pPr>
        <w:jc w:val="left"/>
        <w:rPr>
          <w:rFonts w:hint="eastAsia" w:ascii="Times New Roman" w:hAnsi="Times New Roman" w:eastAsia="宋体" w:cs="Times New Roman"/>
          <w:b/>
          <w:bCs/>
          <w:kern w:val="2"/>
          <w:sz w:val="18"/>
          <w:szCs w:val="18"/>
          <w:lang w:val="en-US" w:eastAsia="zh-CN" w:bidi="ar-SA"/>
        </w:rPr>
      </w:pPr>
      <w:r>
        <w:rPr>
          <w:rFonts w:hint="eastAsia" w:ascii="Times New Roman" w:hAnsi="Times New Roman" w:eastAsia="宋体" w:cs="Times New Roman"/>
          <w:b w:val="0"/>
          <w:bCs w:val="0"/>
          <w:kern w:val="2"/>
          <w:sz w:val="21"/>
          <w:szCs w:val="21"/>
          <w:lang w:val="en-US" w:eastAsia="zh-CN" w:bidi="ar-SA"/>
        </w:rPr>
        <w:t xml:space="preserve">QA质量员/日期：                                                          QA负责人/日期：                               </w:t>
      </w:r>
    </w:p>
    <w:sectPr>
      <w:headerReference r:id="rId3" w:type="default"/>
      <w:pgSz w:w="16838" w:h="11906" w:orient="landscape"/>
      <w:pgMar w:top="624" w:right="1134" w:bottom="624" w:left="1417" w:header="680" w:footer="82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436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5"/>
      <w:gridCol w:w="6630"/>
      <w:gridCol w:w="3105"/>
    </w:tblGrid>
    <w:tr w14:paraId="46FD8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exact"/>
        <w:tblHeader/>
      </w:trPr>
      <w:tc>
        <w:tcPr>
          <w:tcW w:w="14360" w:type="dxa"/>
          <w:gridSpan w:val="3"/>
          <w:vAlign w:val="bottom"/>
        </w:tcPr>
        <w:p w14:paraId="0B0A685D">
          <w:pPr>
            <w:tabs>
              <w:tab w:val="left" w:pos="2772"/>
            </w:tabs>
            <w:snapToGrid w:val="0"/>
            <w:ind w:left="0" w:leftChars="0" w:right="0" w:rightChars="0" w:firstLine="0" w:firstLineChars="0"/>
            <w:jc w:val="center"/>
            <w:rPr>
              <w:rFonts w:hint="default" w:ascii="Times New Roman" w:hAnsi="Times New Roman" w:eastAsia="宋体" w:cs="Times New Roman"/>
              <w:b/>
              <w:sz w:val="21"/>
              <w:szCs w:val="21"/>
              <w:lang w:eastAsia="zh-CN"/>
            </w:rPr>
          </w:pPr>
          <w:r>
            <w:rPr>
              <w:rFonts w:hint="default" w:ascii="Times New Roman" w:hAnsi="Times New Roman" w:eastAsia="宋体" w:cs="Times New Roman"/>
              <w:b/>
              <w:bCs/>
              <w:spacing w:val="4"/>
              <w:szCs w:val="21"/>
              <w:lang w:val="zh-CN" w:eastAsia="zh-CN"/>
            </w:rPr>
            <w:drawing>
              <wp:anchor distT="0" distB="0" distL="114300" distR="114300" simplePos="0" relativeHeight="251659264" behindDoc="0" locked="0" layoutInCell="1" allowOverlap="1">
                <wp:simplePos x="0" y="0"/>
                <wp:positionH relativeFrom="page">
                  <wp:posOffset>4384675</wp:posOffset>
                </wp:positionH>
                <wp:positionV relativeFrom="page">
                  <wp:posOffset>27305</wp:posOffset>
                </wp:positionV>
                <wp:extent cx="839470" cy="269875"/>
                <wp:effectExtent l="0" t="0" r="13970" b="4445"/>
                <wp:wrapNone/>
                <wp:docPr id="1" name="图片 1"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丽珠标志2"/>
                        <pic:cNvPicPr>
                          <a:picLocks noChangeAspect="1"/>
                        </pic:cNvPicPr>
                      </pic:nvPicPr>
                      <pic:blipFill>
                        <a:blip r:embed="rId1"/>
                        <a:stretch>
                          <a:fillRect/>
                        </a:stretch>
                      </pic:blipFill>
                      <pic:spPr>
                        <a:xfrm>
                          <a:off x="0" y="0"/>
                          <a:ext cx="839470" cy="269875"/>
                        </a:xfrm>
                        <a:prstGeom prst="rect">
                          <a:avLst/>
                        </a:prstGeom>
                        <a:noFill/>
                        <a:ln w="9525">
                          <a:noFill/>
                          <a:miter/>
                        </a:ln>
                      </pic:spPr>
                    </pic:pic>
                  </a:graphicData>
                </a:graphic>
              </wp:anchor>
            </w:drawing>
          </w:r>
        </w:p>
      </w:tc>
    </w:tr>
    <w:tr w14:paraId="58BB6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exact"/>
        <w:tblHeader/>
      </w:trPr>
      <w:tc>
        <w:tcPr>
          <w:tcW w:w="4625" w:type="dxa"/>
          <w:vAlign w:val="center"/>
        </w:tcPr>
        <w:p w14:paraId="7EAB56EE">
          <w:pPr>
            <w:keepNext w:val="0"/>
            <w:keepLines w:val="0"/>
            <w:pageBreakBefore w:val="0"/>
            <w:widowControl w:val="0"/>
            <w:kinsoku/>
            <w:wordWrap/>
            <w:overflowPunct/>
            <w:topLinePunct w:val="0"/>
            <w:autoSpaceDE/>
            <w:autoSpaceDN/>
            <w:bidi w:val="0"/>
            <w:adjustRightInd/>
            <w:spacing w:line="360" w:lineRule="atLeast"/>
            <w:ind w:left="0" w:leftChars="0" w:right="0" w:rightChars="0" w:firstLine="0" w:firstLineChars="0"/>
            <w:jc w:val="left"/>
            <w:textAlignment w:val="auto"/>
            <w:outlineLvl w:val="9"/>
            <w:rPr>
              <w:rFonts w:hint="default" w:ascii="Times New Roman" w:hAnsi="Times New Roman" w:cs="Times New Roman"/>
              <w:b/>
              <w:bCs w:val="0"/>
              <w:sz w:val="18"/>
              <w:szCs w:val="18"/>
            </w:rPr>
          </w:pPr>
          <w:r>
            <w:rPr>
              <w:rFonts w:hint="default" w:ascii="Times New Roman" w:hAnsi="Times New Roman" w:cs="Times New Roman"/>
              <w:b/>
              <w:bCs w:val="0"/>
              <w:sz w:val="18"/>
              <w:szCs w:val="18"/>
            </w:rPr>
            <w:t>纠正与预防措施</w:t>
          </w:r>
          <w:r>
            <w:rPr>
              <w:rFonts w:hint="default" w:ascii="Times New Roman" w:hAnsi="Times New Roman" w:cs="Times New Roman"/>
              <w:b/>
              <w:bCs w:val="0"/>
              <w:sz w:val="18"/>
              <w:szCs w:val="18"/>
              <w:lang w:val="en-US" w:eastAsia="zh-CN"/>
            </w:rPr>
            <w:t>(CAPA)</w:t>
          </w:r>
          <w:r>
            <w:rPr>
              <w:rFonts w:hint="default" w:ascii="Times New Roman" w:hAnsi="Times New Roman" w:cs="Times New Roman"/>
              <w:b/>
              <w:bCs w:val="0"/>
              <w:sz w:val="18"/>
              <w:szCs w:val="18"/>
            </w:rPr>
            <w:t>管理程序</w:t>
          </w:r>
        </w:p>
        <w:p w14:paraId="6018CBDF">
          <w:pPr>
            <w:snapToGrid w:val="0"/>
            <w:ind w:left="-77" w:leftChars="-51" w:right="-86" w:rightChars="-41" w:hanging="30" w:hangingChars="16"/>
            <w:jc w:val="center"/>
            <w:rPr>
              <w:rFonts w:hint="eastAsia" w:ascii="Times New Roman" w:hAnsi="Times New Roman" w:eastAsia="宋体" w:cs="Times New Roman"/>
              <w:b/>
              <w:bCs/>
              <w:spacing w:val="4"/>
              <w:sz w:val="18"/>
              <w:szCs w:val="18"/>
              <w:lang w:val="en-US" w:eastAsia="zh-CN"/>
            </w:rPr>
          </w:pPr>
        </w:p>
      </w:tc>
      <w:tc>
        <w:tcPr>
          <w:tcW w:w="6630" w:type="dxa"/>
          <w:vAlign w:val="center"/>
        </w:tcPr>
        <w:p w14:paraId="31BE86A4">
          <w:pPr>
            <w:tabs>
              <w:tab w:val="left" w:pos="3780"/>
            </w:tabs>
            <w:snapToGrid w:val="0"/>
            <w:jc w:val="center"/>
            <w:rPr>
              <w:rFonts w:hint="eastAsia" w:ascii="Times New Roman" w:hAnsi="Times New Roman" w:eastAsia="宋体" w:cs="Times New Roman"/>
              <w:b/>
              <w:bCs/>
              <w:spacing w:val="4"/>
              <w:sz w:val="18"/>
              <w:szCs w:val="18"/>
              <w:lang w:eastAsia="zh-CN"/>
            </w:rPr>
          </w:pPr>
          <w:r>
            <w:rPr>
              <w:rFonts w:hint="default" w:ascii="Times New Roman" w:hAnsi="Times New Roman" w:cs="Times New Roman"/>
              <w:b/>
              <w:bCs w:val="0"/>
              <w:sz w:val="18"/>
              <w:szCs w:val="18"/>
            </w:rPr>
            <w:t>Corrective and preventive actions (CAPA) Management procedure</w:t>
          </w:r>
        </w:p>
      </w:tc>
      <w:tc>
        <w:tcPr>
          <w:tcW w:w="3105" w:type="dxa"/>
          <w:vAlign w:val="center"/>
        </w:tcPr>
        <w:p w14:paraId="4D912B2F">
          <w:pPr>
            <w:tabs>
              <w:tab w:val="left" w:pos="2772"/>
            </w:tabs>
            <w:snapToGrid w:val="0"/>
            <w:ind w:right="-107" w:rightChars="-51"/>
            <w:jc w:val="right"/>
            <w:rPr>
              <w:rFonts w:hint="default" w:ascii="Times New Roman" w:hAnsi="Times New Roman" w:eastAsia="宋体" w:cs="Times New Roman"/>
              <w:b/>
              <w:bCs/>
              <w:spacing w:val="4"/>
              <w:sz w:val="18"/>
              <w:szCs w:val="18"/>
              <w:lang w:val="en-US" w:eastAsia="zh-CN"/>
            </w:rPr>
          </w:pPr>
          <w:r>
            <w:rPr>
              <w:rFonts w:hint="eastAsia" w:ascii="Times New Roman" w:hAnsi="Times New Roman" w:eastAsia="宋体" w:cs="Times New Roman"/>
              <w:b/>
              <w:bCs/>
              <w:spacing w:val="4"/>
              <w:sz w:val="18"/>
              <w:szCs w:val="18"/>
              <w:lang w:val="en-US" w:eastAsia="zh-CN"/>
            </w:rPr>
            <w:t>APP2-SMP-QA-013/08</w:t>
          </w:r>
        </w:p>
      </w:tc>
    </w:tr>
  </w:tbl>
  <w:p w14:paraId="1E0B5529">
    <w:pPr>
      <w:pStyle w:val="5"/>
      <w:jc w:val="center"/>
      <w:rPr>
        <w:rFonts w:hint="default" w:ascii="Times New Roman" w:hAnsi="Times New Roman" w:cs="Times New Roman" w:eastAsiaTheme="minorEastAsia"/>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margin">
                <wp:posOffset>8671560</wp:posOffset>
              </wp:positionH>
              <wp:positionV relativeFrom="paragraph">
                <wp:posOffset>-8255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B2DCA">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NUMPAGES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12</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82.8pt;margin-top:-0.65pt;height:144pt;width:144pt;mso-position-horizontal-relative:margin;mso-wrap-style:none;z-index:251660288;mso-width-relative:page;mso-height-relative:page;" filled="f" stroked="f" coordsize="21600,21600" o:gfxdata="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gJEJ9gAAAAMAQAADwAAAAAAAAABACAAAAAiAAAAZHJzL2Rvd25yZXYueG1s&#10;UEsBAhQAFAAAAAgAh07iQCSCRrQxAgAAYQQAAA4AAAAAAAAAAQAgAAAAJwEAAGRycy9lMm9Eb2Mu&#10;eG1sUEsFBgAAAAAGAAYAWQEAAMoFAAAAAA==&#10;">
              <v:fill on="f" focussize="0,0"/>
              <v:stroke on="f" weight="0.5pt"/>
              <v:imagedata o:title=""/>
              <o:lock v:ext="edit" aspectratio="f"/>
              <v:textbox inset="0mm,0mm,0mm,0mm" style="mso-fit-shape-to-text:t;">
                <w:txbxContent>
                  <w:p w14:paraId="0A2B2DCA">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NUMPAGES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12</w:t>
                    </w:r>
                    <w:r>
                      <w:rPr>
                        <w:rFonts w:hint="default" w:ascii="Times New Roman" w:hAnsi="Times New Roman" w:cs="Times New Roman"/>
                        <w:sz w:val="21"/>
                        <w:szCs w:val="21"/>
                      </w:rPr>
                      <w:fldChar w:fldCharType="end"/>
                    </w:r>
                  </w:p>
                </w:txbxContent>
              </v:textbox>
            </v:shape>
          </w:pict>
        </mc:Fallback>
      </mc:AlternateConten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5B649"/>
    <w:multiLevelType w:val="singleLevel"/>
    <w:tmpl w:val="8CC5B649"/>
    <w:lvl w:ilvl="0" w:tentative="0">
      <w:start w:val="1"/>
      <w:numFmt w:val="decimal"/>
      <w:suff w:val="nothing"/>
      <w:lvlText w:val="%1、"/>
      <w:lvlJc w:val="left"/>
    </w:lvl>
  </w:abstractNum>
  <w:abstractNum w:abstractNumId="1">
    <w:nsid w:val="99DD86FD"/>
    <w:multiLevelType w:val="singleLevel"/>
    <w:tmpl w:val="99DD86FD"/>
    <w:lvl w:ilvl="0" w:tentative="0">
      <w:start w:val="1"/>
      <w:numFmt w:val="decimal"/>
      <w:suff w:val="nothing"/>
      <w:lvlText w:val="%1、"/>
      <w:lvlJc w:val="left"/>
    </w:lvl>
  </w:abstractNum>
  <w:abstractNum w:abstractNumId="2">
    <w:nsid w:val="A7F52B84"/>
    <w:multiLevelType w:val="singleLevel"/>
    <w:tmpl w:val="A7F52B84"/>
    <w:lvl w:ilvl="0" w:tentative="0">
      <w:start w:val="1"/>
      <w:numFmt w:val="decimal"/>
      <w:suff w:val="nothing"/>
      <w:lvlText w:val="%1、"/>
      <w:lvlJc w:val="left"/>
    </w:lvl>
  </w:abstractNum>
  <w:abstractNum w:abstractNumId="3">
    <w:nsid w:val="B0674E16"/>
    <w:multiLevelType w:val="singleLevel"/>
    <w:tmpl w:val="B0674E16"/>
    <w:lvl w:ilvl="0" w:tentative="0">
      <w:start w:val="1"/>
      <w:numFmt w:val="decimal"/>
      <w:suff w:val="nothing"/>
      <w:lvlText w:val="%1、"/>
      <w:lvlJc w:val="left"/>
    </w:lvl>
  </w:abstractNum>
  <w:abstractNum w:abstractNumId="4">
    <w:nsid w:val="BCA26386"/>
    <w:multiLevelType w:val="singleLevel"/>
    <w:tmpl w:val="BCA26386"/>
    <w:lvl w:ilvl="0" w:tentative="0">
      <w:start w:val="1"/>
      <w:numFmt w:val="decimal"/>
      <w:suff w:val="nothing"/>
      <w:lvlText w:val="%1、"/>
      <w:lvlJc w:val="left"/>
    </w:lvl>
  </w:abstractNum>
  <w:abstractNum w:abstractNumId="5">
    <w:nsid w:val="BCADF510"/>
    <w:multiLevelType w:val="singleLevel"/>
    <w:tmpl w:val="BCADF510"/>
    <w:lvl w:ilvl="0" w:tentative="0">
      <w:start w:val="1"/>
      <w:numFmt w:val="decimal"/>
      <w:suff w:val="nothing"/>
      <w:lvlText w:val="%1、"/>
      <w:lvlJc w:val="left"/>
    </w:lvl>
  </w:abstractNum>
  <w:abstractNum w:abstractNumId="6">
    <w:nsid w:val="BD3CB2BC"/>
    <w:multiLevelType w:val="singleLevel"/>
    <w:tmpl w:val="BD3CB2BC"/>
    <w:lvl w:ilvl="0" w:tentative="0">
      <w:start w:val="1"/>
      <w:numFmt w:val="decimal"/>
      <w:suff w:val="nothing"/>
      <w:lvlText w:val="%1、"/>
      <w:lvlJc w:val="left"/>
    </w:lvl>
  </w:abstractNum>
  <w:abstractNum w:abstractNumId="7">
    <w:nsid w:val="CC899117"/>
    <w:multiLevelType w:val="singleLevel"/>
    <w:tmpl w:val="CC899117"/>
    <w:lvl w:ilvl="0" w:tentative="0">
      <w:start w:val="1"/>
      <w:numFmt w:val="decimal"/>
      <w:suff w:val="nothing"/>
      <w:lvlText w:val="%1、"/>
      <w:lvlJc w:val="left"/>
    </w:lvl>
  </w:abstractNum>
  <w:abstractNum w:abstractNumId="8">
    <w:nsid w:val="EBF8EA89"/>
    <w:multiLevelType w:val="singleLevel"/>
    <w:tmpl w:val="EBF8EA89"/>
    <w:lvl w:ilvl="0" w:tentative="0">
      <w:start w:val="1"/>
      <w:numFmt w:val="decimal"/>
      <w:suff w:val="nothing"/>
      <w:lvlText w:val="%1、"/>
      <w:lvlJc w:val="left"/>
    </w:lvl>
  </w:abstractNum>
  <w:abstractNum w:abstractNumId="9">
    <w:nsid w:val="EC974BF0"/>
    <w:multiLevelType w:val="singleLevel"/>
    <w:tmpl w:val="EC974BF0"/>
    <w:lvl w:ilvl="0" w:tentative="0">
      <w:start w:val="1"/>
      <w:numFmt w:val="decimalEnclosedCircleChinese"/>
      <w:suff w:val="nothing"/>
      <w:lvlText w:val="%1　"/>
      <w:lvlJc w:val="left"/>
      <w:pPr>
        <w:ind w:left="0" w:firstLine="400"/>
      </w:pPr>
      <w:rPr>
        <w:rFonts w:hint="eastAsia"/>
      </w:rPr>
    </w:lvl>
  </w:abstractNum>
  <w:abstractNum w:abstractNumId="10">
    <w:nsid w:val="048A0FF3"/>
    <w:multiLevelType w:val="singleLevel"/>
    <w:tmpl w:val="048A0FF3"/>
    <w:lvl w:ilvl="0" w:tentative="0">
      <w:start w:val="1"/>
      <w:numFmt w:val="decimal"/>
      <w:suff w:val="nothing"/>
      <w:lvlText w:val="%1、"/>
      <w:lvlJc w:val="left"/>
    </w:lvl>
  </w:abstractNum>
  <w:abstractNum w:abstractNumId="11">
    <w:nsid w:val="0ADD54F9"/>
    <w:multiLevelType w:val="singleLevel"/>
    <w:tmpl w:val="0ADD54F9"/>
    <w:lvl w:ilvl="0" w:tentative="0">
      <w:start w:val="1"/>
      <w:numFmt w:val="decimal"/>
      <w:suff w:val="nothing"/>
      <w:lvlText w:val="%1、"/>
      <w:lvlJc w:val="left"/>
    </w:lvl>
  </w:abstractNum>
  <w:abstractNum w:abstractNumId="12">
    <w:nsid w:val="0CD408AB"/>
    <w:multiLevelType w:val="singleLevel"/>
    <w:tmpl w:val="0CD408AB"/>
    <w:lvl w:ilvl="0" w:tentative="0">
      <w:start w:val="1"/>
      <w:numFmt w:val="decimal"/>
      <w:suff w:val="nothing"/>
      <w:lvlText w:val="%1、"/>
      <w:lvlJc w:val="left"/>
    </w:lvl>
  </w:abstractNum>
  <w:abstractNum w:abstractNumId="13">
    <w:nsid w:val="2429BD33"/>
    <w:multiLevelType w:val="singleLevel"/>
    <w:tmpl w:val="2429BD33"/>
    <w:lvl w:ilvl="0" w:tentative="0">
      <w:start w:val="1"/>
      <w:numFmt w:val="decimal"/>
      <w:suff w:val="nothing"/>
      <w:lvlText w:val="%1、"/>
      <w:lvlJc w:val="left"/>
    </w:lvl>
  </w:abstractNum>
  <w:abstractNum w:abstractNumId="14">
    <w:nsid w:val="2A05E57E"/>
    <w:multiLevelType w:val="singleLevel"/>
    <w:tmpl w:val="2A05E57E"/>
    <w:lvl w:ilvl="0" w:tentative="0">
      <w:start w:val="1"/>
      <w:numFmt w:val="decimal"/>
      <w:suff w:val="nothing"/>
      <w:lvlText w:val="%1、"/>
      <w:lvlJc w:val="left"/>
    </w:lvl>
  </w:abstractNum>
  <w:abstractNum w:abstractNumId="15">
    <w:nsid w:val="2B6FDCE6"/>
    <w:multiLevelType w:val="singleLevel"/>
    <w:tmpl w:val="2B6FDCE6"/>
    <w:lvl w:ilvl="0" w:tentative="0">
      <w:start w:val="1"/>
      <w:numFmt w:val="decimal"/>
      <w:suff w:val="nothing"/>
      <w:lvlText w:val="%1、"/>
      <w:lvlJc w:val="left"/>
    </w:lvl>
  </w:abstractNum>
  <w:abstractNum w:abstractNumId="16">
    <w:nsid w:val="2D303C3B"/>
    <w:multiLevelType w:val="singleLevel"/>
    <w:tmpl w:val="2D303C3B"/>
    <w:lvl w:ilvl="0" w:tentative="0">
      <w:start w:val="1"/>
      <w:numFmt w:val="decimal"/>
      <w:suff w:val="nothing"/>
      <w:lvlText w:val="%1、"/>
      <w:lvlJc w:val="left"/>
    </w:lvl>
  </w:abstractNum>
  <w:abstractNum w:abstractNumId="17">
    <w:nsid w:val="3A8BB50B"/>
    <w:multiLevelType w:val="singleLevel"/>
    <w:tmpl w:val="3A8BB50B"/>
    <w:lvl w:ilvl="0" w:tentative="0">
      <w:start w:val="1"/>
      <w:numFmt w:val="decimal"/>
      <w:suff w:val="nothing"/>
      <w:lvlText w:val="%1、"/>
      <w:lvlJc w:val="left"/>
    </w:lvl>
  </w:abstractNum>
  <w:abstractNum w:abstractNumId="18">
    <w:nsid w:val="44482530"/>
    <w:multiLevelType w:val="singleLevel"/>
    <w:tmpl w:val="44482530"/>
    <w:lvl w:ilvl="0" w:tentative="0">
      <w:start w:val="1"/>
      <w:numFmt w:val="decimal"/>
      <w:suff w:val="nothing"/>
      <w:lvlText w:val="%1、"/>
      <w:lvlJc w:val="left"/>
    </w:lvl>
  </w:abstractNum>
  <w:abstractNum w:abstractNumId="19">
    <w:nsid w:val="46869686"/>
    <w:multiLevelType w:val="singleLevel"/>
    <w:tmpl w:val="46869686"/>
    <w:lvl w:ilvl="0" w:tentative="0">
      <w:start w:val="1"/>
      <w:numFmt w:val="decimal"/>
      <w:suff w:val="nothing"/>
      <w:lvlText w:val="%1、"/>
      <w:lvlJc w:val="left"/>
    </w:lvl>
  </w:abstractNum>
  <w:abstractNum w:abstractNumId="20">
    <w:nsid w:val="4EECA1D4"/>
    <w:multiLevelType w:val="singleLevel"/>
    <w:tmpl w:val="4EECA1D4"/>
    <w:lvl w:ilvl="0" w:tentative="0">
      <w:start w:val="1"/>
      <w:numFmt w:val="decimal"/>
      <w:suff w:val="nothing"/>
      <w:lvlText w:val="%1、"/>
      <w:lvlJc w:val="left"/>
    </w:lvl>
  </w:abstractNum>
  <w:abstractNum w:abstractNumId="21">
    <w:nsid w:val="512517F1"/>
    <w:multiLevelType w:val="singleLevel"/>
    <w:tmpl w:val="512517F1"/>
    <w:lvl w:ilvl="0" w:tentative="0">
      <w:start w:val="1"/>
      <w:numFmt w:val="decimalEnclosedCircleChinese"/>
      <w:suff w:val="nothing"/>
      <w:lvlText w:val="%1　"/>
      <w:lvlJc w:val="left"/>
      <w:pPr>
        <w:ind w:left="0" w:firstLine="400"/>
      </w:pPr>
      <w:rPr>
        <w:rFonts w:hint="eastAsia"/>
      </w:rPr>
    </w:lvl>
  </w:abstractNum>
  <w:abstractNum w:abstractNumId="22">
    <w:nsid w:val="584B34D1"/>
    <w:multiLevelType w:val="singleLevel"/>
    <w:tmpl w:val="584B34D1"/>
    <w:lvl w:ilvl="0" w:tentative="0">
      <w:start w:val="1"/>
      <w:numFmt w:val="decimal"/>
      <w:suff w:val="nothing"/>
      <w:lvlText w:val="%1、"/>
      <w:lvlJc w:val="left"/>
    </w:lvl>
  </w:abstractNum>
  <w:abstractNum w:abstractNumId="23">
    <w:nsid w:val="62C1FE11"/>
    <w:multiLevelType w:val="singleLevel"/>
    <w:tmpl w:val="62C1FE11"/>
    <w:lvl w:ilvl="0" w:tentative="0">
      <w:start w:val="1"/>
      <w:numFmt w:val="decimal"/>
      <w:suff w:val="nothing"/>
      <w:lvlText w:val="%1、"/>
      <w:lvlJc w:val="left"/>
    </w:lvl>
  </w:abstractNum>
  <w:abstractNum w:abstractNumId="24">
    <w:nsid w:val="6C5B3A5F"/>
    <w:multiLevelType w:val="singleLevel"/>
    <w:tmpl w:val="6C5B3A5F"/>
    <w:lvl w:ilvl="0" w:tentative="0">
      <w:start w:val="1"/>
      <w:numFmt w:val="decimal"/>
      <w:suff w:val="nothing"/>
      <w:lvlText w:val="%1、"/>
      <w:lvlJc w:val="left"/>
    </w:lvl>
  </w:abstractNum>
  <w:abstractNum w:abstractNumId="25">
    <w:nsid w:val="6FFD0E95"/>
    <w:multiLevelType w:val="singleLevel"/>
    <w:tmpl w:val="6FFD0E95"/>
    <w:lvl w:ilvl="0" w:tentative="0">
      <w:start w:val="1"/>
      <w:numFmt w:val="decimal"/>
      <w:suff w:val="nothing"/>
      <w:lvlText w:val="%1、"/>
      <w:lvlJc w:val="left"/>
    </w:lvl>
  </w:abstractNum>
  <w:abstractNum w:abstractNumId="26">
    <w:nsid w:val="71DA5FF5"/>
    <w:multiLevelType w:val="singleLevel"/>
    <w:tmpl w:val="71DA5FF5"/>
    <w:lvl w:ilvl="0" w:tentative="0">
      <w:start w:val="1"/>
      <w:numFmt w:val="decimal"/>
      <w:suff w:val="nothing"/>
      <w:lvlText w:val="%1、"/>
      <w:lvlJc w:val="left"/>
    </w:lvl>
  </w:abstractNum>
  <w:num w:numId="1">
    <w:abstractNumId w:val="2"/>
  </w:num>
  <w:num w:numId="2">
    <w:abstractNumId w:val="5"/>
  </w:num>
  <w:num w:numId="3">
    <w:abstractNumId w:val="19"/>
  </w:num>
  <w:num w:numId="4">
    <w:abstractNumId w:val="18"/>
  </w:num>
  <w:num w:numId="5">
    <w:abstractNumId w:val="24"/>
  </w:num>
  <w:num w:numId="6">
    <w:abstractNumId w:val="6"/>
  </w:num>
  <w:num w:numId="7">
    <w:abstractNumId w:val="8"/>
  </w:num>
  <w:num w:numId="8">
    <w:abstractNumId w:val="3"/>
  </w:num>
  <w:num w:numId="9">
    <w:abstractNumId w:val="15"/>
  </w:num>
  <w:num w:numId="10">
    <w:abstractNumId w:val="26"/>
  </w:num>
  <w:num w:numId="11">
    <w:abstractNumId w:val="16"/>
  </w:num>
  <w:num w:numId="12">
    <w:abstractNumId w:val="21"/>
  </w:num>
  <w:num w:numId="13">
    <w:abstractNumId w:val="23"/>
  </w:num>
  <w:num w:numId="14">
    <w:abstractNumId w:val="14"/>
  </w:num>
  <w:num w:numId="15">
    <w:abstractNumId w:val="9"/>
  </w:num>
  <w:num w:numId="16">
    <w:abstractNumId w:val="1"/>
  </w:num>
  <w:num w:numId="17">
    <w:abstractNumId w:val="10"/>
  </w:num>
  <w:num w:numId="18">
    <w:abstractNumId w:val="17"/>
  </w:num>
  <w:num w:numId="19">
    <w:abstractNumId w:val="12"/>
  </w:num>
  <w:num w:numId="20">
    <w:abstractNumId w:val="7"/>
  </w:num>
  <w:num w:numId="21">
    <w:abstractNumId w:val="20"/>
  </w:num>
  <w:num w:numId="22">
    <w:abstractNumId w:val="25"/>
  </w:num>
  <w:num w:numId="23">
    <w:abstractNumId w:val="13"/>
  </w:num>
  <w:num w:numId="24">
    <w:abstractNumId w:val="4"/>
  </w:num>
  <w:num w:numId="25">
    <w:abstractNumId w:val="11"/>
  </w:num>
  <w:num w:numId="26">
    <w:abstractNumId w:val="0"/>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hhNGZiYjFkNzFmODM2ZGE4MzJlYzcxYWZlYjkyZDIifQ=="/>
  </w:docVars>
  <w:rsids>
    <w:rsidRoot w:val="707302A3"/>
    <w:rsid w:val="00064A88"/>
    <w:rsid w:val="001260DC"/>
    <w:rsid w:val="007A160C"/>
    <w:rsid w:val="01957B45"/>
    <w:rsid w:val="01B23907"/>
    <w:rsid w:val="01DC539A"/>
    <w:rsid w:val="02861EBA"/>
    <w:rsid w:val="02B73058"/>
    <w:rsid w:val="02CF3917"/>
    <w:rsid w:val="02DD6E7B"/>
    <w:rsid w:val="03111591"/>
    <w:rsid w:val="03710399"/>
    <w:rsid w:val="03777CCE"/>
    <w:rsid w:val="037C5055"/>
    <w:rsid w:val="03E5503B"/>
    <w:rsid w:val="050C374B"/>
    <w:rsid w:val="05272FDA"/>
    <w:rsid w:val="056D52E8"/>
    <w:rsid w:val="05C8270D"/>
    <w:rsid w:val="060D2627"/>
    <w:rsid w:val="06604CD4"/>
    <w:rsid w:val="06A25458"/>
    <w:rsid w:val="06BD5DFB"/>
    <w:rsid w:val="07302756"/>
    <w:rsid w:val="076042B6"/>
    <w:rsid w:val="077E302C"/>
    <w:rsid w:val="08557237"/>
    <w:rsid w:val="0930533D"/>
    <w:rsid w:val="096D640C"/>
    <w:rsid w:val="09867045"/>
    <w:rsid w:val="09D1122D"/>
    <w:rsid w:val="09E56B5E"/>
    <w:rsid w:val="0A8C6BCD"/>
    <w:rsid w:val="0AA81BE5"/>
    <w:rsid w:val="0AFB4BFF"/>
    <w:rsid w:val="0B732135"/>
    <w:rsid w:val="0C357D40"/>
    <w:rsid w:val="0D5618D6"/>
    <w:rsid w:val="0E157728"/>
    <w:rsid w:val="0E9676FB"/>
    <w:rsid w:val="0EA4736C"/>
    <w:rsid w:val="0EE62C92"/>
    <w:rsid w:val="0F16254C"/>
    <w:rsid w:val="0F695893"/>
    <w:rsid w:val="0FB70D16"/>
    <w:rsid w:val="0FBD15A4"/>
    <w:rsid w:val="0FE0609B"/>
    <w:rsid w:val="0FF202FE"/>
    <w:rsid w:val="10130DBD"/>
    <w:rsid w:val="101345A0"/>
    <w:rsid w:val="111F3607"/>
    <w:rsid w:val="11391F05"/>
    <w:rsid w:val="114A3378"/>
    <w:rsid w:val="117017EA"/>
    <w:rsid w:val="11C30E90"/>
    <w:rsid w:val="11E05564"/>
    <w:rsid w:val="11E445B1"/>
    <w:rsid w:val="120D27FF"/>
    <w:rsid w:val="123A6019"/>
    <w:rsid w:val="1247572A"/>
    <w:rsid w:val="135F25C4"/>
    <w:rsid w:val="13C06F2A"/>
    <w:rsid w:val="13ED6D54"/>
    <w:rsid w:val="1477223C"/>
    <w:rsid w:val="149368D9"/>
    <w:rsid w:val="151C7F38"/>
    <w:rsid w:val="151E0F44"/>
    <w:rsid w:val="15575627"/>
    <w:rsid w:val="15B33927"/>
    <w:rsid w:val="15B627FB"/>
    <w:rsid w:val="15DA492C"/>
    <w:rsid w:val="15FE2461"/>
    <w:rsid w:val="161E05BE"/>
    <w:rsid w:val="172C47C3"/>
    <w:rsid w:val="17A906D6"/>
    <w:rsid w:val="18036168"/>
    <w:rsid w:val="181C30D1"/>
    <w:rsid w:val="1838494B"/>
    <w:rsid w:val="19356F72"/>
    <w:rsid w:val="19386EC5"/>
    <w:rsid w:val="1A3B6430"/>
    <w:rsid w:val="1A3E04B3"/>
    <w:rsid w:val="1A5E72E6"/>
    <w:rsid w:val="1BB43313"/>
    <w:rsid w:val="1C4C615F"/>
    <w:rsid w:val="1CA27B15"/>
    <w:rsid w:val="1CBD75C3"/>
    <w:rsid w:val="1D0609AB"/>
    <w:rsid w:val="1DAF35DC"/>
    <w:rsid w:val="1DB418AE"/>
    <w:rsid w:val="1DF63C75"/>
    <w:rsid w:val="1E0C69DD"/>
    <w:rsid w:val="1E1B215A"/>
    <w:rsid w:val="1E327A76"/>
    <w:rsid w:val="1E901910"/>
    <w:rsid w:val="1EBD3182"/>
    <w:rsid w:val="1FE741BD"/>
    <w:rsid w:val="1FF22424"/>
    <w:rsid w:val="207A7E72"/>
    <w:rsid w:val="209059F9"/>
    <w:rsid w:val="20A34D14"/>
    <w:rsid w:val="20B67574"/>
    <w:rsid w:val="20DD0773"/>
    <w:rsid w:val="21F85512"/>
    <w:rsid w:val="228026A7"/>
    <w:rsid w:val="22DA1CF4"/>
    <w:rsid w:val="239844CE"/>
    <w:rsid w:val="23AC6839"/>
    <w:rsid w:val="245528F9"/>
    <w:rsid w:val="24B60E97"/>
    <w:rsid w:val="25733F7D"/>
    <w:rsid w:val="265831B7"/>
    <w:rsid w:val="269E420B"/>
    <w:rsid w:val="272F2A41"/>
    <w:rsid w:val="277201A8"/>
    <w:rsid w:val="27EB24DE"/>
    <w:rsid w:val="28085CD7"/>
    <w:rsid w:val="28361EAD"/>
    <w:rsid w:val="288947A5"/>
    <w:rsid w:val="29570E5F"/>
    <w:rsid w:val="29A70DD2"/>
    <w:rsid w:val="29F373B4"/>
    <w:rsid w:val="2A501D77"/>
    <w:rsid w:val="2A6E2FC8"/>
    <w:rsid w:val="2AD34E06"/>
    <w:rsid w:val="2B2B4341"/>
    <w:rsid w:val="2B8347BD"/>
    <w:rsid w:val="2D326085"/>
    <w:rsid w:val="2D330B58"/>
    <w:rsid w:val="2DD11CCD"/>
    <w:rsid w:val="2E275DF7"/>
    <w:rsid w:val="2EB84898"/>
    <w:rsid w:val="30E4374E"/>
    <w:rsid w:val="322113F0"/>
    <w:rsid w:val="326D3F42"/>
    <w:rsid w:val="33263434"/>
    <w:rsid w:val="33E70A5F"/>
    <w:rsid w:val="34180984"/>
    <w:rsid w:val="34290D06"/>
    <w:rsid w:val="359D07F0"/>
    <w:rsid w:val="36434BAE"/>
    <w:rsid w:val="365135C4"/>
    <w:rsid w:val="36B7131E"/>
    <w:rsid w:val="3713504F"/>
    <w:rsid w:val="37A829BD"/>
    <w:rsid w:val="37C74FE9"/>
    <w:rsid w:val="37D42972"/>
    <w:rsid w:val="382E57CE"/>
    <w:rsid w:val="38981F1B"/>
    <w:rsid w:val="38D00055"/>
    <w:rsid w:val="39291A55"/>
    <w:rsid w:val="393641DF"/>
    <w:rsid w:val="3B6A2B28"/>
    <w:rsid w:val="3C624E37"/>
    <w:rsid w:val="3C837A68"/>
    <w:rsid w:val="3DCA4826"/>
    <w:rsid w:val="3E0C2FCA"/>
    <w:rsid w:val="3E2619A1"/>
    <w:rsid w:val="3E9903D7"/>
    <w:rsid w:val="3EC83160"/>
    <w:rsid w:val="3F632155"/>
    <w:rsid w:val="3FD963E7"/>
    <w:rsid w:val="40843AC4"/>
    <w:rsid w:val="413011D4"/>
    <w:rsid w:val="42191E7C"/>
    <w:rsid w:val="425B77B0"/>
    <w:rsid w:val="43C03FD5"/>
    <w:rsid w:val="45966F15"/>
    <w:rsid w:val="464A15C7"/>
    <w:rsid w:val="472C79F4"/>
    <w:rsid w:val="47581E9C"/>
    <w:rsid w:val="47A50B19"/>
    <w:rsid w:val="47C016D8"/>
    <w:rsid w:val="4809063F"/>
    <w:rsid w:val="48165864"/>
    <w:rsid w:val="482A083B"/>
    <w:rsid w:val="485D26DA"/>
    <w:rsid w:val="490D03CB"/>
    <w:rsid w:val="492C413F"/>
    <w:rsid w:val="499B4F9A"/>
    <w:rsid w:val="49ED1396"/>
    <w:rsid w:val="4A7D6F43"/>
    <w:rsid w:val="4AEF6A61"/>
    <w:rsid w:val="4B1A63CE"/>
    <w:rsid w:val="4B882634"/>
    <w:rsid w:val="4B8E5586"/>
    <w:rsid w:val="4BDF1ABF"/>
    <w:rsid w:val="4D9E38E4"/>
    <w:rsid w:val="4DA02D26"/>
    <w:rsid w:val="4DFA480C"/>
    <w:rsid w:val="4E267D49"/>
    <w:rsid w:val="4E873E20"/>
    <w:rsid w:val="4E9046A9"/>
    <w:rsid w:val="4EBD4248"/>
    <w:rsid w:val="4F4532DC"/>
    <w:rsid w:val="4F914407"/>
    <w:rsid w:val="50553A17"/>
    <w:rsid w:val="50AE4E71"/>
    <w:rsid w:val="50B0697B"/>
    <w:rsid w:val="50FE4074"/>
    <w:rsid w:val="51AD127D"/>
    <w:rsid w:val="51ED7C9D"/>
    <w:rsid w:val="524F3C30"/>
    <w:rsid w:val="536E4EA8"/>
    <w:rsid w:val="54A42BA3"/>
    <w:rsid w:val="54F33D75"/>
    <w:rsid w:val="55911C2C"/>
    <w:rsid w:val="561813A4"/>
    <w:rsid w:val="56227CB8"/>
    <w:rsid w:val="566979CD"/>
    <w:rsid w:val="56FF3704"/>
    <w:rsid w:val="57AE07FF"/>
    <w:rsid w:val="580D337A"/>
    <w:rsid w:val="58446830"/>
    <w:rsid w:val="58596663"/>
    <w:rsid w:val="5933734A"/>
    <w:rsid w:val="59CA0EBF"/>
    <w:rsid w:val="5BA74194"/>
    <w:rsid w:val="5C654A37"/>
    <w:rsid w:val="5CE23C97"/>
    <w:rsid w:val="5DFD7537"/>
    <w:rsid w:val="5E0E5663"/>
    <w:rsid w:val="5E2B2C11"/>
    <w:rsid w:val="5E543F33"/>
    <w:rsid w:val="5E5601F2"/>
    <w:rsid w:val="5EBB170B"/>
    <w:rsid w:val="5EBF7ACD"/>
    <w:rsid w:val="5F3A341E"/>
    <w:rsid w:val="5F817287"/>
    <w:rsid w:val="604E49A1"/>
    <w:rsid w:val="60501D32"/>
    <w:rsid w:val="60653E46"/>
    <w:rsid w:val="60684480"/>
    <w:rsid w:val="60893905"/>
    <w:rsid w:val="60CA6A40"/>
    <w:rsid w:val="61876670"/>
    <w:rsid w:val="61B4196B"/>
    <w:rsid w:val="61F77DB1"/>
    <w:rsid w:val="62FB6D8F"/>
    <w:rsid w:val="63BB4468"/>
    <w:rsid w:val="64143339"/>
    <w:rsid w:val="64D72411"/>
    <w:rsid w:val="65294ACD"/>
    <w:rsid w:val="65E06705"/>
    <w:rsid w:val="65E174B2"/>
    <w:rsid w:val="67315D25"/>
    <w:rsid w:val="6750469C"/>
    <w:rsid w:val="67CF341E"/>
    <w:rsid w:val="67D875E2"/>
    <w:rsid w:val="68074A22"/>
    <w:rsid w:val="681E6FAF"/>
    <w:rsid w:val="68450332"/>
    <w:rsid w:val="686139AD"/>
    <w:rsid w:val="68CC342C"/>
    <w:rsid w:val="68EA62B7"/>
    <w:rsid w:val="6B841228"/>
    <w:rsid w:val="6BD137E0"/>
    <w:rsid w:val="6BD775AA"/>
    <w:rsid w:val="6C233343"/>
    <w:rsid w:val="6C8E3D42"/>
    <w:rsid w:val="6D7C0B1F"/>
    <w:rsid w:val="6D8404B9"/>
    <w:rsid w:val="6DE00659"/>
    <w:rsid w:val="6F763E46"/>
    <w:rsid w:val="6FA17078"/>
    <w:rsid w:val="6FEB70BF"/>
    <w:rsid w:val="6FF41BE6"/>
    <w:rsid w:val="70402022"/>
    <w:rsid w:val="707302A3"/>
    <w:rsid w:val="70B247BC"/>
    <w:rsid w:val="70BF2889"/>
    <w:rsid w:val="70D50D59"/>
    <w:rsid w:val="70DF56AB"/>
    <w:rsid w:val="71122AEB"/>
    <w:rsid w:val="71367A0A"/>
    <w:rsid w:val="72B04AC5"/>
    <w:rsid w:val="73477AED"/>
    <w:rsid w:val="73BE250E"/>
    <w:rsid w:val="74BD57E5"/>
    <w:rsid w:val="74F12F44"/>
    <w:rsid w:val="75253649"/>
    <w:rsid w:val="75473925"/>
    <w:rsid w:val="75B049AF"/>
    <w:rsid w:val="75B15153"/>
    <w:rsid w:val="760A7432"/>
    <w:rsid w:val="76533568"/>
    <w:rsid w:val="76A0260B"/>
    <w:rsid w:val="76BD08AE"/>
    <w:rsid w:val="76ED16AC"/>
    <w:rsid w:val="771A24FC"/>
    <w:rsid w:val="783F0807"/>
    <w:rsid w:val="797846B3"/>
    <w:rsid w:val="7A141EA5"/>
    <w:rsid w:val="7A31442C"/>
    <w:rsid w:val="7A465C82"/>
    <w:rsid w:val="7ABA14C7"/>
    <w:rsid w:val="7BA92733"/>
    <w:rsid w:val="7C051008"/>
    <w:rsid w:val="7C0E6C9B"/>
    <w:rsid w:val="7CB31792"/>
    <w:rsid w:val="7D6E10FE"/>
    <w:rsid w:val="7D9748EF"/>
    <w:rsid w:val="7DF115AC"/>
    <w:rsid w:val="7E543BE8"/>
    <w:rsid w:val="7E787019"/>
    <w:rsid w:val="7EC94CAA"/>
    <w:rsid w:val="7F19388B"/>
    <w:rsid w:val="7F4A35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table of figures"/>
    <w:basedOn w:val="1"/>
    <w:next w:val="1"/>
    <w:qFormat/>
    <w:uiPriority w:val="0"/>
    <w:pPr>
      <w:ind w:leftChars="200" w:hanging="200" w:hangingChars="200"/>
    </w:p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qFormat/>
    <w:uiPriority w:val="0"/>
    <w:rPr>
      <w:color w:val="35A1D4"/>
      <w:u w:val="single"/>
    </w:rPr>
  </w:style>
  <w:style w:type="character" w:styleId="10">
    <w:name w:val="Hyperlink"/>
    <w:basedOn w:val="8"/>
    <w:qFormat/>
    <w:uiPriority w:val="0"/>
    <w:rPr>
      <w:color w:val="35A1D4"/>
      <w:u w:val="single"/>
    </w:rPr>
  </w:style>
  <w:style w:type="character" w:customStyle="1" w:styleId="11">
    <w:name w:val="split"/>
    <w:basedOn w:val="8"/>
    <w:qFormat/>
    <w:uiPriority w:val="0"/>
    <w:rPr>
      <w:sz w:val="0"/>
      <w:szCs w:val="0"/>
      <w:shd w:val="clear" w:fill="959595"/>
    </w:rPr>
  </w:style>
  <w:style w:type="character" w:customStyle="1" w:styleId="12">
    <w:name w:val="NormalCharacter"/>
    <w:qFormat/>
    <w:uiPriority w:val="0"/>
    <w:rPr>
      <w:rFonts w:ascii="Times New Roman" w:hAnsi="Times New Roman" w:eastAsia="宋体"/>
    </w:rPr>
  </w:style>
  <w:style w:type="paragraph" w:customStyle="1" w:styleId="13">
    <w:name w:val="Table Paragraph"/>
    <w:basedOn w:val="1"/>
    <w:qFormat/>
    <w:uiPriority w:val="1"/>
    <w:pPr>
      <w:ind w:left="106"/>
    </w:pPr>
    <w:rPr>
      <w:rFonts w:ascii="宋体" w:hAnsi="宋体" w:eastAsia="宋体" w:cs="宋体"/>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5284</Words>
  <Characters>7710</Characters>
  <Lines>0</Lines>
  <Paragraphs>0</Paragraphs>
  <TotalTime>21</TotalTime>
  <ScaleCrop>false</ScaleCrop>
  <LinksUpToDate>false</LinksUpToDate>
  <CharactersWithSpaces>7732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2016-03-15T09:09:00Z</dcterms:created>
  <dc:creator>QA1</dc:creator>
  <cp:lastModifiedBy>莫小张</cp:lastModifiedBy>
  <cp:lastPrinted>2026-06-15T07:05:00Z</cp:lastPrinted>
  <dcterms:modified xsi:type="dcterms:W3CDTF">2026-06-30T03:43:10Z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D445BF873A4F4DE181DCA1F7EDCE3B15_13</vt:lpwstr>
  </property>
  <property fmtid="{D5CDD505-2E9C-101B-9397-08002B2CF9AE}" pid="4" name="commondata">
    <vt:lpwstr>eyJoZGlkIjoiZDhhNGZiYjFkNzFmODM2ZGE4MzJlYzcxYWZlYjkyZDIifQ==</vt:lpwstr>
  </property>
</Properties>
</file>