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0583EA">
      <w:pPr>
        <w:rPr>
          <w:rFonts w:hint="eastAsia" w:ascii="Times New Roman" w:hAnsi="Times New Roman" w:cs="Times New Roman"/>
          <w:b/>
          <w:sz w:val="30"/>
          <w:szCs w:val="30"/>
          <w:lang w:val="en-US" w:eastAsia="zh-CN"/>
        </w:rPr>
      </w:pPr>
      <w:permStart w:id="0" w:edGrp="everyone"/>
      <w:permEnd w:id="0"/>
      <w:bookmarkStart w:id="5" w:name="_GoBack"/>
      <w:bookmarkEnd w:id="5"/>
      <w:r>
        <w:rPr>
          <w:rFonts w:hint="eastAsia"/>
          <w:b/>
          <w:bCs/>
          <w:color w:val="000000"/>
          <w:kern w:val="22"/>
          <w:sz w:val="21"/>
          <w:szCs w:val="21"/>
          <w:lang w:val="en-US" w:eastAsia="zh-CN"/>
        </w:rPr>
        <w:t xml:space="preserve">                                                                                                                                             </w:t>
      </w:r>
    </w:p>
    <w:p w14:paraId="110CCCE5">
      <w:pPr>
        <w:jc w:val="center"/>
        <w:rPr>
          <w:rFonts w:hint="eastAsia" w:ascii="Times New Roman" w:hAnsi="Times New Roman" w:cs="Times New Roman"/>
          <w:b/>
          <w:sz w:val="52"/>
          <w:szCs w:val="52"/>
          <w:lang w:val="en-US" w:eastAsia="zh-CN"/>
        </w:rPr>
      </w:pPr>
    </w:p>
    <w:p w14:paraId="2904FABA">
      <w:pPr>
        <w:jc w:val="both"/>
        <w:rPr>
          <w:rFonts w:hint="eastAsia" w:ascii="Times New Roman" w:hAnsi="Times New Roman" w:cs="Times New Roman"/>
          <w:b/>
          <w:sz w:val="52"/>
          <w:szCs w:val="52"/>
          <w:lang w:val="en-US" w:eastAsia="zh-CN"/>
        </w:rPr>
      </w:pPr>
    </w:p>
    <w:p w14:paraId="39C1689C">
      <w:pPr>
        <w:jc w:val="center"/>
        <w:rPr>
          <w:rFonts w:hint="eastAsia" w:ascii="黑体" w:hAnsi="黑体" w:eastAsia="黑体" w:cs="黑体"/>
          <w:b/>
          <w:sz w:val="48"/>
          <w:szCs w:val="48"/>
          <w:lang w:val="en-US" w:eastAsia="zh-CN"/>
        </w:rPr>
      </w:pPr>
      <w:r>
        <w:rPr>
          <w:rFonts w:hint="eastAsia" w:ascii="黑体" w:hAnsi="黑体" w:eastAsia="黑体" w:cs="黑体"/>
          <w:b/>
          <w:sz w:val="48"/>
          <w:szCs w:val="48"/>
          <w:lang w:val="en-US" w:eastAsia="zh-CN"/>
        </w:rPr>
        <w:t>偏 差 登 记 表</w:t>
      </w:r>
    </w:p>
    <w:p w14:paraId="7D36655A">
      <w:pPr>
        <w:rPr>
          <w:rFonts w:hint="eastAsia" w:ascii="Times New Roman" w:hAnsi="Times New Roman" w:cs="Times New Roman"/>
          <w:b/>
          <w:sz w:val="30"/>
          <w:szCs w:val="30"/>
          <w:lang w:val="en-US" w:eastAsia="zh-CN"/>
        </w:rPr>
      </w:pPr>
    </w:p>
    <w:p w14:paraId="2A129EE4">
      <w:pPr>
        <w:rPr>
          <w:rFonts w:hint="eastAsia" w:ascii="Times New Roman" w:hAnsi="Times New Roman" w:cs="Times New Roman"/>
          <w:b/>
          <w:sz w:val="30"/>
          <w:szCs w:val="30"/>
          <w:lang w:val="en-US" w:eastAsia="zh-CN"/>
        </w:rPr>
      </w:pPr>
    </w:p>
    <w:p w14:paraId="403BF785">
      <w:pPr>
        <w:rPr>
          <w:rFonts w:hint="eastAsia" w:ascii="Times New Roman" w:hAnsi="Times New Roman" w:cs="Times New Roman"/>
          <w:b/>
          <w:sz w:val="30"/>
          <w:szCs w:val="30"/>
          <w:lang w:val="en-US" w:eastAsia="zh-CN"/>
        </w:rPr>
      </w:pPr>
    </w:p>
    <w:p w14:paraId="6980D4BF">
      <w:pPr>
        <w:rPr>
          <w:rFonts w:hint="eastAsia" w:ascii="Times New Roman" w:hAnsi="Times New Roman" w:cs="Times New Roman"/>
          <w:b/>
          <w:sz w:val="30"/>
          <w:szCs w:val="30"/>
          <w:lang w:val="en-US" w:eastAsia="zh-CN"/>
        </w:rPr>
      </w:pPr>
    </w:p>
    <w:p w14:paraId="0560E416">
      <w:pPr>
        <w:jc w:val="center"/>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质量保证部（QA）</w:t>
      </w:r>
    </w:p>
    <w:p w14:paraId="030B3280">
      <w:pPr>
        <w:rPr>
          <w:rFonts w:hint="eastAsia" w:ascii="Times New Roman" w:hAnsi="Times New Roman" w:cs="Times New Roman"/>
          <w:b/>
          <w:sz w:val="30"/>
          <w:szCs w:val="30"/>
          <w:lang w:val="en-US" w:eastAsia="zh-CN"/>
        </w:rPr>
      </w:pPr>
    </w:p>
    <w:p w14:paraId="557169D0">
      <w:pPr>
        <w:rPr>
          <w:rFonts w:hint="eastAsia" w:ascii="Times New Roman" w:hAnsi="Times New Roman" w:cs="Times New Roman"/>
          <w:b/>
          <w:sz w:val="30"/>
          <w:szCs w:val="30"/>
          <w:lang w:val="en-US" w:eastAsia="zh-CN"/>
        </w:rPr>
      </w:pPr>
    </w:p>
    <w:p w14:paraId="4FCB4CCB">
      <w:pPr>
        <w:rPr>
          <w:rFonts w:hint="eastAsia" w:ascii="Times New Roman" w:hAnsi="Times New Roman" w:cs="Times New Roman"/>
          <w:b/>
          <w:sz w:val="30"/>
          <w:szCs w:val="30"/>
          <w:lang w:val="en-US" w:eastAsia="zh-CN"/>
        </w:rPr>
      </w:pPr>
    </w:p>
    <w:p w14:paraId="0D104701">
      <w:pPr>
        <w:rPr>
          <w:rFonts w:hint="eastAsia" w:ascii="Times New Roman" w:hAnsi="Times New Roman" w:cs="Times New Roman"/>
          <w:b/>
          <w:sz w:val="30"/>
          <w:szCs w:val="30"/>
          <w:lang w:val="en-US" w:eastAsia="zh-CN"/>
        </w:rPr>
      </w:pPr>
    </w:p>
    <w:p w14:paraId="6EB0680E">
      <w:pPr>
        <w:jc w:val="center"/>
        <w:rPr>
          <w:rFonts w:hint="eastAsia" w:ascii="Times New Roman" w:hAnsi="Times New Roman" w:cs="Times New Roman"/>
          <w:b w:val="0"/>
          <w:bCs/>
          <w:sz w:val="28"/>
          <w:szCs w:val="28"/>
          <w:lang w:val="en-US" w:eastAsia="zh-CN"/>
        </w:rPr>
        <w:sectPr>
          <w:headerReference r:id="rId3" w:type="default"/>
          <w:footerReference r:id="rId4" w:type="default"/>
          <w:type w:val="continuous"/>
          <w:pgSz w:w="16838" w:h="11906" w:orient="landscape"/>
          <w:pgMar w:top="1417" w:right="680" w:bottom="1134" w:left="680" w:header="680" w:footer="765" w:gutter="0"/>
          <w:paperSrc/>
          <w:pgNumType w:fmt="decimal"/>
          <w:cols w:space="720" w:num="1"/>
          <w:rtlGutter w:val="0"/>
          <w:docGrid w:type="lines" w:linePitch="312" w:charSpace="0"/>
        </w:sectPr>
      </w:pPr>
      <w:permStart w:id="1" w:edGrp="everyone"/>
      <w:r>
        <w:rPr>
          <w:rFonts w:hint="eastAsia" w:ascii="Times New Roman" w:hAnsi="Times New Roman" w:eastAsia="宋体" w:cs="Times New Roman"/>
          <w:b w:val="0"/>
          <w:bCs/>
          <w:sz w:val="28"/>
          <w:szCs w:val="28"/>
          <w:lang w:val="en-US" w:eastAsia="zh-CN"/>
        </w:rPr>
        <w:t xml:space="preserve">  2026  </w:t>
      </w:r>
      <w:permEnd w:id="1"/>
      <w:r>
        <w:rPr>
          <w:rFonts w:hint="default" w:ascii="Times New Roman" w:hAnsi="Times New Roman" w:eastAsia="宋体" w:cs="Times New Roman"/>
          <w:b w:val="0"/>
          <w:bCs/>
          <w:sz w:val="28"/>
          <w:szCs w:val="28"/>
          <w:lang w:val="en-US" w:eastAsia="zh-CN"/>
        </w:rPr>
        <w:t>年</w:t>
      </w:r>
      <w:permStart w:id="2" w:edGrp="everyone"/>
      <w:r>
        <w:rPr>
          <w:rFonts w:hint="eastAsia" w:ascii="Times New Roman" w:hAnsi="Times New Roman" w:eastAsia="宋体" w:cs="Times New Roman"/>
          <w:b w:val="0"/>
          <w:bCs/>
          <w:sz w:val="28"/>
          <w:szCs w:val="28"/>
          <w:lang w:val="en-US" w:eastAsia="zh-CN"/>
        </w:rPr>
        <w:t xml:space="preserve"> 01 </w:t>
      </w:r>
      <w:permEnd w:id="2"/>
      <w:r>
        <w:rPr>
          <w:rFonts w:hint="default" w:ascii="Times New Roman" w:hAnsi="Times New Roman" w:eastAsia="宋体" w:cs="Times New Roman"/>
          <w:b w:val="0"/>
          <w:bCs/>
          <w:sz w:val="28"/>
          <w:szCs w:val="28"/>
          <w:lang w:val="en-US" w:eastAsia="zh-CN"/>
        </w:rPr>
        <w:t>月</w:t>
      </w:r>
      <w:permStart w:id="3" w:edGrp="everyone"/>
      <w:r>
        <w:rPr>
          <w:rFonts w:hint="eastAsia" w:ascii="Times New Roman" w:hAnsi="Times New Roman" w:eastAsia="宋体" w:cs="Times New Roman"/>
          <w:b w:val="0"/>
          <w:bCs/>
          <w:sz w:val="28"/>
          <w:szCs w:val="28"/>
          <w:lang w:val="en-US" w:eastAsia="zh-CN"/>
        </w:rPr>
        <w:t xml:space="preserve"> 01 </w:t>
      </w:r>
      <w:permEnd w:id="3"/>
      <w:r>
        <w:rPr>
          <w:rFonts w:hint="default" w:ascii="Times New Roman" w:hAnsi="Times New Roman" w:eastAsia="宋体" w:cs="Times New Roman"/>
          <w:b w:val="0"/>
          <w:bCs/>
          <w:sz w:val="28"/>
          <w:szCs w:val="28"/>
          <w:lang w:val="en-US" w:eastAsia="zh-CN"/>
        </w:rPr>
        <w:t>日</w:t>
      </w:r>
      <w:r>
        <w:rPr>
          <w:rFonts w:hint="default" w:ascii="Times New Roman" w:hAnsi="Times New Roman" w:eastAsia="宋体" w:cs="Times New Roman"/>
          <w:b w:val="0"/>
          <w:bCs/>
          <w:sz w:val="28"/>
          <w:szCs w:val="28"/>
          <w:lang w:val="en-US" w:eastAsia="zh-CN"/>
        </w:rPr>
        <w:t>－</w:t>
      </w:r>
      <w:permStart w:id="4"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2026</w:t>
      </w:r>
      <w:r>
        <w:rPr>
          <w:rFonts w:hint="default" w:ascii="Times New Roman" w:hAnsi="Times New Roman" w:eastAsia="宋体" w:cs="Times New Roman"/>
          <w:b w:val="0"/>
          <w:bCs/>
          <w:sz w:val="28"/>
          <w:szCs w:val="28"/>
          <w:lang w:val="en-US" w:eastAsia="zh-CN"/>
        </w:rPr>
        <w:t xml:space="preserve"> </w:t>
      </w:r>
      <w:permEnd w:id="4"/>
      <w:r>
        <w:rPr>
          <w:rFonts w:hint="default" w:ascii="Times New Roman" w:hAnsi="Times New Roman" w:eastAsia="宋体" w:cs="Times New Roman"/>
          <w:b w:val="0"/>
          <w:bCs/>
          <w:sz w:val="28"/>
          <w:szCs w:val="28"/>
          <w:lang w:val="en-US" w:eastAsia="zh-CN"/>
        </w:rPr>
        <w:t>年</w:t>
      </w:r>
      <w:permStart w:id="5"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06</w:t>
      </w:r>
      <w:r>
        <w:rPr>
          <w:rFonts w:hint="default" w:ascii="Times New Roman" w:hAnsi="Times New Roman" w:eastAsia="宋体" w:cs="Times New Roman"/>
          <w:b w:val="0"/>
          <w:bCs/>
          <w:sz w:val="28"/>
          <w:szCs w:val="28"/>
          <w:lang w:val="en-US" w:eastAsia="zh-CN"/>
        </w:rPr>
        <w:t xml:space="preserve"> </w:t>
      </w:r>
      <w:permEnd w:id="5"/>
      <w:r>
        <w:rPr>
          <w:rFonts w:hint="default" w:ascii="Times New Roman" w:hAnsi="Times New Roman" w:eastAsia="宋体" w:cs="Times New Roman"/>
          <w:b w:val="0"/>
          <w:bCs/>
          <w:sz w:val="28"/>
          <w:szCs w:val="28"/>
          <w:lang w:val="en-US" w:eastAsia="zh-CN"/>
        </w:rPr>
        <w:t>月</w:t>
      </w:r>
      <w:permStart w:id="6"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15</w:t>
      </w:r>
      <w:r>
        <w:rPr>
          <w:rFonts w:hint="default" w:ascii="Times New Roman" w:hAnsi="Times New Roman" w:eastAsia="宋体" w:cs="Times New Roman"/>
          <w:b w:val="0"/>
          <w:bCs/>
          <w:sz w:val="28"/>
          <w:szCs w:val="28"/>
          <w:lang w:val="en-US" w:eastAsia="zh-CN"/>
        </w:rPr>
        <w:t xml:space="preserve"> </w:t>
      </w:r>
      <w:permEnd w:id="6"/>
      <w:r>
        <w:rPr>
          <w:rFonts w:hint="default" w:ascii="Times New Roman" w:hAnsi="Times New Roman" w:eastAsia="宋体" w:cs="Times New Roman"/>
          <w:b w:val="0"/>
          <w:bCs/>
          <w:sz w:val="28"/>
          <w:szCs w:val="28"/>
          <w:lang w:val="en-US" w:eastAsia="zh-CN"/>
        </w:rPr>
        <w:t>日</w:t>
      </w:r>
    </w:p>
    <w:p w14:paraId="6DB284FA">
      <w:pPr>
        <w:jc w:val="center"/>
        <w:rPr>
          <w:rFonts w:hint="eastAsia" w:ascii="Times New Roman" w:hAnsi="Times New Roman" w:cs="Times New Roman"/>
          <w:b w:val="0"/>
          <w:bCs/>
          <w:sz w:val="28"/>
          <w:szCs w:val="28"/>
          <w:lang w:val="en-US" w:eastAsia="zh-CN"/>
        </w:rPr>
        <w:sectPr>
          <w:type w:val="continuous"/>
          <w:pgSz w:w="16838" w:h="11906" w:orient="landscape"/>
          <w:pgMar w:top="1417" w:right="680" w:bottom="1134" w:left="680" w:header="680" w:footer="765" w:gutter="0"/>
          <w:paperSrc/>
          <w:pgNumType w:fmt="decimal"/>
          <w:cols w:space="720" w:num="1"/>
          <w:rtlGutter w:val="0"/>
          <w:docGrid w:type="lines" w:linePitch="312" w:charSpace="0"/>
        </w:sectPr>
      </w:pPr>
    </w:p>
    <w:p w14:paraId="12BB1BEC">
      <w:pPr>
        <w:spacing w:line="400" w:lineRule="exact"/>
        <w:jc w:val="center"/>
        <w:rPr>
          <w:rFonts w:hint="eastAsia" w:ascii="Times New Roman" w:hAnsi="Times New Roman" w:cs="Times New Roman"/>
          <w:b/>
          <w:sz w:val="32"/>
          <w:szCs w:val="32"/>
          <w:lang w:eastAsia="zh-CN"/>
        </w:rPr>
      </w:pPr>
      <w:r>
        <w:rPr>
          <w:rFonts w:hint="eastAsia" w:ascii="Times New Roman" w:hAnsi="Times New Roman" w:cs="Times New Roman"/>
          <w:b/>
          <w:sz w:val="32"/>
          <w:szCs w:val="32"/>
          <w:lang w:eastAsia="zh-CN"/>
        </w:rPr>
        <w:t>偏差登记表</w:t>
      </w:r>
    </w:p>
    <w:p w14:paraId="22E88312">
      <w:pPr>
        <w:rPr>
          <w:rFonts w:hint="default" w:ascii="Times New Roman" w:hAnsi="Times New Roman" w:cs="Times New Roman"/>
          <w:b/>
          <w:sz w:val="24"/>
        </w:rPr>
      </w:pPr>
      <w:permStart w:id="7" w:edGrp="everyone"/>
      <w:r>
        <w:rPr>
          <w:rFonts w:hint="eastAsia" w:ascii="Times New Roman" w:hAnsi="Times New Roman" w:cs="Times New Roman"/>
          <w:b/>
          <w:sz w:val="24"/>
          <w:u w:val="single"/>
          <w:lang w:val="en-US" w:eastAsia="zh-CN"/>
        </w:rPr>
        <w:t xml:space="preserve">  2026 </w:t>
      </w:r>
      <w:permEnd w:id="7"/>
      <w:r>
        <w:rPr>
          <w:rFonts w:hint="default" w:ascii="Times New Roman" w:hAnsi="Times New Roman" w:cs="Times New Roman"/>
          <w:b/>
          <w:sz w:val="24"/>
        </w:rPr>
        <w:t>年</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5"/>
        <w:gridCol w:w="1230"/>
        <w:gridCol w:w="1065"/>
        <w:gridCol w:w="2535"/>
        <w:gridCol w:w="1340"/>
        <w:gridCol w:w="2755"/>
        <w:gridCol w:w="660"/>
        <w:gridCol w:w="1125"/>
        <w:gridCol w:w="2910"/>
        <w:gridCol w:w="960"/>
        <w:gridCol w:w="663"/>
      </w:tblGrid>
      <w:tr w14:paraId="5EC9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1" w:type="pct"/>
            <w:noWrap w:val="0"/>
            <w:vAlign w:val="center"/>
          </w:tcPr>
          <w:p w14:paraId="48EFE68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kern w:val="0"/>
                <w:sz w:val="20"/>
                <w:szCs w:val="20"/>
                <w:lang w:val="en-US" w:eastAsia="zh-CN"/>
              </w:rPr>
            </w:pPr>
            <w:r>
              <w:rPr>
                <w:rFonts w:hint="eastAsia" w:ascii="宋体" w:hAnsi="宋体" w:cs="宋体"/>
                <w:kern w:val="0"/>
                <w:sz w:val="20"/>
                <w:szCs w:val="20"/>
                <w:lang w:val="en-US" w:eastAsia="zh-CN"/>
              </w:rPr>
              <w:t>序号</w:t>
            </w:r>
          </w:p>
        </w:tc>
        <w:tc>
          <w:tcPr>
            <w:tcW w:w="392" w:type="pct"/>
            <w:noWrap w:val="0"/>
            <w:vAlign w:val="center"/>
          </w:tcPr>
          <w:p w14:paraId="0FDA4D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rPr>
              <w:t>偏差编号</w:t>
            </w:r>
          </w:p>
        </w:tc>
        <w:tc>
          <w:tcPr>
            <w:tcW w:w="339" w:type="pct"/>
            <w:noWrap w:val="0"/>
            <w:vAlign w:val="center"/>
          </w:tcPr>
          <w:p w14:paraId="597702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rPr>
              <w:t>产品名称</w:t>
            </w:r>
            <w:r>
              <w:rPr>
                <w:rFonts w:hint="eastAsia" w:ascii="宋体" w:hAnsi="宋体" w:cs="宋体"/>
                <w:kern w:val="0"/>
                <w:sz w:val="20"/>
                <w:szCs w:val="20"/>
                <w:lang w:val="en-US" w:eastAsia="zh-CN"/>
              </w:rPr>
              <w:t>/</w:t>
            </w:r>
            <w:r>
              <w:rPr>
                <w:rFonts w:hint="eastAsia" w:ascii="宋体" w:hAnsi="宋体" w:cs="宋体"/>
                <w:kern w:val="0"/>
                <w:sz w:val="20"/>
                <w:szCs w:val="20"/>
              </w:rPr>
              <w:t>批号</w:t>
            </w:r>
          </w:p>
        </w:tc>
        <w:tc>
          <w:tcPr>
            <w:tcW w:w="807" w:type="pct"/>
            <w:noWrap w:val="0"/>
            <w:vAlign w:val="center"/>
          </w:tcPr>
          <w:p w14:paraId="582752B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偏差简要描述</w:t>
            </w:r>
          </w:p>
        </w:tc>
        <w:tc>
          <w:tcPr>
            <w:tcW w:w="427" w:type="pct"/>
            <w:noWrap w:val="0"/>
            <w:vAlign w:val="center"/>
          </w:tcPr>
          <w:p w14:paraId="6D1DEA7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lang w:val="en-US" w:eastAsia="zh-CN"/>
              </w:rPr>
              <w:t>偏差是否曾发生</w:t>
            </w:r>
          </w:p>
        </w:tc>
        <w:tc>
          <w:tcPr>
            <w:tcW w:w="878" w:type="pct"/>
            <w:noWrap w:val="0"/>
            <w:vAlign w:val="center"/>
          </w:tcPr>
          <w:p w14:paraId="0551C9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lang w:val="en-US" w:eastAsia="zh-CN"/>
              </w:rPr>
              <w:t>根本</w:t>
            </w:r>
            <w:r>
              <w:rPr>
                <w:rFonts w:hint="eastAsia" w:ascii="宋体" w:hAnsi="宋体" w:cs="宋体"/>
                <w:kern w:val="0"/>
                <w:sz w:val="20"/>
                <w:szCs w:val="20"/>
              </w:rPr>
              <w:t>原因</w:t>
            </w:r>
          </w:p>
        </w:tc>
        <w:tc>
          <w:tcPr>
            <w:tcW w:w="210" w:type="pct"/>
            <w:noWrap w:val="0"/>
            <w:vAlign w:val="center"/>
          </w:tcPr>
          <w:p w14:paraId="3ECF9C1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偏差</w:t>
            </w:r>
            <w:r>
              <w:rPr>
                <w:rFonts w:hint="eastAsia" w:ascii="宋体" w:hAnsi="宋体" w:cs="宋体"/>
                <w:kern w:val="0"/>
                <w:sz w:val="20"/>
                <w:szCs w:val="20"/>
                <w:lang w:eastAsia="zh-CN"/>
              </w:rPr>
              <w:t>等级</w:t>
            </w:r>
          </w:p>
        </w:tc>
        <w:tc>
          <w:tcPr>
            <w:tcW w:w="358" w:type="pct"/>
            <w:noWrap w:val="0"/>
            <w:vAlign w:val="center"/>
          </w:tcPr>
          <w:p w14:paraId="4E0C9D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调查完成时间</w:t>
            </w:r>
          </w:p>
        </w:tc>
        <w:tc>
          <w:tcPr>
            <w:tcW w:w="927" w:type="pct"/>
            <w:noWrap w:val="0"/>
            <w:vAlign w:val="center"/>
          </w:tcPr>
          <w:p w14:paraId="6943B9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纠正预防措施</w:t>
            </w:r>
          </w:p>
        </w:tc>
        <w:tc>
          <w:tcPr>
            <w:tcW w:w="305" w:type="pct"/>
            <w:noWrap w:val="0"/>
            <w:vAlign w:val="center"/>
          </w:tcPr>
          <w:p w14:paraId="6A2C88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宋体" w:eastAsia="宋体" w:cs="宋体"/>
                <w:kern w:val="0"/>
                <w:sz w:val="20"/>
                <w:szCs w:val="20"/>
                <w:lang w:val="en-US" w:eastAsia="zh-CN"/>
              </w:rPr>
            </w:pPr>
            <w:r>
              <w:rPr>
                <w:rFonts w:hint="eastAsia" w:ascii="宋体" w:hAnsi="宋体" w:cs="宋体"/>
                <w:kern w:val="0"/>
                <w:sz w:val="20"/>
                <w:szCs w:val="20"/>
              </w:rPr>
              <w:t>产品</w:t>
            </w:r>
            <w:r>
              <w:rPr>
                <w:rFonts w:hint="eastAsia" w:ascii="宋体" w:hAnsi="宋体" w:cs="宋体"/>
                <w:kern w:val="0"/>
                <w:sz w:val="20"/>
                <w:szCs w:val="20"/>
                <w:lang w:val="en-US" w:eastAsia="zh-CN"/>
              </w:rPr>
              <w:t>/物料</w:t>
            </w:r>
            <w:r>
              <w:rPr>
                <w:rFonts w:hint="eastAsia" w:ascii="宋体" w:hAnsi="宋体" w:cs="宋体"/>
                <w:kern w:val="0"/>
                <w:sz w:val="20"/>
                <w:szCs w:val="20"/>
              </w:rPr>
              <w:t>处理结果</w:t>
            </w:r>
          </w:p>
        </w:tc>
        <w:tc>
          <w:tcPr>
            <w:tcW w:w="211" w:type="pct"/>
            <w:noWrap w:val="0"/>
            <w:vAlign w:val="center"/>
          </w:tcPr>
          <w:p w14:paraId="1D2B27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是否关闭</w:t>
            </w:r>
          </w:p>
        </w:tc>
      </w:tr>
      <w:tr w14:paraId="3F93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26796E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0"/>
                <w:szCs w:val="20"/>
                <w:lang w:val="en-US" w:eastAsia="zh-CN"/>
              </w:rPr>
            </w:pPr>
            <w:permStart w:id="8" w:edGrp="everyone"/>
            <w:r>
              <w:rPr>
                <w:rFonts w:hint="eastAsia" w:ascii="Times New Roman" w:hAnsi="Times New Roman" w:eastAsia="宋体" w:cs="Times New Roman"/>
                <w:sz w:val="20"/>
                <w:szCs w:val="20"/>
                <w:lang w:val="en-US" w:eastAsia="zh-CN"/>
              </w:rPr>
              <w:t>1</w:t>
            </w:r>
          </w:p>
        </w:tc>
        <w:tc>
          <w:tcPr>
            <w:tcW w:w="392" w:type="pct"/>
            <w:noWrap w:val="0"/>
            <w:vAlign w:val="center"/>
          </w:tcPr>
          <w:p w14:paraId="6B1CBF25">
            <w:pPr>
              <w:rPr>
                <w:rFonts w:hint="default" w:ascii="Times New Roman" w:hAnsi="Times New Roman" w:eastAsia="宋体" w:cs="Times New Roman"/>
                <w:sz w:val="20"/>
                <w:szCs w:val="20"/>
              </w:rPr>
            </w:pPr>
            <w:r>
              <w:rPr>
                <w:rFonts w:hint="default" w:ascii="Times New Roman" w:hAnsi="Times New Roman" w:cs="Times New Roman"/>
                <w:sz w:val="20"/>
                <w:szCs w:val="20"/>
              </w:rPr>
              <w:t>PC-2504001</w:t>
            </w:r>
          </w:p>
        </w:tc>
        <w:tc>
          <w:tcPr>
            <w:tcW w:w="339" w:type="pct"/>
            <w:noWrap w:val="0"/>
            <w:vAlign w:val="center"/>
          </w:tcPr>
          <w:p w14:paraId="547995E6">
            <w:pP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807" w:type="pct"/>
            <w:noWrap w:val="0"/>
            <w:vAlign w:val="center"/>
          </w:tcPr>
          <w:p w14:paraId="450669C1">
            <w:pPr>
              <w:widowControl/>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 xml:space="preserve">2025.04.08 </w:t>
            </w:r>
            <w:r>
              <w:rPr>
                <w:rFonts w:hint="default" w:ascii="Times New Roman" w:hAnsi="Times New Roman" w:cs="Times New Roman"/>
                <w:kern w:val="0"/>
                <w:sz w:val="20"/>
                <w:szCs w:val="20"/>
                <w:lang w:val="en-US" w:eastAsia="zh-CN" w:bidi="ar"/>
              </w:rPr>
              <w:t xml:space="preserve">17：20检验员贺立鹏在QC中控中心液相室高效液相色谱仪QC-1-2-008上查看已经运行结束的“20250407波长准确度2”及“20250407波长准确度3”数据时，发现波长准确度242nm的图谱未出咖啡因峰且在1.5分钟有倒峰，276nm图谱未出现咖啡因峰且3.8分钟有倒峰。 </w:t>
            </w:r>
          </w:p>
        </w:tc>
        <w:tc>
          <w:tcPr>
            <w:tcW w:w="427" w:type="pct"/>
            <w:noWrap w:val="0"/>
            <w:vAlign w:val="center"/>
          </w:tcPr>
          <w:p w14:paraId="6BF36E7E">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bookmarkStart w:id="0" w:name="OLE_LINK1"/>
            <w:r>
              <w:rPr>
                <w:rFonts w:hint="eastAsia" w:ascii="Times New Roman" w:hAnsi="Times New Roman" w:eastAsia="宋体" w:cs="Times New Roman"/>
                <w:sz w:val="20"/>
                <w:szCs w:val="20"/>
                <w:lang w:val="en-US" w:eastAsia="zh-CN"/>
              </w:rPr>
              <w:t>□</w:t>
            </w:r>
            <w:bookmarkEnd w:id="0"/>
            <w:r>
              <w:rPr>
                <w:rFonts w:hint="default" w:ascii="Times New Roman" w:hAnsi="Times New Roman" w:eastAsia="宋体" w:cs="Times New Roman"/>
                <w:sz w:val="20"/>
                <w:szCs w:val="20"/>
                <w:lang w:val="en-US" w:eastAsia="zh-CN"/>
              </w:rPr>
              <w:t>是 编号：</w:t>
            </w:r>
          </w:p>
          <w:p w14:paraId="6C30265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23666727">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直接原因;出口单向阀故障导致泵压异常波动。</w:t>
            </w:r>
          </w:p>
          <w:p w14:paraId="2C7BE4E4">
            <w:pPr>
              <w:rPr>
                <w:rFonts w:hint="default" w:ascii="Times New Roman" w:hAnsi="Times New Roman" w:cs="Times New Roman"/>
                <w:kern w:val="0"/>
                <w:sz w:val="20"/>
                <w:szCs w:val="20"/>
                <w:lang w:val="en-US" w:eastAsia="zh-CN" w:bidi="ar"/>
              </w:rPr>
            </w:pPr>
            <w:r>
              <w:rPr>
                <w:rFonts w:hint="default" w:ascii="Times New Roman" w:hAnsi="Times New Roman" w:cs="Times New Roman"/>
                <w:kern w:val="0"/>
                <w:sz w:val="20"/>
                <w:szCs w:val="20"/>
                <w:lang w:bidi="ar"/>
              </w:rPr>
              <w:t>根本原因：设备性能衰减无法确保单向阀当前的更换周期内均能正常使用。</w:t>
            </w:r>
          </w:p>
        </w:tc>
        <w:tc>
          <w:tcPr>
            <w:tcW w:w="210" w:type="pct"/>
            <w:noWrap w:val="0"/>
            <w:vAlign w:val="center"/>
          </w:tcPr>
          <w:p w14:paraId="0557EC40">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336D941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2025.04.09</w:t>
            </w:r>
          </w:p>
        </w:tc>
        <w:tc>
          <w:tcPr>
            <w:tcW w:w="927" w:type="pct"/>
            <w:noWrap w:val="0"/>
            <w:vAlign w:val="center"/>
          </w:tcPr>
          <w:p w14:paraId="16C6C07A">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CAPA-PC2504002</w:t>
            </w:r>
          </w:p>
          <w:p w14:paraId="5C840A3B">
            <w:pPr>
              <w:widowControl/>
              <w:numPr>
                <w:ilvl w:val="0"/>
                <w:numId w:val="1"/>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更换高效液相色谱仪QC-1-2-008单向阀。</w:t>
            </w:r>
          </w:p>
          <w:p w14:paraId="0ACCA239">
            <w:pPr>
              <w:widowControl/>
              <w:numPr>
                <w:ilvl w:val="0"/>
                <w:numId w:val="1"/>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对高校液相色谱仪QC-1-2-008重新进行仪器校验。</w:t>
            </w:r>
          </w:p>
          <w:p w14:paraId="661F33E9">
            <w:pPr>
              <w:widowControl/>
              <w:numPr>
                <w:ilvl w:val="0"/>
                <w:numId w:val="1"/>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修订《QC检测仪器使用及维护保养管理程序》（SMP-QC-025/18）中APP2-SMP-QC-025/18将高效液相色谱仪的单向阀维护“每年更换一次单向阀”变更为“11个月更换一次单向阀”文件生效前对相关人员进行培训。</w:t>
            </w:r>
          </w:p>
        </w:tc>
        <w:tc>
          <w:tcPr>
            <w:tcW w:w="305" w:type="pct"/>
            <w:noWrap w:val="0"/>
            <w:vAlign w:val="center"/>
          </w:tcPr>
          <w:p w14:paraId="29171740">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211" w:type="pct"/>
            <w:noWrap w:val="0"/>
            <w:vAlign w:val="center"/>
          </w:tcPr>
          <w:p w14:paraId="17F63E6A">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val="en-US" w:eastAsia="zh-CN"/>
              </w:rPr>
              <w:t>是</w:t>
            </w:r>
          </w:p>
        </w:tc>
      </w:tr>
      <w:tr w14:paraId="6134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378822DD">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w:t>
            </w:r>
          </w:p>
        </w:tc>
        <w:tc>
          <w:tcPr>
            <w:tcW w:w="392" w:type="pct"/>
            <w:noWrap w:val="0"/>
            <w:vAlign w:val="center"/>
          </w:tcPr>
          <w:p w14:paraId="0F7147EC">
            <w:pP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PC-2505001</w:t>
            </w:r>
          </w:p>
        </w:tc>
        <w:tc>
          <w:tcPr>
            <w:tcW w:w="339" w:type="pct"/>
            <w:noWrap w:val="0"/>
            <w:vAlign w:val="center"/>
          </w:tcPr>
          <w:p w14:paraId="40CFE5C0">
            <w:pPr>
              <w:rPr>
                <w:rFonts w:hint="default" w:ascii="Times New Roman" w:hAnsi="Times New Roman" w:cs="Times New Roman"/>
                <w:sz w:val="20"/>
                <w:szCs w:val="20"/>
              </w:rPr>
            </w:pPr>
            <w:r>
              <w:rPr>
                <w:rFonts w:hint="default" w:ascii="Times New Roman" w:hAnsi="Times New Roman" w:cs="Times New Roman"/>
                <w:sz w:val="20"/>
                <w:szCs w:val="20"/>
              </w:rPr>
              <w:t>洛伐他汀</w:t>
            </w:r>
          </w:p>
          <w:p w14:paraId="10A041AB">
            <w:pP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LV-A-2504002-C3、LV-A-2504002-C4</w:t>
            </w:r>
          </w:p>
        </w:tc>
        <w:tc>
          <w:tcPr>
            <w:tcW w:w="807" w:type="pct"/>
            <w:noWrap w:val="0"/>
            <w:vAlign w:val="center"/>
          </w:tcPr>
          <w:p w14:paraId="55F5E34E">
            <w:pPr>
              <w:widowControl/>
              <w:jc w:val="left"/>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2025.05.05 17:52 检验员马心雨在 QC 中控中心液相室，查看高效液相色谱仪 QC-1-2-041 上由检验员樊怡宁运行结束的LV清洗残留序列“20250505 清洗残留”时，发现序列中断，运行至LV-A-2504002-C3，审计追踪显示：“未发现样品瓶。请在指定位置放置一个小样品瓶或指定其他位置。如有需要，请在区域/泵链接页面上检查和更正样品架位置”。</w:t>
            </w:r>
          </w:p>
        </w:tc>
        <w:tc>
          <w:tcPr>
            <w:tcW w:w="427" w:type="pct"/>
            <w:noWrap w:val="0"/>
            <w:vAlign w:val="center"/>
          </w:tcPr>
          <w:p w14:paraId="3FC84BD0">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740BBBDC">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67163C51">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直接原因：进样针传感器积灰，干扰</w:t>
            </w:r>
            <w:r>
              <w:rPr>
                <w:rFonts w:hint="default" w:ascii="Times New Roman" w:hAnsi="Times New Roman" w:cs="Times New Roman"/>
                <w:kern w:val="0"/>
                <w:sz w:val="20"/>
                <w:szCs w:val="20"/>
                <w:lang w:val="en-US" w:eastAsia="zh-CN" w:bidi="ar"/>
              </w:rPr>
              <w:t>信</w:t>
            </w:r>
            <w:r>
              <w:rPr>
                <w:rFonts w:hint="default" w:ascii="Times New Roman" w:hAnsi="Times New Roman" w:cs="Times New Roman"/>
                <w:kern w:val="0"/>
                <w:sz w:val="20"/>
                <w:szCs w:val="20"/>
                <w:lang w:bidi="ar"/>
              </w:rPr>
              <w:t>号导致进样针传感器未探测到样品瓶而导致序列中断。</w:t>
            </w:r>
          </w:p>
          <w:p w14:paraId="1043FB76">
            <w:pPr>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可能的根本原因：无文件对进样针上部传感器的清洁进行规定。</w:t>
            </w:r>
          </w:p>
        </w:tc>
        <w:tc>
          <w:tcPr>
            <w:tcW w:w="210" w:type="pct"/>
            <w:noWrap w:val="0"/>
            <w:vAlign w:val="center"/>
          </w:tcPr>
          <w:p w14:paraId="67C6BF37">
            <w:pPr>
              <w:pStyle w:val="2"/>
              <w:ind w:left="0" w:leftChars="0" w:firstLine="0" w:firstLineChars="0"/>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次要偏差</w:t>
            </w:r>
          </w:p>
        </w:tc>
        <w:tc>
          <w:tcPr>
            <w:tcW w:w="358" w:type="pct"/>
            <w:noWrap w:val="0"/>
            <w:vAlign w:val="center"/>
          </w:tcPr>
          <w:p w14:paraId="48CC9A47">
            <w:pPr>
              <w:jc w:val="cente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2025.05.09</w:t>
            </w:r>
          </w:p>
        </w:tc>
        <w:tc>
          <w:tcPr>
            <w:tcW w:w="927" w:type="pct"/>
            <w:noWrap w:val="0"/>
            <w:vAlign w:val="center"/>
          </w:tcPr>
          <w:p w14:paraId="454FEC56">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CAPA-PC2505001</w:t>
            </w:r>
          </w:p>
          <w:p w14:paraId="6F9194FD">
            <w:pPr>
              <w:numPr>
                <w:ilvl w:val="0"/>
                <w:numId w:val="2"/>
              </w:num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清洁QC中控其他仪器（QC-1-12-040、QC-1-2-042、QC-1-2-008、QC-1-2-009），清洁后应确认仪器状态达到使用要求。</w:t>
            </w:r>
          </w:p>
          <w:p w14:paraId="0E9B7014">
            <w:pPr>
              <w:widowControl/>
              <w:jc w:val="left"/>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2、修订《QC检测仪器使用及维护保养管理程序》（SMP-QC-025/18）中APP2-SMP-QC-025/18中增加“每年更换进样针前，使用吸耳球对进样针上部传感器清灰一次”文件生效前对相关人员进行培训。</w:t>
            </w:r>
          </w:p>
        </w:tc>
        <w:tc>
          <w:tcPr>
            <w:tcW w:w="305" w:type="pct"/>
            <w:noWrap w:val="0"/>
            <w:vAlign w:val="center"/>
          </w:tcPr>
          <w:p w14:paraId="2120B583">
            <w:pPr>
              <w:jc w:val="cente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w:t>
            </w:r>
          </w:p>
        </w:tc>
        <w:tc>
          <w:tcPr>
            <w:tcW w:w="211" w:type="pct"/>
            <w:noWrap w:val="0"/>
            <w:vAlign w:val="center"/>
          </w:tcPr>
          <w:p w14:paraId="2A5092E4">
            <w:pPr>
              <w:jc w:val="center"/>
              <w:rPr>
                <w:rFonts w:hint="eastAsia" w:ascii="Times New Roman" w:hAnsi="Times New Roman" w:eastAsia="宋体" w:cs="Times New Roman"/>
                <w:b w:val="0"/>
                <w:bCs w:val="0"/>
                <w:sz w:val="20"/>
                <w:szCs w:val="20"/>
                <w:lang w:eastAsia="zh-CN"/>
              </w:rPr>
            </w:pPr>
            <w:r>
              <w:rPr>
                <w:rFonts w:hint="eastAsia" w:ascii="Times New Roman" w:hAnsi="Times New Roman" w:eastAsia="宋体" w:cs="Times New Roman"/>
                <w:sz w:val="20"/>
                <w:szCs w:val="20"/>
                <w:lang w:val="en-US" w:eastAsia="zh-CN"/>
              </w:rPr>
              <w:t>是</w:t>
            </w:r>
          </w:p>
        </w:tc>
      </w:tr>
      <w:tr w14:paraId="1AFB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CC292A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3</w:t>
            </w:r>
          </w:p>
        </w:tc>
        <w:tc>
          <w:tcPr>
            <w:tcW w:w="392" w:type="pct"/>
            <w:noWrap w:val="0"/>
            <w:vAlign w:val="center"/>
          </w:tcPr>
          <w:p w14:paraId="6FC1DA8E">
            <w:pPr>
              <w:rPr>
                <w:rFonts w:hint="default" w:ascii="Times New Roman" w:hAnsi="Times New Roman" w:eastAsia="宋体" w:cs="Times New Roman"/>
                <w:sz w:val="20"/>
                <w:szCs w:val="20"/>
              </w:rPr>
            </w:pPr>
            <w:r>
              <w:rPr>
                <w:rFonts w:hint="default" w:ascii="Times New Roman" w:hAnsi="Times New Roman" w:cs="Times New Roman"/>
                <w:sz w:val="20"/>
                <w:szCs w:val="20"/>
              </w:rPr>
              <w:t>PC-2505002</w:t>
            </w:r>
          </w:p>
        </w:tc>
        <w:tc>
          <w:tcPr>
            <w:tcW w:w="339" w:type="pct"/>
            <w:noWrap w:val="0"/>
            <w:vAlign w:val="center"/>
          </w:tcPr>
          <w:p w14:paraId="23B70DFB">
            <w:pPr>
              <w:rPr>
                <w:rFonts w:hint="default" w:ascii="Times New Roman" w:hAnsi="Times New Roman" w:eastAsia="宋体" w:cs="Times New Roman"/>
                <w:sz w:val="20"/>
                <w:szCs w:val="20"/>
              </w:rPr>
            </w:pPr>
            <w:r>
              <w:rPr>
                <w:rFonts w:hint="default" w:ascii="Times New Roman" w:hAnsi="Times New Roman" w:cs="Times New Roman"/>
                <w:sz w:val="20"/>
                <w:szCs w:val="20"/>
              </w:rPr>
              <w:t>洛伐他汀</w:t>
            </w:r>
            <w:r>
              <w:rPr>
                <w:rFonts w:hint="default" w:ascii="Times New Roman" w:hAnsi="Times New Roman" w:cs="Times New Roman"/>
                <w:kern w:val="0"/>
                <w:sz w:val="20"/>
                <w:szCs w:val="20"/>
                <w:lang w:bidi="ar"/>
              </w:rPr>
              <w:t>LV-A-2504001-2</w:t>
            </w:r>
          </w:p>
        </w:tc>
        <w:tc>
          <w:tcPr>
            <w:tcW w:w="807" w:type="pct"/>
            <w:noWrap w:val="0"/>
            <w:vAlign w:val="center"/>
          </w:tcPr>
          <w:p w14:paraId="0E40E225">
            <w:pPr>
              <w:widowControl/>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2025.05.13 13:22检验员马钰在QC液相室查看由检验员王燕在QC-1-2-059上正在运行的“20250512USP色谱纯度”序列时发现LV-A-2504001-2(SA1)在6.3分左右基线骤降，LV-A-2504001-2(SA2)及同序列其他样品均没有基线骤降的情况。</w:t>
            </w:r>
          </w:p>
        </w:tc>
        <w:tc>
          <w:tcPr>
            <w:tcW w:w="427" w:type="pct"/>
            <w:noWrap w:val="0"/>
            <w:vAlign w:val="center"/>
          </w:tcPr>
          <w:p w14:paraId="3A20A7C8">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4E509594">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42035813">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直接原因：抽滤装置的滤芯在使用过程中物质累积泛黄导致抽滤后的流动相异常，从而导致基线骤降的情况。</w:t>
            </w:r>
          </w:p>
          <w:p w14:paraId="01821F02">
            <w:pPr>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根本原因：文件中未对抽滤装置的滤芯更换情况做出规定。</w:t>
            </w:r>
          </w:p>
        </w:tc>
        <w:tc>
          <w:tcPr>
            <w:tcW w:w="210" w:type="pct"/>
            <w:noWrap w:val="0"/>
            <w:vAlign w:val="center"/>
          </w:tcPr>
          <w:p w14:paraId="5D636122">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43510310">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2025.05.18</w:t>
            </w:r>
          </w:p>
        </w:tc>
        <w:tc>
          <w:tcPr>
            <w:tcW w:w="927" w:type="pct"/>
            <w:noWrap w:val="0"/>
            <w:vAlign w:val="center"/>
          </w:tcPr>
          <w:p w14:paraId="4546163A">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CAPA-PC2505002</w:t>
            </w:r>
          </w:p>
          <w:p w14:paraId="0A7961A1">
            <w:pPr>
              <w:widowControl/>
              <w:numPr>
                <w:ilvl w:val="0"/>
                <w:numId w:val="3"/>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对此序列中的所有批次：LV-A-2503015-1、LV-A-2503015-2、LV-A-2504001-1、LV-A-2504001-2、LV-A-2504002-1、LV-A-2504002-2进行原样复测。</w:t>
            </w:r>
          </w:p>
          <w:p w14:paraId="4D163945">
            <w:pPr>
              <w:widowControl/>
              <w:numPr>
                <w:ilvl w:val="0"/>
                <w:numId w:val="3"/>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修订《检验管理程序》SMP-QC-012/18，在文件中规定，流动相单独使用HPLC级的乙腈时直接用原试剂瓶超声后使用，抽滤装置的滤芯应至少每年更换一次。</w:t>
            </w:r>
          </w:p>
          <w:p w14:paraId="0ECC5400">
            <w:pPr>
              <w:widowControl/>
              <w:numPr>
                <w:ilvl w:val="0"/>
                <w:numId w:val="3"/>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《检验管理程序》SMP-QC-012/19文件批准后对QC全员进行培训，并在文件生后对现有滤芯全部换新。</w:t>
            </w:r>
          </w:p>
        </w:tc>
        <w:tc>
          <w:tcPr>
            <w:tcW w:w="305" w:type="pct"/>
            <w:noWrap w:val="0"/>
            <w:vAlign w:val="center"/>
          </w:tcPr>
          <w:p w14:paraId="5926574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放行</w:t>
            </w:r>
          </w:p>
        </w:tc>
        <w:tc>
          <w:tcPr>
            <w:tcW w:w="211" w:type="pct"/>
            <w:noWrap w:val="0"/>
            <w:vAlign w:val="center"/>
          </w:tcPr>
          <w:p w14:paraId="32E784F9">
            <w:pPr>
              <w:jc w:val="center"/>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是</w:t>
            </w:r>
          </w:p>
        </w:tc>
      </w:tr>
      <w:tr w14:paraId="6B8F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7BECED5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4</w:t>
            </w:r>
          </w:p>
        </w:tc>
        <w:tc>
          <w:tcPr>
            <w:tcW w:w="392" w:type="pct"/>
            <w:noWrap w:val="0"/>
            <w:vAlign w:val="center"/>
          </w:tcPr>
          <w:p w14:paraId="364A2581">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sz w:val="20"/>
                <w:szCs w:val="20"/>
              </w:rPr>
              <w:t>PC-2506002</w:t>
            </w:r>
          </w:p>
        </w:tc>
        <w:tc>
          <w:tcPr>
            <w:tcW w:w="339" w:type="pct"/>
            <w:noWrap w:val="0"/>
            <w:vAlign w:val="center"/>
          </w:tcPr>
          <w:p w14:paraId="07472CCB">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sz w:val="20"/>
                <w:szCs w:val="20"/>
              </w:rPr>
              <w:t>多拉菌素</w:t>
            </w:r>
          </w:p>
        </w:tc>
        <w:tc>
          <w:tcPr>
            <w:tcW w:w="807" w:type="pct"/>
            <w:noWrap w:val="0"/>
            <w:vAlign w:val="center"/>
          </w:tcPr>
          <w:p w14:paraId="045E27B0">
            <w:pPr>
              <w:widowControl/>
              <w:jc w:val="left"/>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kern w:val="0"/>
                <w:sz w:val="20"/>
                <w:szCs w:val="20"/>
                <w:lang w:bidi="ar"/>
              </w:rPr>
              <w:t>2025.06.15  09：23检验员赵双在QC中控中心液相室高效液相色谱仪QC-1-2-008上运行多拉菌素“20250615含量及有关物质”序列的瞬间序列中断，审计追踪显示：〔赵双〕停止序列队列（立即）…。</w:t>
            </w:r>
          </w:p>
        </w:tc>
        <w:tc>
          <w:tcPr>
            <w:tcW w:w="427" w:type="pct"/>
            <w:noWrap w:val="0"/>
            <w:vAlign w:val="center"/>
          </w:tcPr>
          <w:p w14:paraId="14F5B359">
            <w:pPr>
              <w:rPr>
                <w:rFonts w:hint="default" w:ascii="Times New Roman" w:hAnsi="Times New Roman"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是 编号：</w:t>
            </w:r>
            <w:r>
              <w:rPr>
                <w:rFonts w:hint="default" w:ascii="Times New Roman" w:hAnsi="Times New Roman" w:cs="Times New Roman"/>
                <w:sz w:val="20"/>
                <w:szCs w:val="20"/>
              </w:rPr>
              <w:t>PC-2502001</w:t>
            </w:r>
          </w:p>
          <w:p w14:paraId="0B0CD886">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t>PC-2502003</w:t>
            </w:r>
          </w:p>
          <w:p w14:paraId="48A3ED9B">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否</w:t>
            </w:r>
          </w:p>
        </w:tc>
        <w:tc>
          <w:tcPr>
            <w:tcW w:w="878" w:type="pct"/>
            <w:noWrap w:val="0"/>
            <w:vAlign w:val="center"/>
          </w:tcPr>
          <w:p w14:paraId="419EEA62">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直接原因：检验员赵双运行序列时，肢体与台面非预期的触碰，导致文件夹触碰到键盘，序列中断。</w:t>
            </w:r>
          </w:p>
          <w:p w14:paraId="7EFF3C00">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kern w:val="0"/>
                <w:sz w:val="20"/>
                <w:szCs w:val="20"/>
                <w:lang w:bidi="ar"/>
              </w:rPr>
              <w:t>根本原因：键盘与操作区域处于同一操作平面，且操作软件不具备防错机制。</w:t>
            </w:r>
          </w:p>
        </w:tc>
        <w:tc>
          <w:tcPr>
            <w:tcW w:w="210" w:type="pct"/>
            <w:noWrap w:val="0"/>
            <w:vAlign w:val="center"/>
          </w:tcPr>
          <w:p w14:paraId="79145FE1">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7D811E37">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2025.06.15</w:t>
            </w:r>
          </w:p>
        </w:tc>
        <w:tc>
          <w:tcPr>
            <w:tcW w:w="927" w:type="pct"/>
            <w:noWrap w:val="0"/>
            <w:vAlign w:val="center"/>
          </w:tcPr>
          <w:p w14:paraId="7678C184">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CAPA-PC2506001</w:t>
            </w:r>
          </w:p>
          <w:p w14:paraId="52582681">
            <w:pPr>
              <w:widowControl/>
              <w:numPr>
                <w:ilvl w:val="0"/>
                <w:numId w:val="4"/>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重新编辑序列复测Blank。</w:t>
            </w:r>
          </w:p>
          <w:p w14:paraId="282AB9D6">
            <w:pPr>
              <w:widowControl/>
              <w:numPr>
                <w:ilvl w:val="0"/>
                <w:numId w:val="4"/>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将现场键盘支架更换为升降键盘支架，确保键盘与操作区域处在不同平面。</w:t>
            </w:r>
          </w:p>
          <w:p w14:paraId="6A8344AF">
            <w:pPr>
              <w:widowControl/>
              <w:numPr>
                <w:ilvl w:val="0"/>
                <w:numId w:val="4"/>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在键盘支架更换前，对QC相关人员进行培训，操作需定制升降支架的时，禁止将文件或记录放置在键盘操作区域，并粘贴“操作电脑时键盘操作区域禁止放置任何文件及记录”的标识。</w:t>
            </w:r>
          </w:p>
        </w:tc>
        <w:tc>
          <w:tcPr>
            <w:tcW w:w="305" w:type="pct"/>
            <w:noWrap w:val="0"/>
            <w:vAlign w:val="center"/>
          </w:tcPr>
          <w:p w14:paraId="3FB192A7">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放行</w:t>
            </w:r>
          </w:p>
        </w:tc>
        <w:tc>
          <w:tcPr>
            <w:tcW w:w="211" w:type="pct"/>
            <w:noWrap w:val="0"/>
            <w:vAlign w:val="center"/>
          </w:tcPr>
          <w:p w14:paraId="4B0DE1D7">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val="en-US" w:eastAsia="zh-CN"/>
              </w:rPr>
              <w:t>是</w:t>
            </w:r>
          </w:p>
        </w:tc>
      </w:tr>
      <w:tr w14:paraId="1416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C2AD6B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5</w:t>
            </w:r>
          </w:p>
        </w:tc>
        <w:tc>
          <w:tcPr>
            <w:tcW w:w="392" w:type="pct"/>
            <w:noWrap w:val="0"/>
            <w:vAlign w:val="center"/>
          </w:tcPr>
          <w:p w14:paraId="2118A537">
            <w:pPr>
              <w:rPr>
                <w:rFonts w:hint="default" w:ascii="Times New Roman" w:hAnsi="Times New Roman" w:eastAsia="宋体" w:cs="Times New Roman"/>
                <w:sz w:val="20"/>
                <w:szCs w:val="20"/>
              </w:rPr>
            </w:pPr>
            <w:r>
              <w:rPr>
                <w:rFonts w:hint="default" w:ascii="Times New Roman" w:hAnsi="Times New Roman" w:cs="Times New Roman"/>
                <w:sz w:val="20"/>
                <w:szCs w:val="20"/>
              </w:rPr>
              <w:t>PC-2507001</w:t>
            </w:r>
          </w:p>
        </w:tc>
        <w:tc>
          <w:tcPr>
            <w:tcW w:w="339" w:type="pct"/>
            <w:noWrap w:val="0"/>
            <w:vAlign w:val="center"/>
          </w:tcPr>
          <w:p w14:paraId="6B3CB737">
            <w:pP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807" w:type="pct"/>
            <w:noWrap w:val="0"/>
            <w:vAlign w:val="center"/>
          </w:tcPr>
          <w:p w14:paraId="04CCD09B">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2025.07.04 16:37检验员崔璇在QC中控中心液相室高效液相色谱仪QC-1-2-009上查看运行结束的芬苯达唑“20250704清洗残留准确度”序列发现，100%芬苯达唑- ST与150%芬苯达唑-ST面积相似，面积分别为14.1674、14.1234。</w:t>
            </w:r>
          </w:p>
          <w:p w14:paraId="4732FA24">
            <w:pPr>
              <w:widowControl/>
              <w:jc w:val="left"/>
              <w:rPr>
                <w:rFonts w:hint="default" w:ascii="Times New Roman" w:hAnsi="Times New Roman" w:eastAsia="宋体" w:cs="Times New Roman"/>
                <w:sz w:val="20"/>
                <w:szCs w:val="20"/>
              </w:rPr>
            </w:pPr>
          </w:p>
        </w:tc>
        <w:tc>
          <w:tcPr>
            <w:tcW w:w="427" w:type="pct"/>
            <w:noWrap w:val="0"/>
            <w:vAlign w:val="center"/>
          </w:tcPr>
          <w:p w14:paraId="7417DC21">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32F8E57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27E2EAAF">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直接原因：检验员崔璇将样品转移错误。</w:t>
            </w:r>
          </w:p>
          <w:p w14:paraId="2BD6F5DB">
            <w:pPr>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根本原因：文件中未规定开展方法验证培训时需同步评估项目执行难易程度与人员能力是否匹配的情况。</w:t>
            </w:r>
          </w:p>
        </w:tc>
        <w:tc>
          <w:tcPr>
            <w:tcW w:w="210" w:type="pct"/>
            <w:noWrap w:val="0"/>
            <w:vAlign w:val="center"/>
          </w:tcPr>
          <w:p w14:paraId="7178139C">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3780CDF1">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2025.07.07</w:t>
            </w:r>
          </w:p>
        </w:tc>
        <w:tc>
          <w:tcPr>
            <w:tcW w:w="927" w:type="pct"/>
            <w:noWrap w:val="0"/>
            <w:vAlign w:val="center"/>
          </w:tcPr>
          <w:p w14:paraId="31417418">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CAPA-PC2507013</w:t>
            </w:r>
          </w:p>
          <w:p w14:paraId="219C02D7">
            <w:pPr>
              <w:widowControl/>
              <w:numPr>
                <w:ilvl w:val="0"/>
                <w:numId w:val="5"/>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QC相关人员进行培训，培训内容为“管理人员需评估验证项目难易程度后，依据人员资质分配验证工作：准确度、专属性、检测限、定量限验证内容，需分配给该项目工作时间≥1.5年的人员。精密度（重复性/中间精密度）、线性、范围、耐用性、溶液稳定性验证内容，需分配给通过岗位考核人员。”</w:t>
            </w:r>
          </w:p>
          <w:p w14:paraId="48D53994">
            <w:pPr>
              <w:widowControl/>
              <w:numPr>
                <w:ilvl w:val="0"/>
                <w:numId w:val="5"/>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修订《分析方法验证与确认管理程序》（SMP-QC-033/04）增加验证方案培训后，培训师需评估项目难易程度，匹配具有相应资质的人员接受合适难度的项目，并将分配情况记录在验证记录中。文件生效前对QC相关人员进行培训。</w:t>
            </w:r>
          </w:p>
        </w:tc>
        <w:tc>
          <w:tcPr>
            <w:tcW w:w="305" w:type="pct"/>
            <w:noWrap w:val="0"/>
            <w:vAlign w:val="center"/>
          </w:tcPr>
          <w:p w14:paraId="17F3C0FF">
            <w:pPr>
              <w:jc w:val="center"/>
              <w:rPr>
                <w:rFonts w:hint="default" w:ascii="Times New Roman" w:hAnsi="Times New Roman" w:eastAsia="宋体" w:cs="Times New Roman"/>
                <w:sz w:val="20"/>
                <w:szCs w:val="20"/>
              </w:rPr>
            </w:pPr>
            <w:r>
              <w:rPr>
                <w:rFonts w:hint="default" w:ascii="Times New Roman" w:hAnsi="Times New Roman" w:cs="Times New Roman"/>
                <w:sz w:val="20"/>
                <w:szCs w:val="20"/>
                <w:lang w:eastAsia="zh-CN"/>
              </w:rPr>
              <w:t>—</w:t>
            </w:r>
          </w:p>
        </w:tc>
        <w:tc>
          <w:tcPr>
            <w:tcW w:w="211" w:type="pct"/>
            <w:noWrap w:val="0"/>
            <w:vAlign w:val="center"/>
          </w:tcPr>
          <w:p w14:paraId="2D52B59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进行中</w:t>
            </w:r>
          </w:p>
        </w:tc>
      </w:tr>
      <w:tr w14:paraId="17BA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813E695">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6</w:t>
            </w:r>
          </w:p>
        </w:tc>
        <w:tc>
          <w:tcPr>
            <w:tcW w:w="392" w:type="pct"/>
            <w:noWrap w:val="0"/>
            <w:vAlign w:val="center"/>
          </w:tcPr>
          <w:p w14:paraId="1EF06AD7">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PC-2511001</w:t>
            </w:r>
          </w:p>
        </w:tc>
        <w:tc>
          <w:tcPr>
            <w:tcW w:w="339" w:type="pct"/>
            <w:noWrap w:val="0"/>
            <w:vAlign w:val="center"/>
          </w:tcPr>
          <w:p w14:paraId="32A25D55">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7A09DD7F">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2025.11.03 08:40 仪器组长马和霞在QC二楼发现办公楼区域临时停电后所有液相色谱仪、气相色谱仪和氮氢空一体机均断电，所连接UPS电源QC-1-2-001未正常供电，且UPS电源指示灯为红色，正常情况下当市电中断时，UPS电源QC-1-2-001应从主路切换至旁路开始供电，指示灯为绿色，并为负载设备供电。断电时间约两分钟，在08:42左右恢复正常供电。</w:t>
            </w:r>
          </w:p>
          <w:p w14:paraId="74DB092D">
            <w:pPr>
              <w:widowControl/>
              <w:numPr>
                <w:ilvl w:val="0"/>
                <w:numId w:val="0"/>
              </w:numPr>
              <w:ind w:left="0" w:leftChars="0" w:firstLine="0" w:firstLineChars="0"/>
              <w:jc w:val="left"/>
              <w:rPr>
                <w:rFonts w:hint="default" w:ascii="Times New Roman" w:hAnsi="Times New Roman" w:eastAsia="宋体" w:cs="Times New Roman"/>
                <w:sz w:val="20"/>
                <w:szCs w:val="20"/>
              </w:rPr>
            </w:pPr>
          </w:p>
        </w:tc>
        <w:tc>
          <w:tcPr>
            <w:tcW w:w="427" w:type="pct"/>
            <w:noWrap w:val="0"/>
            <w:vAlign w:val="center"/>
          </w:tcPr>
          <w:p w14:paraId="4F232180">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3A0DD3C2">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4F342574">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直接原因：逆变器故障；</w:t>
            </w:r>
          </w:p>
          <w:p w14:paraId="1C7EE0B1">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根本原因：《UPS电源标准操作规程》（SOP-QC-363/06）未规定逆变器检查、维护相关内容。</w:t>
            </w:r>
          </w:p>
          <w:p w14:paraId="5E7397EA">
            <w:pPr>
              <w:widowControl/>
              <w:numPr>
                <w:ilvl w:val="0"/>
                <w:numId w:val="0"/>
              </w:numPr>
              <w:jc w:val="left"/>
              <w:rPr>
                <w:rFonts w:hint="eastAsia" w:ascii="Times New Roman" w:hAnsi="Times New Roman" w:eastAsia="宋体" w:cs="Times New Roman"/>
                <w:kern w:val="0"/>
                <w:sz w:val="20"/>
                <w:szCs w:val="20"/>
                <w:lang w:val="en-US" w:eastAsia="zh-CN" w:bidi="ar"/>
              </w:rPr>
            </w:pPr>
          </w:p>
          <w:p w14:paraId="45CF60EE">
            <w:pPr>
              <w:widowControl/>
              <w:numPr>
                <w:ilvl w:val="0"/>
                <w:numId w:val="0"/>
              </w:numPr>
              <w:ind w:left="0" w:leftChars="0" w:firstLine="0" w:firstLineChars="0"/>
              <w:jc w:val="left"/>
              <w:rPr>
                <w:rFonts w:hint="default" w:ascii="Times New Roman" w:hAnsi="Times New Roman" w:eastAsia="宋体" w:cs="Times New Roman"/>
                <w:sz w:val="20"/>
                <w:szCs w:val="20"/>
              </w:rPr>
            </w:pPr>
          </w:p>
        </w:tc>
        <w:tc>
          <w:tcPr>
            <w:tcW w:w="210" w:type="pct"/>
            <w:noWrap w:val="0"/>
            <w:vAlign w:val="center"/>
          </w:tcPr>
          <w:p w14:paraId="0D948E19">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6ACD8967">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2025.11.17</w:t>
            </w:r>
          </w:p>
        </w:tc>
        <w:tc>
          <w:tcPr>
            <w:tcW w:w="927" w:type="pct"/>
            <w:noWrap w:val="0"/>
            <w:vAlign w:val="center"/>
          </w:tcPr>
          <w:p w14:paraId="2878E682">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CAPA-PC2511006</w:t>
            </w:r>
          </w:p>
          <w:p w14:paraId="3759A3DD">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1、排查公司其他UPS电源逆变器状况及电池电阻数值，若逆变器、电池电阻数值异常应进行维修或更换。</w:t>
            </w:r>
          </w:p>
          <w:p w14:paraId="57EBDA33">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2、采购新的UPS电源。</w:t>
            </w:r>
          </w:p>
          <w:p w14:paraId="2BB48661">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3、修订《QC检测仪器维护保养一览表》（APP2-SMP-QC-025/18），规定每三个月对UPS电源逆变器进行检查，查看逆变器状态指示灯、显示屏告警信息，核对输出电压是否在额定范围；文件批准后对相关人员进行培训。</w:t>
            </w:r>
          </w:p>
          <w:p w14:paraId="53ADCC20">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4、排查公司其他使用UPS电源的部门，对于UPS电源标准操作规程文件中是否规定UPS电源逆变器检查、维保相关内容。</w:t>
            </w:r>
          </w:p>
          <w:p w14:paraId="78BF0D0A">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5、根据4中排查结果，若公司其他部门UPS电源标准操作规程文件中没有规定UPS电源逆变器检查维保相关内容则相关部门需修订该文件。文件批准后对相关人员进行培训。</w:t>
            </w:r>
          </w:p>
        </w:tc>
        <w:tc>
          <w:tcPr>
            <w:tcW w:w="305" w:type="pct"/>
            <w:noWrap w:val="0"/>
            <w:vAlign w:val="center"/>
          </w:tcPr>
          <w:p w14:paraId="6ABF3EF0">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w:t>
            </w:r>
          </w:p>
        </w:tc>
        <w:tc>
          <w:tcPr>
            <w:tcW w:w="211" w:type="pct"/>
            <w:noWrap w:val="0"/>
            <w:vAlign w:val="center"/>
          </w:tcPr>
          <w:p w14:paraId="6B937CCB">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进行中</w:t>
            </w:r>
          </w:p>
        </w:tc>
      </w:tr>
      <w:tr w14:paraId="4D4A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5B56352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7</w:t>
            </w:r>
          </w:p>
        </w:tc>
        <w:tc>
          <w:tcPr>
            <w:tcW w:w="392" w:type="pct"/>
            <w:noWrap w:val="0"/>
            <w:vAlign w:val="center"/>
          </w:tcPr>
          <w:p w14:paraId="3B9AF085">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PC-2512001</w:t>
            </w:r>
          </w:p>
        </w:tc>
        <w:tc>
          <w:tcPr>
            <w:tcW w:w="339" w:type="pct"/>
            <w:noWrap w:val="0"/>
            <w:vAlign w:val="center"/>
          </w:tcPr>
          <w:p w14:paraId="556CDD06">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37D8164B">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2025.12.08  14:46检验员翟美华在QC理化室电位滴定仪QC-2-2-095上检测MC K15含量的空白时，发现空白数据存储路径错误，在tiamo数据库中，正确应储存在MC数据库中，此时只进行了空白滴定，未进行至样品检验。</w:t>
            </w:r>
          </w:p>
        </w:tc>
        <w:tc>
          <w:tcPr>
            <w:tcW w:w="427" w:type="pct"/>
            <w:noWrap w:val="0"/>
            <w:vAlign w:val="center"/>
          </w:tcPr>
          <w:p w14:paraId="3476A86B">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47BB7EAC">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1405B9CD">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直接原因：MC（K15）含量空白仪器方法中DATABASE参数设置错误。</w:t>
            </w:r>
          </w:p>
          <w:p w14:paraId="393B7F1D">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根本原因：文件中缺少对DATABASE如何设置的相关内容。</w:t>
            </w:r>
          </w:p>
        </w:tc>
        <w:tc>
          <w:tcPr>
            <w:tcW w:w="210" w:type="pct"/>
            <w:noWrap w:val="0"/>
            <w:vAlign w:val="center"/>
          </w:tcPr>
          <w:p w14:paraId="71DD7B29">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53DC1C3B">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2025.12.09</w:t>
            </w:r>
          </w:p>
        </w:tc>
        <w:tc>
          <w:tcPr>
            <w:tcW w:w="927" w:type="pct"/>
            <w:noWrap w:val="0"/>
            <w:vAlign w:val="center"/>
          </w:tcPr>
          <w:p w14:paraId="707DB4E9">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CAPA-PC2512001</w:t>
            </w:r>
          </w:p>
          <w:p w14:paraId="7A4A8DF0">
            <w:pPr>
              <w:widowControl/>
              <w:numPr>
                <w:ilvl w:val="0"/>
                <w:numId w:val="6"/>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禁止使用MC（K15）含量空白、MC（K15）含量仪器方法，在方法名称处标记禁止使用。</w:t>
            </w:r>
          </w:p>
          <w:p w14:paraId="0C2DB55D">
            <w:pPr>
              <w:widowControl/>
              <w:numPr>
                <w:ilvl w:val="0"/>
                <w:numId w:val="6"/>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新建MC（K15）含量空白、MC（K15）含量仪器方法，DATABASE设置为MC。</w:t>
            </w:r>
          </w:p>
          <w:p w14:paraId="4ECD8D51">
            <w:pPr>
              <w:widowControl/>
              <w:numPr>
                <w:ilvl w:val="0"/>
                <w:numId w:val="6"/>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霉酚酸（MC）成品检验标准操作规程（FIS）（K15）》（SOP-QC(MC）-019/04）增加此项目仪器方法中DATABASE参数设置的要求，修订《电位滴定仪（888）标准操作规程》（SOP-QC-416/04）增加对其他仪器方法新建时应设置DATABASE参数的要求，文件批准后对相关人员进行培训。</w:t>
            </w:r>
          </w:p>
          <w:p w14:paraId="31A278CA">
            <w:pPr>
              <w:widowControl/>
              <w:numPr>
                <w:ilvl w:val="0"/>
                <w:numId w:val="6"/>
              </w:numPr>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霉酚酸（MC）成品检验标准操作规程（FIS）（K15）》（SOP-QC(MC）-019/05）生效前，对相关人员（理化组组长、主管及以上人员、QA和IT相关人员）培训关于方法新建时，应按照对应的检验SOP参数设置，并注意选取DATABASE参数，选择对应的数据库。</w:t>
            </w:r>
          </w:p>
        </w:tc>
        <w:tc>
          <w:tcPr>
            <w:tcW w:w="305" w:type="pct"/>
            <w:noWrap w:val="0"/>
            <w:vAlign w:val="center"/>
          </w:tcPr>
          <w:p w14:paraId="276F5624">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w:t>
            </w:r>
          </w:p>
        </w:tc>
        <w:tc>
          <w:tcPr>
            <w:tcW w:w="211" w:type="pct"/>
            <w:noWrap w:val="0"/>
            <w:vAlign w:val="center"/>
          </w:tcPr>
          <w:p w14:paraId="25419EBA">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进行中</w:t>
            </w:r>
          </w:p>
        </w:tc>
      </w:tr>
      <w:tr w14:paraId="77E3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CF9B8C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8</w:t>
            </w:r>
          </w:p>
        </w:tc>
        <w:tc>
          <w:tcPr>
            <w:tcW w:w="392" w:type="pct"/>
            <w:noWrap w:val="0"/>
            <w:vAlign w:val="center"/>
          </w:tcPr>
          <w:p w14:paraId="7FDD0E4C">
            <w:pPr>
              <w:widowControl/>
              <w:numPr>
                <w:ilvl w:val="0"/>
                <w:numId w:val="0"/>
              </w:numPr>
              <w:ind w:left="0" w:leftChars="0" w:firstLine="0" w:firstLineChars="0"/>
              <w:jc w:val="center"/>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PC-2512002</w:t>
            </w:r>
          </w:p>
        </w:tc>
        <w:tc>
          <w:tcPr>
            <w:tcW w:w="339" w:type="pct"/>
            <w:noWrap w:val="0"/>
            <w:vAlign w:val="center"/>
          </w:tcPr>
          <w:p w14:paraId="1C690864">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霉酚酸USMC-M-2511019USMC-M-2511020USMC-M-2511021</w:t>
            </w:r>
          </w:p>
        </w:tc>
        <w:tc>
          <w:tcPr>
            <w:tcW w:w="807" w:type="pct"/>
            <w:noWrap w:val="0"/>
            <w:vAlign w:val="center"/>
          </w:tcPr>
          <w:p w14:paraId="6FEC2436">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2025年12月08日17时21分，201二车间工艺员张飞飞在按计划进行日常车间巡检过程中，于二楼精制岗位对生产记录进行核对时发现，USMC-M-2511019批次的一次结晶湿粉产品量为2122.9 kg。该数值明显超出了《霉酚酸（MC）精制岗位标准操作规程》SOP-FT3(MC)-403/09中明确规定的“二次结晶溶解时一次结晶湿粉的投料量应控制在1740 kg~2060 kg之间”的工艺范围。</w:t>
            </w:r>
          </w:p>
        </w:tc>
        <w:tc>
          <w:tcPr>
            <w:tcW w:w="427" w:type="pct"/>
            <w:noWrap w:val="0"/>
            <w:vAlign w:val="center"/>
          </w:tcPr>
          <w:p w14:paraId="78A6CD78">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41EF37B4">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7BFAB3D1">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根本原因：依据现有生产工艺及各工序收率，一次结晶湿粉产品量本就存在超出精制岗位SOP规定范围的可能性，但《霉酚酸（MC）精制岗位标准操作规程》[SOP-FT3(MC)-403/09]与《霉酚酸提炼工艺规程》[KP-FT3-MC-001/15]均未明确规定，当一次结晶湿粉产品量超出范围时应采取何种处理措施。</w:t>
            </w:r>
          </w:p>
        </w:tc>
        <w:tc>
          <w:tcPr>
            <w:tcW w:w="210" w:type="pct"/>
            <w:noWrap w:val="0"/>
            <w:vAlign w:val="center"/>
          </w:tcPr>
          <w:p w14:paraId="1EE706B7">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7C31B8C2">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2025.12.17</w:t>
            </w:r>
          </w:p>
        </w:tc>
        <w:tc>
          <w:tcPr>
            <w:tcW w:w="927" w:type="pct"/>
            <w:noWrap w:val="0"/>
            <w:vAlign w:val="center"/>
          </w:tcPr>
          <w:p w14:paraId="304F9593">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CAPA-PC2512002</w:t>
            </w:r>
          </w:p>
          <w:p w14:paraId="2BBF3462">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1、升版《霉酚酸（MC）精制岗位标准操作规程》[SOP-FT3(MC)-403/09]，在文件中规定二次结晶时，根据《提炼生产指令（霉酚酸二次精制至成品包装工序）》（QR10-SMP-PM-022）准备所要投料的一次结晶湿粉等相关操作。</w:t>
            </w:r>
          </w:p>
          <w:p w14:paraId="17B49CF4">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2、升版《霉酚酸提炼工艺规程》[KP-FT3-MC-001/15]，增加二次结晶投料时一次结晶湿粉的投料范围，并在相关的批记录中增加两行等。</w:t>
            </w:r>
          </w:p>
          <w:p w14:paraId="716C2198">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3、升版《霉酚酸生产指令管理程序》（SMP-PM-022/09）文件，调整霉酚酸生产过程中的批号编制及增加“提炼生产指令（霉酚酸二次精制至成品包装工序）”等。</w:t>
            </w:r>
          </w:p>
        </w:tc>
        <w:tc>
          <w:tcPr>
            <w:tcW w:w="305" w:type="pct"/>
            <w:noWrap w:val="0"/>
            <w:vAlign w:val="center"/>
          </w:tcPr>
          <w:p w14:paraId="1A029BC6">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放行</w:t>
            </w:r>
          </w:p>
        </w:tc>
        <w:tc>
          <w:tcPr>
            <w:tcW w:w="211" w:type="pct"/>
            <w:noWrap w:val="0"/>
            <w:vAlign w:val="center"/>
          </w:tcPr>
          <w:p w14:paraId="14777110">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是</w:t>
            </w:r>
          </w:p>
        </w:tc>
      </w:tr>
      <w:tr w14:paraId="2AF1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58F94E0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9</w:t>
            </w:r>
          </w:p>
        </w:tc>
        <w:tc>
          <w:tcPr>
            <w:tcW w:w="392" w:type="pct"/>
            <w:noWrap w:val="0"/>
            <w:vAlign w:val="center"/>
          </w:tcPr>
          <w:p w14:paraId="5CE829B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PC-2601001</w:t>
            </w:r>
          </w:p>
        </w:tc>
        <w:tc>
          <w:tcPr>
            <w:tcW w:w="339" w:type="pct"/>
            <w:noWrap w:val="0"/>
            <w:vAlign w:val="center"/>
          </w:tcPr>
          <w:p w14:paraId="69B69CEB">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w:t>
            </w:r>
          </w:p>
        </w:tc>
        <w:tc>
          <w:tcPr>
            <w:tcW w:w="807" w:type="pct"/>
            <w:noWrap w:val="0"/>
            <w:vAlign w:val="center"/>
          </w:tcPr>
          <w:p w14:paraId="5C84CDD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2026.01.27  16:25检验员赵莉在QC气相室查看气相色谱仪QC-1-2-005上运行的LN“20260127兽药残留溶剂”序列时发现溶剂峰峰面积异常：偏大，约为历史数据的10倍，此时序列运行至ST-3，同时检验员发现自己使用了错误的稀释剂N,N-二甲基甲酰胺，正确的应该为10%N,N-二甲基甲酰胺。</w:t>
            </w:r>
          </w:p>
        </w:tc>
        <w:tc>
          <w:tcPr>
            <w:tcW w:w="427" w:type="pct"/>
            <w:noWrap w:val="0"/>
            <w:vAlign w:val="center"/>
          </w:tcPr>
          <w:p w14:paraId="7091CA37">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71560B5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318EE517">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w:t>
            </w:r>
          </w:p>
          <w:p w14:paraId="3C073C24">
            <w:pPr>
              <w:widowControl/>
              <w:numPr>
                <w:ilvl w:val="0"/>
                <w:numId w:val="7"/>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检验员进行低频项目检验时，由于习惯性思维导致使用了错误的稀释剂。</w:t>
            </w:r>
          </w:p>
          <w:p w14:paraId="0A000E60">
            <w:pPr>
              <w:widowControl/>
              <w:numPr>
                <w:ilvl w:val="0"/>
                <w:numId w:val="7"/>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由于烧杯上标识为稀释剂，未明确标识溶液名称，导致复核人未发现此错误。</w:t>
            </w:r>
          </w:p>
          <w:p w14:paraId="01A294CB">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w:t>
            </w:r>
          </w:p>
          <w:p w14:paraId="5803C94D">
            <w:pPr>
              <w:widowControl/>
              <w:numPr>
                <w:ilvl w:val="0"/>
                <w:numId w:val="8"/>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《盐酸林可霉素（LN）成品检验标准操作规程（兽药）》SOP-QC(LN）-101/15规定了稀释剂制备内容但检验记录（QR1-SOP-QC(LN)-101/15）中未设置稀释剂的体积、浓度填写项，未能通过文件设计规避操作失误。</w:t>
            </w:r>
          </w:p>
          <w:p w14:paraId="3430BE9C">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由于《检验管理程序》（SMP-QC-012/20）文件中未明确规定烧杯标识必须标注具体的试剂名称，也未禁止使用笼统的名称，导致本次稀释剂标识不明确，复核人无法识别异常。</w:t>
            </w:r>
          </w:p>
        </w:tc>
        <w:tc>
          <w:tcPr>
            <w:tcW w:w="210" w:type="pct"/>
            <w:noWrap w:val="0"/>
            <w:vAlign w:val="center"/>
          </w:tcPr>
          <w:p w14:paraId="6254441E">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18926650">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2026.01.28</w:t>
            </w:r>
          </w:p>
        </w:tc>
        <w:tc>
          <w:tcPr>
            <w:tcW w:w="927" w:type="pct"/>
            <w:noWrap w:val="0"/>
            <w:vAlign w:val="center"/>
          </w:tcPr>
          <w:p w14:paraId="52F64337">
            <w:pPr>
              <w:widowControl/>
              <w:numPr>
                <w:ilvl w:val="0"/>
                <w:numId w:val="0"/>
              </w:numPr>
              <w:ind w:leftChars="0"/>
              <w:jc w:val="left"/>
              <w:rPr>
                <w:rFonts w:hint="eastAsia" w:ascii="Times New Roman" w:hAnsi="Times New Roman" w:eastAsia="宋体" w:cs="Times New Roman"/>
                <w:kern w:val="0"/>
                <w:sz w:val="20"/>
                <w:szCs w:val="20"/>
                <w:lang w:val="en-US" w:eastAsia="zh-CN" w:bidi="ar"/>
              </w:rPr>
            </w:pPr>
            <w:bookmarkStart w:id="1" w:name="OLE_LINK2"/>
            <w:r>
              <w:rPr>
                <w:rFonts w:hint="eastAsia" w:ascii="Times New Roman" w:hAnsi="Times New Roman" w:cs="Times New Roman"/>
                <w:sz w:val="21"/>
                <w:szCs w:val="21"/>
                <w:lang w:val="en-US" w:eastAsia="zh-CN"/>
              </w:rPr>
              <w:t>CAPA-PC2601007</w:t>
            </w:r>
          </w:p>
          <w:p w14:paraId="6E7E5951">
            <w:pPr>
              <w:widowControl/>
              <w:numPr>
                <w:ilvl w:val="0"/>
                <w:numId w:val="9"/>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对该序列涉及批次进行复测。</w:t>
            </w:r>
          </w:p>
          <w:p w14:paraId="0DEFCE54">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对仪器组全员培训《盐酸林可霉素（LN）成品检验标准操作规程（兽药）》（SOP-QC(LN)-101/15）残留溶剂项目，重点培训稀释剂的使用及配制。</w:t>
            </w:r>
          </w:p>
          <w:p w14:paraId="617B8F22">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修订《盐酸林可霉素（LN）成品检验标准操作规程（兽药）》（SOP-QC（LN）-101/15），在残留溶剂检验记录下增加10%N,N-二甲基甲酰胺溶液稀释剂的体积、浓度填写项。文件批准后对仪器组全员进行培训。</w:t>
            </w:r>
          </w:p>
          <w:p w14:paraId="3BE799C8">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修订《检验管理程序》（SMP-QC-012/20）明确要求容器必须标注具体试液名称。文件批准后对QC仪器组全员培训。</w:t>
            </w:r>
            <w:bookmarkEnd w:id="1"/>
          </w:p>
        </w:tc>
        <w:tc>
          <w:tcPr>
            <w:tcW w:w="305" w:type="pct"/>
            <w:noWrap w:val="0"/>
            <w:vAlign w:val="center"/>
          </w:tcPr>
          <w:p w14:paraId="5407722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6720D4D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6436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A3729A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10</w:t>
            </w:r>
          </w:p>
        </w:tc>
        <w:tc>
          <w:tcPr>
            <w:tcW w:w="392" w:type="pct"/>
            <w:noWrap w:val="0"/>
            <w:vAlign w:val="center"/>
          </w:tcPr>
          <w:p w14:paraId="56CB2512">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PC-2602001</w:t>
            </w:r>
          </w:p>
        </w:tc>
        <w:tc>
          <w:tcPr>
            <w:tcW w:w="339" w:type="pct"/>
            <w:noWrap w:val="0"/>
            <w:vAlign w:val="center"/>
          </w:tcPr>
          <w:p w14:paraId="564301A8">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2%氟苯尼考预混剂/FL-2602003</w:t>
            </w:r>
          </w:p>
        </w:tc>
        <w:tc>
          <w:tcPr>
            <w:tcW w:w="807" w:type="pct"/>
            <w:noWrap w:val="0"/>
            <w:vAlign w:val="center"/>
          </w:tcPr>
          <w:p w14:paraId="6783B1EC">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2026年02年09日，13:53分，QA人员严红玲在QA办公室登录中国兽药信息网上传的2%氟苯尼考预混剂入库扫描数据时，发现FL-2602003批上传数据只有2个文件夹，正确应该为6个文件夹。</w:t>
            </w:r>
          </w:p>
        </w:tc>
        <w:tc>
          <w:tcPr>
            <w:tcW w:w="427" w:type="pct"/>
            <w:noWrap w:val="0"/>
            <w:vAlign w:val="center"/>
          </w:tcPr>
          <w:p w14:paraId="5AEBC52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2C9F79C4">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D76A4D0">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直接原因：FL-2602003批入库扫描时没有对每个托盘分别生成数据文件。</w:t>
            </w:r>
          </w:p>
          <w:p w14:paraId="5C785A78">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根本原因：车间无现行批准文件指导员工进行入库扫描操作，仅通过参考说明书进行操作。</w:t>
            </w:r>
          </w:p>
        </w:tc>
        <w:tc>
          <w:tcPr>
            <w:tcW w:w="210" w:type="pct"/>
            <w:noWrap w:val="0"/>
            <w:vAlign w:val="center"/>
          </w:tcPr>
          <w:p w14:paraId="6C292360">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28BECC0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2026.02.11</w:t>
            </w:r>
          </w:p>
        </w:tc>
        <w:tc>
          <w:tcPr>
            <w:tcW w:w="927" w:type="pct"/>
            <w:noWrap w:val="0"/>
            <w:vAlign w:val="center"/>
          </w:tcPr>
          <w:p w14:paraId="5570CDC2">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cs="Times New Roman"/>
                <w:sz w:val="21"/>
                <w:szCs w:val="21"/>
                <w:lang w:val="en-US" w:eastAsia="zh-CN"/>
              </w:rPr>
              <w:t>CAPA-PC2602004</w:t>
            </w:r>
          </w:p>
          <w:p w14:paraId="4030B0FC">
            <w:pPr>
              <w:widowControl/>
              <w:numPr>
                <w:ilvl w:val="0"/>
                <w:numId w:val="1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起草二维码扫码器标准操作规程，规定每个托盘入库扫描数据需单独生成数据文件相关内容。</w:t>
            </w:r>
          </w:p>
          <w:p w14:paraId="2A821125">
            <w:pPr>
              <w:widowControl/>
              <w:numPr>
                <w:ilvl w:val="0"/>
                <w:numId w:val="10"/>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文件批准后、生效前对相关人员进行培训。</w:t>
            </w:r>
          </w:p>
          <w:p w14:paraId="7B096DFE">
            <w:pPr>
              <w:widowControl/>
              <w:numPr>
                <w:ilvl w:val="0"/>
                <w:numId w:val="10"/>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对FL-2602003批次重新进行扫码。</w:t>
            </w:r>
          </w:p>
        </w:tc>
        <w:tc>
          <w:tcPr>
            <w:tcW w:w="305" w:type="pct"/>
            <w:noWrap w:val="0"/>
            <w:vAlign w:val="center"/>
          </w:tcPr>
          <w:p w14:paraId="2416626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7E0FA789">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3C0A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79690C2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11</w:t>
            </w:r>
          </w:p>
        </w:tc>
        <w:tc>
          <w:tcPr>
            <w:tcW w:w="392" w:type="pct"/>
            <w:noWrap w:val="0"/>
            <w:vAlign w:val="center"/>
          </w:tcPr>
          <w:p w14:paraId="7BBB7A50">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PC-2603001</w:t>
            </w:r>
          </w:p>
        </w:tc>
        <w:tc>
          <w:tcPr>
            <w:tcW w:w="339" w:type="pct"/>
            <w:noWrap w:val="0"/>
            <w:vAlign w:val="center"/>
          </w:tcPr>
          <w:p w14:paraId="163AE43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盐酸林可霉素/LN-2602006</w:t>
            </w:r>
          </w:p>
        </w:tc>
        <w:tc>
          <w:tcPr>
            <w:tcW w:w="807" w:type="pct"/>
            <w:noWrap w:val="0"/>
            <w:vAlign w:val="center"/>
          </w:tcPr>
          <w:p w14:paraId="74EB064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2026.03.02 11：50左右，车间工艺员平团龙在101二车间四楼中控室送LN-2602006批一级种子移前样请检单时，QC中控人员海月告知该批次在2026.03.01已经被请检过，经初步调查确认，平团龙的请检属于正常的请检。</w:t>
            </w:r>
          </w:p>
        </w:tc>
        <w:tc>
          <w:tcPr>
            <w:tcW w:w="427" w:type="pct"/>
            <w:noWrap w:val="0"/>
            <w:vAlign w:val="center"/>
          </w:tcPr>
          <w:p w14:paraId="2EB4FE7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4CAEC61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0F800A2A">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直接原因：工艺员王龙在LN-2602006批一级种子培养至18小时时，想观察种子生长状态发起了临时请检。</w:t>
            </w:r>
          </w:p>
          <w:p w14:paraId="45CE4868">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根本原因：没有文件规定生产过程中额外发起请检的流程。</w:t>
            </w:r>
          </w:p>
        </w:tc>
        <w:tc>
          <w:tcPr>
            <w:tcW w:w="210" w:type="pct"/>
            <w:noWrap w:val="0"/>
            <w:vAlign w:val="center"/>
          </w:tcPr>
          <w:p w14:paraId="0AAF210C">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31DE4963">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2026.03.02</w:t>
            </w:r>
          </w:p>
        </w:tc>
        <w:tc>
          <w:tcPr>
            <w:tcW w:w="927" w:type="pct"/>
            <w:noWrap w:val="0"/>
            <w:vAlign w:val="center"/>
          </w:tcPr>
          <w:p w14:paraId="6B786788">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CAPA-PC2603001</w:t>
            </w:r>
          </w:p>
          <w:p w14:paraId="1E32E040">
            <w:pPr>
              <w:widowControl/>
              <w:numPr>
                <w:ilvl w:val="0"/>
                <w:numId w:val="11"/>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生产管理程序》（SMP-PM-004/10）在文件中规定：除按文件规定执行的物料、中间体、成品及验证过程样品的请检外，如需发起额外请检须填写《生产过程临时请检申请表》（QR1-SMP-PM-004），经QA负责人批准后，填写《样品请检单》（QR4-SMP-QC-011）此类样品需按特殊样品进行请检。</w:t>
            </w:r>
          </w:p>
          <w:p w14:paraId="5B379F73">
            <w:pPr>
              <w:widowControl/>
              <w:numPr>
                <w:ilvl w:val="0"/>
                <w:numId w:val="11"/>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对2026.03.01日请检的请检单进行归档处理。</w:t>
            </w:r>
          </w:p>
        </w:tc>
        <w:tc>
          <w:tcPr>
            <w:tcW w:w="305" w:type="pct"/>
            <w:noWrap w:val="0"/>
            <w:vAlign w:val="center"/>
          </w:tcPr>
          <w:p w14:paraId="6E2055E7">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72FFD13A">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20BF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3885950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12</w:t>
            </w:r>
          </w:p>
        </w:tc>
        <w:tc>
          <w:tcPr>
            <w:tcW w:w="392" w:type="pct"/>
            <w:noWrap w:val="0"/>
            <w:vAlign w:val="center"/>
          </w:tcPr>
          <w:p w14:paraId="3BD0A3D3">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PC-2603002</w:t>
            </w:r>
          </w:p>
        </w:tc>
        <w:tc>
          <w:tcPr>
            <w:tcW w:w="339" w:type="pct"/>
            <w:noWrap w:val="0"/>
            <w:vAlign w:val="center"/>
          </w:tcPr>
          <w:p w14:paraId="14C396AB">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086A1351">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2026.03.02  10:15检验员周媛在进行气相色谱仪内部校验时，查看由气相色谱仪QC-1-2-067上运行结束的“20260301检测器线性和进样器残留”数据时发现检测器线性r2=0.9966，标准为r2≥0.999。</w:t>
            </w:r>
          </w:p>
        </w:tc>
        <w:tc>
          <w:tcPr>
            <w:tcW w:w="427" w:type="pct"/>
            <w:noWrap w:val="0"/>
            <w:vAlign w:val="center"/>
          </w:tcPr>
          <w:p w14:paraId="3D685724">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615AEEF8">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A723510">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直接原因：检验员周媛在开展“FID检测器线性和进样器残留”校验前更换注射器过程的操作中出现了肉眼不可见的细微问题造成峰面积不重现。</w:t>
            </w:r>
          </w:p>
          <w:p w14:paraId="75042DF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根本原因：文件中未明确规定更换注射器后应如何确认更换效果，也未明确规定注射器更换操作的人员要求，如是否必须由设备管理员操作。</w:t>
            </w:r>
          </w:p>
        </w:tc>
        <w:tc>
          <w:tcPr>
            <w:tcW w:w="210" w:type="pct"/>
            <w:noWrap w:val="0"/>
            <w:vAlign w:val="center"/>
          </w:tcPr>
          <w:p w14:paraId="251E5298">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5EB7F0C8">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2026.03.06</w:t>
            </w:r>
          </w:p>
        </w:tc>
        <w:tc>
          <w:tcPr>
            <w:tcW w:w="927" w:type="pct"/>
            <w:noWrap w:val="0"/>
            <w:vAlign w:val="center"/>
          </w:tcPr>
          <w:p w14:paraId="0A1522D5">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CAPA-PC2603002</w:t>
            </w:r>
          </w:p>
          <w:p w14:paraId="45099678">
            <w:pPr>
              <w:widowControl/>
              <w:numPr>
                <w:ilvl w:val="0"/>
                <w:numId w:val="12"/>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对“FID检测器线性和进样器残留”及“ALS进样重复性测试”校验项目进行复测。</w:t>
            </w:r>
          </w:p>
          <w:p w14:paraId="11CD67CB">
            <w:pPr>
              <w:widowControl/>
              <w:numPr>
                <w:ilvl w:val="0"/>
                <w:numId w:val="12"/>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QC检测仪器使用及维护保养管理程序》（SMP-QC-025/18）文件，在APP2-SMP-QC-025/18中明确规定气相色谱仪的维护应由设备管理员来执行，更换完注射器或进样针后应进行重复性测试。文件批准后对QC仪器组全员进行培训。</w:t>
            </w:r>
          </w:p>
        </w:tc>
        <w:tc>
          <w:tcPr>
            <w:tcW w:w="305" w:type="pct"/>
            <w:noWrap w:val="0"/>
            <w:vAlign w:val="center"/>
          </w:tcPr>
          <w:p w14:paraId="31BDBBF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3336088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7319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7A29CF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13</w:t>
            </w:r>
          </w:p>
        </w:tc>
        <w:tc>
          <w:tcPr>
            <w:tcW w:w="392" w:type="pct"/>
            <w:noWrap w:val="0"/>
            <w:vAlign w:val="center"/>
          </w:tcPr>
          <w:p w14:paraId="5CA9937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PC-2603003</w:t>
            </w:r>
          </w:p>
        </w:tc>
        <w:tc>
          <w:tcPr>
            <w:tcW w:w="339" w:type="pct"/>
            <w:noWrap w:val="0"/>
            <w:vAlign w:val="center"/>
          </w:tcPr>
          <w:p w14:paraId="32CE3917">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71EA3E5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2026.03.07 10：10，检验员周媛在对气相色谱仪QC-1-2-067开展“检测器基线噪声和基线漂移”项目校验工作时，运行“20260307基线噪声基线漂移”序列后，仪器显示出错、序列中断，仪器未执行进样操作。查看信息中心提示：仪器AgGC#CN2233A054:使用0.1,0.2，....4.9uL，或5uL。</w:t>
            </w:r>
          </w:p>
        </w:tc>
        <w:tc>
          <w:tcPr>
            <w:tcW w:w="427" w:type="pct"/>
            <w:noWrap w:val="0"/>
            <w:vAlign w:val="center"/>
          </w:tcPr>
          <w:p w14:paraId="1DD0445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38E3AEF3">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17431ADD">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直接原因：序列表和仪器方法中的进样体积参数不一致，导致序列运行时仪器报错，序列中断。</w:t>
            </w:r>
          </w:p>
          <w:p w14:paraId="0BA91CF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根本原因：在修订《气相色谱仪检验标准操作规程》（SOP-QC-101/07）文件时，未能提前预见序列表和仪器方法中进样体积不一致会导致序列中断。</w:t>
            </w:r>
          </w:p>
        </w:tc>
        <w:tc>
          <w:tcPr>
            <w:tcW w:w="210" w:type="pct"/>
            <w:noWrap w:val="0"/>
            <w:vAlign w:val="center"/>
          </w:tcPr>
          <w:p w14:paraId="46019C30">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4392DFD6">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2026.03.08</w:t>
            </w:r>
          </w:p>
        </w:tc>
        <w:tc>
          <w:tcPr>
            <w:tcW w:w="927" w:type="pct"/>
            <w:noWrap w:val="0"/>
            <w:vAlign w:val="center"/>
          </w:tcPr>
          <w:p w14:paraId="35FF9746">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CAPA-PC2603004</w:t>
            </w:r>
          </w:p>
          <w:p w14:paraId="6FA7CF81">
            <w:pPr>
              <w:widowControl/>
              <w:numPr>
                <w:ilvl w:val="0"/>
                <w:numId w:val="13"/>
              </w:numPr>
              <w:ind w:leftChars="0"/>
              <w:jc w:val="left"/>
              <w:rPr>
                <w:rFonts w:hint="eastAsia" w:ascii="Times New Roman" w:hAnsi="Times New Roman" w:eastAsia="宋体" w:cs="Times New Roman"/>
                <w:kern w:val="0"/>
                <w:sz w:val="20"/>
                <w:szCs w:val="20"/>
                <w:lang w:val="en-US" w:eastAsia="zh-CN" w:bidi="ar"/>
              </w:rPr>
            </w:pPr>
            <w:bookmarkStart w:id="2" w:name="OLE_LINK3"/>
            <w:r>
              <w:rPr>
                <w:rFonts w:hint="eastAsia" w:ascii="Times New Roman" w:hAnsi="Times New Roman" w:eastAsia="宋体" w:cs="Times New Roman"/>
                <w:kern w:val="0"/>
                <w:sz w:val="20"/>
                <w:szCs w:val="20"/>
                <w:lang w:val="en-US" w:eastAsia="zh-CN" w:bidi="ar"/>
              </w:rPr>
              <w:t>对QC仪器组全员进行临时培训，内容为：在“FID检测器基线噪声和基线漂移”项目时，序列表中进样功能选择“进直接样品”。</w:t>
            </w:r>
          </w:p>
          <w:p w14:paraId="269F55C1">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培训合格后，由检验员周媛完成气相色谱仪QC-1-2-067“FID检测器基线噪声和基线漂移”校验项目的复测。</w:t>
            </w:r>
          </w:p>
          <w:p w14:paraId="721B5ECD">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修订《气相色谱仪校验标准操作规程》（SOP-QC-101/07）具体修订内容为：将进样功能由“样品进样”修订为“进直接样品”。文件批准后对QC相关人员进行培训。</w:t>
            </w:r>
          </w:p>
          <w:p w14:paraId="3E609B93">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排查其他涉及仪器方法和序列进样体积的文件，确认参数是否一致，若不一致，则修订对应文件。</w:t>
            </w:r>
            <w:bookmarkEnd w:id="2"/>
          </w:p>
        </w:tc>
        <w:tc>
          <w:tcPr>
            <w:tcW w:w="305" w:type="pct"/>
            <w:noWrap w:val="0"/>
            <w:vAlign w:val="center"/>
          </w:tcPr>
          <w:p w14:paraId="56E222FB">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52D7E17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592E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4E9C3A04">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14</w:t>
            </w:r>
          </w:p>
        </w:tc>
        <w:tc>
          <w:tcPr>
            <w:tcW w:w="392" w:type="pct"/>
            <w:noWrap w:val="0"/>
            <w:vAlign w:val="center"/>
          </w:tcPr>
          <w:p w14:paraId="636FEBC7">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PC-2604001</w:t>
            </w:r>
          </w:p>
        </w:tc>
        <w:tc>
          <w:tcPr>
            <w:tcW w:w="339" w:type="pct"/>
            <w:noWrap w:val="0"/>
            <w:vAlign w:val="center"/>
          </w:tcPr>
          <w:p w14:paraId="2FAC487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美伐他汀/</w:t>
            </w:r>
            <w:bookmarkStart w:id="3" w:name="OLE_LINK4"/>
            <w:r>
              <w:rPr>
                <w:rFonts w:hint="eastAsia" w:ascii="Times New Roman" w:hAnsi="Times New Roman" w:eastAsia="宋体" w:cs="Times New Roman"/>
                <w:kern w:val="0"/>
                <w:sz w:val="20"/>
                <w:szCs w:val="20"/>
                <w:lang w:val="en-US" w:eastAsia="zh-CN" w:bidi="ar"/>
              </w:rPr>
              <w:t>USMV-A-2603001</w:t>
            </w:r>
            <w:bookmarkEnd w:id="3"/>
            <w:r>
              <w:rPr>
                <w:rFonts w:hint="eastAsia" w:ascii="Times New Roman" w:hAnsi="Times New Roman" w:eastAsia="宋体" w:cs="Times New Roman"/>
                <w:kern w:val="0"/>
                <w:sz w:val="20"/>
                <w:szCs w:val="20"/>
                <w:lang w:val="en-US" w:eastAsia="zh-CN" w:bidi="ar"/>
              </w:rPr>
              <w:t>、USMV-A-2603002、USMV-A-2603003、USMV-A-2603004</w:t>
            </w:r>
          </w:p>
        </w:tc>
        <w:tc>
          <w:tcPr>
            <w:tcW w:w="807" w:type="pct"/>
            <w:noWrap w:val="0"/>
            <w:vAlign w:val="center"/>
          </w:tcPr>
          <w:p w14:paraId="0149C9C6">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 04.12  16：40检验员周媛在QC液相室查看由液相色谱仪QC-1-2-056上</w:t>
            </w:r>
            <w:r>
              <w:rPr>
                <w:rFonts w:hint="eastAsia" w:ascii="Times New Roman" w:hAnsi="Times New Roman" w:eastAsia="宋体" w:cs="Times New Roman"/>
                <w:kern w:val="0"/>
                <w:sz w:val="20"/>
                <w:szCs w:val="20"/>
                <w:lang w:val="en-US" w:eastAsia="zh-CN" w:bidi="ar"/>
              </w:rPr>
              <w:t>运行</w:t>
            </w:r>
            <w:r>
              <w:rPr>
                <w:rFonts w:hint="default" w:ascii="Times New Roman" w:hAnsi="Times New Roman" w:eastAsia="宋体" w:cs="Times New Roman"/>
                <w:kern w:val="0"/>
                <w:sz w:val="20"/>
                <w:szCs w:val="20"/>
                <w:lang w:val="en-US" w:eastAsia="zh-CN" w:bidi="ar"/>
              </w:rPr>
              <w:t>的“20260412K1相关物质”时发现空白有美伐他汀干扰峰，峰面积大概为5000左右</w:t>
            </w:r>
            <w:r>
              <w:rPr>
                <w:rFonts w:hint="eastAsia" w:ascii="Times New Roman" w:hAnsi="Times New Roman" w:eastAsia="宋体" w:cs="Times New Roman"/>
                <w:kern w:val="0"/>
                <w:sz w:val="20"/>
                <w:szCs w:val="20"/>
                <w:lang w:val="en-US" w:eastAsia="zh-CN" w:bidi="ar"/>
              </w:rPr>
              <w:t>。</w:t>
            </w:r>
          </w:p>
        </w:tc>
        <w:tc>
          <w:tcPr>
            <w:tcW w:w="427" w:type="pct"/>
            <w:noWrap w:val="0"/>
            <w:vAlign w:val="center"/>
          </w:tcPr>
          <w:p w14:paraId="0CC817A8">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03977907">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02498A7">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直接原因：检验员周媛未清洗针座导致空白出现干扰峰。</w:t>
            </w:r>
            <w:r>
              <w:rPr>
                <w:rFonts w:hint="eastAsia" w:ascii="Times New Roman" w:hAnsi="Times New Roman" w:eastAsia="宋体" w:cs="Times New Roman"/>
                <w:kern w:val="0"/>
                <w:sz w:val="20"/>
                <w:szCs w:val="20"/>
                <w:lang w:val="en-US" w:eastAsia="zh-CN" w:bidi="ar"/>
              </w:rPr>
              <w:br w:type="textWrapping"/>
            </w:r>
            <w:r>
              <w:rPr>
                <w:rFonts w:hint="eastAsia" w:ascii="Times New Roman" w:hAnsi="Times New Roman" w:eastAsia="宋体" w:cs="Times New Roman"/>
                <w:kern w:val="0"/>
                <w:sz w:val="20"/>
                <w:szCs w:val="20"/>
                <w:lang w:val="en-US" w:eastAsia="zh-CN" w:bidi="ar"/>
              </w:rPr>
              <w:t>根本原因：《美伐他汀（康百汀（MV））成品检验标准操作规程（BT）》（SOP-QC-(MV)-004/11）文件中对“检测完”定义不清晰，不能指导人员操作。</w:t>
            </w:r>
          </w:p>
        </w:tc>
        <w:tc>
          <w:tcPr>
            <w:tcW w:w="210" w:type="pct"/>
            <w:noWrap w:val="0"/>
            <w:vAlign w:val="center"/>
          </w:tcPr>
          <w:p w14:paraId="752FEDF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6B576CA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2026.04.14</w:t>
            </w:r>
          </w:p>
        </w:tc>
        <w:tc>
          <w:tcPr>
            <w:tcW w:w="927" w:type="pct"/>
            <w:noWrap w:val="0"/>
            <w:vAlign w:val="center"/>
          </w:tcPr>
          <w:p w14:paraId="01E7ADA8">
            <w:pPr>
              <w:numPr>
                <w:ilvl w:val="0"/>
                <w:numId w:val="0"/>
              </w:numPr>
            </w:pPr>
            <w:r>
              <w:rPr>
                <w:rFonts w:hint="eastAsia"/>
              </w:rPr>
              <w:t>1、</w:t>
            </w:r>
            <w:r>
              <w:t>对此序列涉及批次的MV（BT）相关物质项目进行原样复测。</w:t>
            </w:r>
          </w:p>
          <w:p w14:paraId="7E4526C7">
            <w:pPr>
              <w:widowControl/>
              <w:numPr>
                <w:ilvl w:val="0"/>
                <w:numId w:val="0"/>
              </w:numPr>
              <w:jc w:val="left"/>
              <w:rPr>
                <w:rFonts w:hint="default" w:ascii="Times New Roman" w:hAnsi="Times New Roman" w:eastAsia="宋体" w:cs="Times New Roman"/>
                <w:kern w:val="0"/>
                <w:sz w:val="20"/>
                <w:szCs w:val="20"/>
                <w:lang w:val="en-US" w:eastAsia="zh-CN" w:bidi="ar"/>
              </w:rPr>
            </w:pPr>
            <w:r>
              <w:t>2、修订《美伐他汀(康百汀)(MV)成品检验标准操作规程(BT)》（SOP-QC（MV）-004/11）文件，将“每次检测完”修订为“只要检测MV（BT）相关物质（执行了含待测组分溶液的进样操作）”。文件批准后对QC全员进行培训。</w:t>
            </w:r>
            <w:r>
              <w:br w:type="textWrapping"/>
            </w:r>
            <w:r>
              <w:rPr>
                <w:rFonts w:hint="eastAsia"/>
                <w:lang w:val="en-US" w:eastAsia="zh-CN"/>
              </w:rPr>
              <w:t>3、对QC仪器组全员进行培训</w:t>
            </w:r>
            <w:r>
              <w:t>《美伐他汀(康百汀)(MV)成品检验标准操作规程(BT)》（SOP-QC（MV）-004/11）</w:t>
            </w:r>
            <w:r>
              <w:rPr>
                <w:rFonts w:hint="eastAsia"/>
                <w:lang w:val="en-US" w:eastAsia="zh-CN"/>
              </w:rPr>
              <w:t>文件，明确“检验完”是指“只要检测MV(BT）相关物质（执行了含待测组分溶液的进样操作）”。</w:t>
            </w:r>
          </w:p>
        </w:tc>
        <w:tc>
          <w:tcPr>
            <w:tcW w:w="305" w:type="pct"/>
            <w:noWrap w:val="0"/>
            <w:vAlign w:val="center"/>
          </w:tcPr>
          <w:p w14:paraId="2A0DA47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36F559A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550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620A986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15</w:t>
            </w:r>
          </w:p>
        </w:tc>
        <w:tc>
          <w:tcPr>
            <w:tcW w:w="392" w:type="pct"/>
            <w:noWrap w:val="0"/>
            <w:vAlign w:val="center"/>
          </w:tcPr>
          <w:p w14:paraId="34DAC89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PC-2604002</w:t>
            </w:r>
          </w:p>
        </w:tc>
        <w:tc>
          <w:tcPr>
            <w:tcW w:w="339" w:type="pct"/>
            <w:noWrap w:val="0"/>
            <w:vAlign w:val="center"/>
          </w:tcPr>
          <w:p w14:paraId="42E01DD0">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2D6DB2F9">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2026.04.18 16:35检验员翟美华在QC理化室查看由TOC分析仪QC-1-2-020检测纯化水序列结束后的数据，发现纯化水 P21-XT3-260418样品检测结果异常，同时观察到该样品液面进样前后几乎无变化，瓶盖向内凹陷，正常应为平整状态。异常 TOC 数据依次为944ppb、661ppb、108ppb、-1.86ppb，远偏离正常约 20ppb 水平。</w:t>
            </w:r>
          </w:p>
        </w:tc>
        <w:tc>
          <w:tcPr>
            <w:tcW w:w="427" w:type="pct"/>
            <w:noWrap w:val="0"/>
            <w:vAlign w:val="center"/>
          </w:tcPr>
          <w:p w14:paraId="7C0AC786">
            <w:pPr>
              <w:rPr>
                <w:rFonts w:hint="default" w:ascii="Times New Roman" w:hAnsi="Times New Roman" w:cs="Times New Roman"/>
                <w:sz w:val="20"/>
                <w:szCs w:val="20"/>
              </w:rPr>
            </w:pPr>
            <w:bookmarkStart w:id="4" w:name="OLE_LINK5"/>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0E6BE0F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bookmarkEnd w:id="4"/>
          </w:p>
        </w:tc>
        <w:tc>
          <w:tcPr>
            <w:tcW w:w="878" w:type="pct"/>
            <w:noWrap w:val="0"/>
            <w:vAlign w:val="center"/>
          </w:tcPr>
          <w:p w14:paraId="32A10097">
            <w:pPr>
              <w:widowControl/>
              <w:numPr>
                <w:ilvl w:val="0"/>
                <w:numId w:val="0"/>
              </w:numPr>
              <w:jc w:val="left"/>
              <w:rPr>
                <w:rFonts w:hint="eastAsia"/>
                <w:lang w:val="en-US" w:eastAsia="zh-CN"/>
              </w:rPr>
            </w:pPr>
            <w:r>
              <w:rPr>
                <w:rFonts w:hint="eastAsia"/>
                <w:lang w:val="en-US" w:eastAsia="zh-CN"/>
              </w:rPr>
              <w:t>可能的直接原因：瓶内负压导致吸样失败，未正常进到样品进而造成TOC检测结果异常。</w:t>
            </w:r>
          </w:p>
          <w:p w14:paraId="10A8BC52">
            <w:pPr>
              <w:pStyle w:val="2"/>
              <w:ind w:left="0" w:leftChars="0" w:firstLine="0" w:firstLineChars="0"/>
              <w:rPr>
                <w:rFonts w:hint="default"/>
                <w:lang w:val="en-US" w:eastAsia="zh-CN"/>
              </w:rPr>
            </w:pPr>
            <w:r>
              <w:rPr>
                <w:rFonts w:hint="eastAsia" w:ascii="Times New Roman" w:hAnsi="Times New Roman" w:eastAsia="宋体" w:cs="Times New Roman"/>
                <w:kern w:val="0"/>
                <w:sz w:val="20"/>
                <w:szCs w:val="20"/>
                <w:lang w:val="en-US" w:eastAsia="zh-CN" w:bidi="ar"/>
              </w:rPr>
              <w:t>可能的根本原因：进样针内外夹层发生偶发性轻微堵塞影响正常通气与气压平衡，导致通气不畅，瓶内形成负压。</w:t>
            </w:r>
          </w:p>
        </w:tc>
        <w:tc>
          <w:tcPr>
            <w:tcW w:w="210" w:type="pct"/>
            <w:noWrap w:val="0"/>
            <w:vAlign w:val="center"/>
          </w:tcPr>
          <w:p w14:paraId="14DCD37F">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04F7585F">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2026.04.18</w:t>
            </w:r>
          </w:p>
        </w:tc>
        <w:tc>
          <w:tcPr>
            <w:tcW w:w="927" w:type="pct"/>
            <w:noWrap w:val="0"/>
            <w:vAlign w:val="center"/>
          </w:tcPr>
          <w:p w14:paraId="0559DB95">
            <w:pPr>
              <w:widowControl/>
              <w:numPr>
                <w:ilvl w:val="0"/>
                <w:numId w:val="0"/>
              </w:numPr>
              <w:jc w:val="left"/>
              <w:rPr>
                <w:rFonts w:hint="eastAsia"/>
                <w:lang w:val="en-US" w:eastAsia="zh-CN"/>
              </w:rPr>
            </w:pPr>
            <w:r>
              <w:rPr>
                <w:rFonts w:hint="eastAsia"/>
                <w:lang w:val="en-US" w:eastAsia="zh-CN"/>
              </w:rPr>
              <w:t>CAPA-PC2604005</w:t>
            </w:r>
          </w:p>
          <w:p w14:paraId="5B776F5F">
            <w:pPr>
              <w:pStyle w:val="2"/>
              <w:numPr>
                <w:ilvl w:val="0"/>
                <w:numId w:val="14"/>
              </w:numPr>
              <w:ind w:left="0" w:leftChars="0" w:firstLine="0" w:firstLineChars="0"/>
              <w:rPr>
                <w:rFonts w:hint="eastAsia"/>
                <w:lang w:val="en-US" w:eastAsia="zh-CN"/>
              </w:rPr>
            </w:pPr>
            <w:r>
              <w:rPr>
                <w:rFonts w:hint="eastAsia"/>
                <w:lang w:val="en-US" w:eastAsia="zh-CN"/>
              </w:rPr>
              <w:t>对纯化水P21-XT3-260418批样品进行原样复测。</w:t>
            </w:r>
          </w:p>
          <w:p w14:paraId="5CD9A391">
            <w:pPr>
              <w:numPr>
                <w:ilvl w:val="0"/>
                <w:numId w:val="14"/>
              </w:numPr>
              <w:rPr>
                <w:rFonts w:hint="default"/>
                <w:lang w:val="en-US" w:eastAsia="zh-CN"/>
              </w:rPr>
            </w:pPr>
            <w:r>
              <w:rPr>
                <w:rFonts w:hint="eastAsia"/>
                <w:lang w:val="en-US" w:eastAsia="zh-CN"/>
              </w:rPr>
              <w:t>对TOC分析仪QC-1-2-020的进样状态进行一个月的跟踪，若跟踪期内不再出现进样针堵塞的情况，则进样针内外夹层缝隙发生堵塞情况为偶发事件。</w:t>
            </w:r>
          </w:p>
        </w:tc>
        <w:tc>
          <w:tcPr>
            <w:tcW w:w="305" w:type="pct"/>
            <w:noWrap w:val="0"/>
            <w:vAlign w:val="center"/>
          </w:tcPr>
          <w:p w14:paraId="370C68E7">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142727E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3CBA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49F325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16</w:t>
            </w:r>
          </w:p>
        </w:tc>
        <w:tc>
          <w:tcPr>
            <w:tcW w:w="392" w:type="pct"/>
            <w:noWrap w:val="0"/>
            <w:vAlign w:val="center"/>
          </w:tcPr>
          <w:p w14:paraId="0A0FBDB9">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PC-2605001</w:t>
            </w:r>
          </w:p>
        </w:tc>
        <w:tc>
          <w:tcPr>
            <w:tcW w:w="339" w:type="pct"/>
            <w:noWrap w:val="0"/>
            <w:vAlign w:val="center"/>
          </w:tcPr>
          <w:p w14:paraId="366700C7">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b w:val="0"/>
                <w:bCs w:val="0"/>
                <w:kern w:val="2"/>
                <w:sz w:val="21"/>
                <w:szCs w:val="21"/>
                <w:vertAlign w:val="baseline"/>
                <w:lang w:val="en-US" w:eastAsia="zh-CN" w:bidi="ar-SA"/>
              </w:rPr>
              <w:t>美伐他汀 、洛伐他汀、霉酚酸、多拉菌素、5%芬苯达唑、2%氟苯尼考预混剂、艾莫德斯等相关批次</w:t>
            </w:r>
          </w:p>
        </w:tc>
        <w:tc>
          <w:tcPr>
            <w:tcW w:w="807" w:type="pct"/>
            <w:noWrap w:val="0"/>
            <w:vAlign w:val="center"/>
          </w:tcPr>
          <w:p w14:paraId="03643C2D">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2026.05.12 11:51 QC一楼步入式药品稳定性考察室（QC-1-2-047）发生声光报警，相关人员同时收到报警信息。样品管理员焦玉宁、设备管理员刘冬到达现场后，发现步入式药品稳定性考察室处于停运状态，控制面板显示故障信息为环境温度过高导致CM1压缩机超压保护跳脱</w:t>
            </w:r>
            <w:r>
              <w:rPr>
                <w:rFonts w:hint="eastAsia" w:ascii="Times New Roman" w:hAnsi="Times New Roman" w:eastAsia="宋体" w:cs="Times New Roman"/>
                <w:kern w:val="0"/>
                <w:sz w:val="20"/>
                <w:szCs w:val="20"/>
                <w:lang w:val="en-US" w:eastAsia="zh-CN" w:bidi="ar"/>
              </w:rPr>
              <w:t>。</w:t>
            </w:r>
          </w:p>
        </w:tc>
        <w:tc>
          <w:tcPr>
            <w:tcW w:w="427" w:type="pct"/>
            <w:noWrap w:val="0"/>
            <w:vAlign w:val="center"/>
          </w:tcPr>
          <w:p w14:paraId="5D4DF93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5B0BB486">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269FAFC9">
            <w:pPr>
              <w:pStyle w:val="2"/>
              <w:ind w:left="0" w:leftChars="0" w:firstLine="0" w:firstLineChars="0"/>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直接原因：是外部冷凝器的散热器被柳絮堵塞，散热不良，导致CM1压缩机超压保护跳脱。</w:t>
            </w:r>
            <w:r>
              <w:rPr>
                <w:rFonts w:hint="eastAsia" w:ascii="Times New Roman" w:hAnsi="Times New Roman" w:eastAsia="宋体" w:cs="Times New Roman"/>
                <w:kern w:val="0"/>
                <w:sz w:val="20"/>
                <w:szCs w:val="20"/>
                <w:lang w:val="en-US" w:eastAsia="zh-CN" w:bidi="ar"/>
              </w:rPr>
              <w:br w:type="textWrapping"/>
            </w:r>
            <w:r>
              <w:rPr>
                <w:rFonts w:hint="eastAsia" w:ascii="Times New Roman" w:hAnsi="Times New Roman" w:eastAsia="宋体" w:cs="Times New Roman"/>
                <w:kern w:val="0"/>
                <w:sz w:val="20"/>
                <w:szCs w:val="20"/>
                <w:lang w:val="en-US" w:eastAsia="zh-CN" w:bidi="ar"/>
              </w:rPr>
              <w:t>根本原因：文件中关于维护保养周期的规定不清晰，不能指导人员操作；且2~5月份规定的针对外部冷凝器的清洁频次较低不能达到预期的清洁效果。</w:t>
            </w:r>
          </w:p>
        </w:tc>
        <w:tc>
          <w:tcPr>
            <w:tcW w:w="210" w:type="pct"/>
            <w:noWrap w:val="0"/>
            <w:vAlign w:val="center"/>
          </w:tcPr>
          <w:p w14:paraId="08DC940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056DE29F">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2026.05.12</w:t>
            </w:r>
          </w:p>
        </w:tc>
        <w:tc>
          <w:tcPr>
            <w:tcW w:w="927" w:type="pct"/>
            <w:noWrap w:val="0"/>
            <w:vAlign w:val="center"/>
          </w:tcPr>
          <w:p w14:paraId="558DFC2D">
            <w:pPr>
              <w:numPr>
                <w:ilvl w:val="0"/>
                <w:numId w:val="0"/>
              </w:numPr>
              <w:ind w:leftChars="0"/>
              <w:rPr>
                <w:rFonts w:hint="eastAsia" w:ascii="Times New Roman" w:hAnsi="Times New Roman" w:eastAsia="宋体" w:cs="Times New Roman"/>
                <w:lang w:val="en-US" w:eastAsia="zh-CN"/>
              </w:rPr>
            </w:pPr>
            <w:r>
              <w:rPr>
                <w:rFonts w:hint="eastAsia"/>
                <w:lang w:val="en-US" w:eastAsia="zh-CN"/>
              </w:rPr>
              <w:t>CAPA-PC2605001</w:t>
            </w:r>
            <w:r>
              <w:rPr>
                <w:rFonts w:hint="eastAsia"/>
                <w:lang w:val="en-US" w:eastAsia="zh-CN"/>
              </w:rPr>
              <w:br w:type="textWrapping"/>
            </w:r>
            <w:r>
              <w:rPr>
                <w:rFonts w:hint="eastAsia" w:ascii="Times New Roman" w:hAnsi="Times New Roman" w:eastAsia="宋体" w:cs="Times New Roman"/>
                <w:lang w:val="en-US" w:eastAsia="zh-CN"/>
              </w:rPr>
              <w:t xml:space="preserve">1、对综合组组长、样品管理员及设备管理员进行培训，培训内容为：在5月12日至31日每周清洁一次外部冷凝器。                  </w:t>
            </w:r>
          </w:p>
          <w:p w14:paraId="2A191BB7">
            <w:pPr>
              <w:numPr>
                <w:ilvl w:val="0"/>
                <w:numId w:val="0"/>
              </w:numPr>
              <w:rPr>
                <w:rFonts w:hint="default"/>
                <w:lang w:val="en-US" w:eastAsia="zh-CN"/>
              </w:rPr>
            </w:pPr>
            <w:r>
              <w:rPr>
                <w:rFonts w:hint="eastAsia" w:ascii="Times New Roman" w:hAnsi="Times New Roman" w:eastAsia="宋体" w:cs="Times New Roman"/>
                <w:lang w:val="en-US" w:eastAsia="zh-CN"/>
              </w:rPr>
              <w:t>2、修订《QC检测仪器维护保养一览表》（APP2-SMP-QC-025/18），在文件中规定2~5月份应每周清理一次。并对相关人员进行培训。</w:t>
            </w:r>
          </w:p>
        </w:tc>
        <w:tc>
          <w:tcPr>
            <w:tcW w:w="305" w:type="pct"/>
            <w:noWrap w:val="0"/>
            <w:vAlign w:val="center"/>
          </w:tcPr>
          <w:p w14:paraId="3725F360">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78C0AA65">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进行中</w:t>
            </w:r>
          </w:p>
        </w:tc>
      </w:tr>
      <w:tr w14:paraId="3285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4D62F1B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17</w:t>
            </w:r>
          </w:p>
        </w:tc>
        <w:tc>
          <w:tcPr>
            <w:tcW w:w="392" w:type="pct"/>
            <w:noWrap w:val="0"/>
            <w:vAlign w:val="center"/>
          </w:tcPr>
          <w:p w14:paraId="66F6F69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PC-2606001</w:t>
            </w:r>
          </w:p>
        </w:tc>
        <w:tc>
          <w:tcPr>
            <w:tcW w:w="339" w:type="pct"/>
            <w:noWrap w:val="0"/>
            <w:vAlign w:val="center"/>
          </w:tcPr>
          <w:p w14:paraId="749AED60">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2026.06.08</w:t>
            </w:r>
          </w:p>
        </w:tc>
        <w:tc>
          <w:tcPr>
            <w:tcW w:w="807" w:type="pct"/>
            <w:noWrap w:val="0"/>
            <w:vAlign w:val="center"/>
          </w:tcPr>
          <w:p w14:paraId="4636EC1F">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侯玉芳</w:t>
            </w:r>
          </w:p>
        </w:tc>
        <w:tc>
          <w:tcPr>
            <w:tcW w:w="427" w:type="pct"/>
            <w:noWrap w:val="0"/>
            <w:vAlign w:val="center"/>
          </w:tcPr>
          <w:p w14:paraId="11159472">
            <w:pPr>
              <w:rPr>
                <w:rFonts w:hint="default" w:ascii="Times New Roman" w:hAnsi="Times New Roman" w:cs="Times New Roman"/>
                <w:sz w:val="20"/>
                <w:szCs w:val="20"/>
              </w:rPr>
            </w:pPr>
          </w:p>
        </w:tc>
        <w:tc>
          <w:tcPr>
            <w:tcW w:w="878" w:type="pct"/>
            <w:noWrap w:val="0"/>
            <w:vAlign w:val="center"/>
          </w:tcPr>
          <w:p w14:paraId="1C36ED66">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47B620FF">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1B6F5096">
            <w:pPr>
              <w:jc w:val="center"/>
              <w:rPr>
                <w:rFonts w:hint="eastAsia" w:ascii="Times New Roman" w:hAnsi="Times New Roman" w:cs="Times New Roman"/>
                <w:sz w:val="20"/>
                <w:szCs w:val="20"/>
                <w:lang w:val="en-US" w:eastAsia="zh-CN"/>
              </w:rPr>
            </w:pPr>
          </w:p>
        </w:tc>
        <w:tc>
          <w:tcPr>
            <w:tcW w:w="927" w:type="pct"/>
            <w:noWrap w:val="0"/>
            <w:vAlign w:val="center"/>
          </w:tcPr>
          <w:p w14:paraId="1AC75AC3">
            <w:pPr>
              <w:numPr>
                <w:ilvl w:val="0"/>
                <w:numId w:val="0"/>
              </w:numPr>
              <w:rPr>
                <w:rFonts w:hint="eastAsia" w:ascii="Times New Roman" w:hAnsi="Times New Roman" w:eastAsia="宋体" w:cs="Times New Roman"/>
                <w:lang w:val="en-US" w:eastAsia="zh-CN"/>
              </w:rPr>
            </w:pPr>
          </w:p>
        </w:tc>
        <w:tc>
          <w:tcPr>
            <w:tcW w:w="305" w:type="pct"/>
            <w:noWrap w:val="0"/>
            <w:vAlign w:val="center"/>
          </w:tcPr>
          <w:p w14:paraId="24F964DB">
            <w:pPr>
              <w:jc w:val="center"/>
              <w:rPr>
                <w:rFonts w:hint="eastAsia" w:ascii="Times New Roman" w:hAnsi="Times New Roman" w:cs="Times New Roman"/>
                <w:sz w:val="20"/>
                <w:szCs w:val="20"/>
                <w:lang w:val="en-US" w:eastAsia="zh-CN"/>
              </w:rPr>
            </w:pPr>
          </w:p>
        </w:tc>
        <w:tc>
          <w:tcPr>
            <w:tcW w:w="211" w:type="pct"/>
            <w:noWrap w:val="0"/>
            <w:vAlign w:val="center"/>
          </w:tcPr>
          <w:p w14:paraId="027DBFF0">
            <w:pPr>
              <w:jc w:val="center"/>
              <w:rPr>
                <w:rFonts w:hint="eastAsia" w:ascii="Times New Roman" w:hAnsi="Times New Roman" w:cs="Times New Roman"/>
                <w:sz w:val="20"/>
                <w:szCs w:val="20"/>
                <w:lang w:val="en-US" w:eastAsia="zh-CN"/>
              </w:rPr>
            </w:pPr>
          </w:p>
        </w:tc>
      </w:tr>
      <w:tr w14:paraId="0466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88405C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18</w:t>
            </w:r>
          </w:p>
        </w:tc>
        <w:tc>
          <w:tcPr>
            <w:tcW w:w="392" w:type="pct"/>
            <w:noWrap w:val="0"/>
            <w:vAlign w:val="center"/>
          </w:tcPr>
          <w:p w14:paraId="1790C9B0">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PC-2606002</w:t>
            </w:r>
          </w:p>
        </w:tc>
        <w:tc>
          <w:tcPr>
            <w:tcW w:w="339" w:type="pct"/>
            <w:noWrap w:val="0"/>
            <w:vAlign w:val="center"/>
          </w:tcPr>
          <w:p w14:paraId="68632FB0">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2026.06.16</w:t>
            </w:r>
          </w:p>
        </w:tc>
        <w:tc>
          <w:tcPr>
            <w:tcW w:w="807" w:type="pct"/>
            <w:noWrap w:val="0"/>
            <w:vAlign w:val="center"/>
          </w:tcPr>
          <w:p w14:paraId="2C5F6E22">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纳欣</w:t>
            </w:r>
          </w:p>
        </w:tc>
        <w:tc>
          <w:tcPr>
            <w:tcW w:w="427" w:type="pct"/>
            <w:noWrap w:val="0"/>
            <w:vAlign w:val="center"/>
          </w:tcPr>
          <w:p w14:paraId="4239A76B">
            <w:pPr>
              <w:rPr>
                <w:rFonts w:hint="default" w:ascii="Times New Roman" w:hAnsi="Times New Roman" w:cs="Times New Roman"/>
                <w:sz w:val="20"/>
                <w:szCs w:val="20"/>
              </w:rPr>
            </w:pPr>
          </w:p>
        </w:tc>
        <w:tc>
          <w:tcPr>
            <w:tcW w:w="878" w:type="pct"/>
            <w:noWrap w:val="0"/>
            <w:vAlign w:val="center"/>
          </w:tcPr>
          <w:p w14:paraId="49EA5832">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1A0A194B">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24E8BCC0">
            <w:pPr>
              <w:jc w:val="center"/>
              <w:rPr>
                <w:rFonts w:hint="eastAsia" w:ascii="Times New Roman" w:hAnsi="Times New Roman" w:cs="Times New Roman"/>
                <w:sz w:val="20"/>
                <w:szCs w:val="20"/>
                <w:lang w:val="en-US" w:eastAsia="zh-CN"/>
              </w:rPr>
            </w:pPr>
          </w:p>
        </w:tc>
        <w:tc>
          <w:tcPr>
            <w:tcW w:w="927" w:type="pct"/>
            <w:noWrap w:val="0"/>
            <w:vAlign w:val="center"/>
          </w:tcPr>
          <w:p w14:paraId="7D4E643C">
            <w:pPr>
              <w:numPr>
                <w:ilvl w:val="0"/>
                <w:numId w:val="0"/>
              </w:numPr>
              <w:rPr>
                <w:rFonts w:hint="eastAsia" w:ascii="Times New Roman" w:hAnsi="Times New Roman" w:eastAsia="宋体" w:cs="Times New Roman"/>
                <w:lang w:val="en-US" w:eastAsia="zh-CN"/>
              </w:rPr>
            </w:pPr>
          </w:p>
        </w:tc>
        <w:tc>
          <w:tcPr>
            <w:tcW w:w="305" w:type="pct"/>
            <w:noWrap w:val="0"/>
            <w:vAlign w:val="center"/>
          </w:tcPr>
          <w:p w14:paraId="45F2A8B1">
            <w:pPr>
              <w:jc w:val="center"/>
              <w:rPr>
                <w:rFonts w:hint="eastAsia" w:ascii="Times New Roman" w:hAnsi="Times New Roman" w:cs="Times New Roman"/>
                <w:sz w:val="20"/>
                <w:szCs w:val="20"/>
                <w:lang w:val="en-US" w:eastAsia="zh-CN"/>
              </w:rPr>
            </w:pPr>
          </w:p>
        </w:tc>
        <w:tc>
          <w:tcPr>
            <w:tcW w:w="211" w:type="pct"/>
            <w:noWrap w:val="0"/>
            <w:vAlign w:val="center"/>
          </w:tcPr>
          <w:p w14:paraId="680D2B7D">
            <w:pPr>
              <w:jc w:val="center"/>
              <w:rPr>
                <w:rFonts w:hint="eastAsia" w:ascii="Times New Roman" w:hAnsi="Times New Roman" w:cs="Times New Roman"/>
                <w:sz w:val="20"/>
                <w:szCs w:val="20"/>
                <w:lang w:val="en-US" w:eastAsia="zh-CN"/>
              </w:rPr>
            </w:pPr>
          </w:p>
        </w:tc>
      </w:tr>
      <w:tr w14:paraId="1E4A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A601E9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18</w:t>
            </w:r>
          </w:p>
        </w:tc>
        <w:tc>
          <w:tcPr>
            <w:tcW w:w="392" w:type="pct"/>
            <w:noWrap w:val="0"/>
            <w:vAlign w:val="center"/>
          </w:tcPr>
          <w:p w14:paraId="0CFFC816">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PC-2606003</w:t>
            </w:r>
          </w:p>
        </w:tc>
        <w:tc>
          <w:tcPr>
            <w:tcW w:w="339" w:type="pct"/>
            <w:noWrap w:val="0"/>
            <w:vAlign w:val="center"/>
          </w:tcPr>
          <w:p w14:paraId="60E3D1DF">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2026.06.16</w:t>
            </w:r>
          </w:p>
        </w:tc>
        <w:tc>
          <w:tcPr>
            <w:tcW w:w="807" w:type="pct"/>
            <w:noWrap w:val="0"/>
            <w:vAlign w:val="center"/>
          </w:tcPr>
          <w:p w14:paraId="3FD4B14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仓库</w:t>
            </w:r>
          </w:p>
        </w:tc>
        <w:tc>
          <w:tcPr>
            <w:tcW w:w="427" w:type="pct"/>
            <w:noWrap w:val="0"/>
            <w:vAlign w:val="center"/>
          </w:tcPr>
          <w:p w14:paraId="739EEC2F">
            <w:pPr>
              <w:rPr>
                <w:rFonts w:hint="default" w:ascii="Times New Roman" w:hAnsi="Times New Roman" w:cs="Times New Roman"/>
                <w:sz w:val="20"/>
                <w:szCs w:val="20"/>
              </w:rPr>
            </w:pPr>
          </w:p>
        </w:tc>
        <w:tc>
          <w:tcPr>
            <w:tcW w:w="878" w:type="pct"/>
            <w:noWrap w:val="0"/>
            <w:vAlign w:val="center"/>
          </w:tcPr>
          <w:p w14:paraId="1A6C55EC">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6CE916F2">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523DCA4A">
            <w:pPr>
              <w:jc w:val="center"/>
              <w:rPr>
                <w:rFonts w:hint="eastAsia" w:ascii="Times New Roman" w:hAnsi="Times New Roman" w:cs="Times New Roman"/>
                <w:sz w:val="20"/>
                <w:szCs w:val="20"/>
                <w:lang w:val="en-US" w:eastAsia="zh-CN"/>
              </w:rPr>
            </w:pPr>
          </w:p>
        </w:tc>
        <w:tc>
          <w:tcPr>
            <w:tcW w:w="927" w:type="pct"/>
            <w:noWrap w:val="0"/>
            <w:vAlign w:val="center"/>
          </w:tcPr>
          <w:p w14:paraId="5BFD4614">
            <w:pPr>
              <w:numPr>
                <w:ilvl w:val="0"/>
                <w:numId w:val="0"/>
              </w:numPr>
              <w:rPr>
                <w:rFonts w:hint="eastAsia" w:ascii="Times New Roman" w:hAnsi="Times New Roman" w:eastAsia="宋体" w:cs="Times New Roman"/>
                <w:lang w:val="en-US" w:eastAsia="zh-CN"/>
              </w:rPr>
            </w:pPr>
          </w:p>
        </w:tc>
        <w:tc>
          <w:tcPr>
            <w:tcW w:w="305" w:type="pct"/>
            <w:noWrap w:val="0"/>
            <w:vAlign w:val="center"/>
          </w:tcPr>
          <w:p w14:paraId="20680AC9">
            <w:pPr>
              <w:jc w:val="center"/>
              <w:rPr>
                <w:rFonts w:hint="eastAsia" w:ascii="Times New Roman" w:hAnsi="Times New Roman" w:cs="Times New Roman"/>
                <w:sz w:val="20"/>
                <w:szCs w:val="20"/>
                <w:lang w:val="en-US" w:eastAsia="zh-CN"/>
              </w:rPr>
            </w:pPr>
          </w:p>
        </w:tc>
        <w:tc>
          <w:tcPr>
            <w:tcW w:w="211" w:type="pct"/>
            <w:noWrap w:val="0"/>
            <w:vAlign w:val="center"/>
          </w:tcPr>
          <w:p w14:paraId="0C40FC21">
            <w:pPr>
              <w:jc w:val="center"/>
              <w:rPr>
                <w:rFonts w:hint="eastAsia" w:ascii="Times New Roman" w:hAnsi="Times New Roman" w:cs="Times New Roman"/>
                <w:sz w:val="20"/>
                <w:szCs w:val="20"/>
                <w:lang w:val="en-US" w:eastAsia="zh-CN"/>
              </w:rPr>
            </w:pPr>
          </w:p>
        </w:tc>
      </w:tr>
      <w:tr w14:paraId="2D42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6AAF687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19</w:t>
            </w:r>
          </w:p>
        </w:tc>
        <w:tc>
          <w:tcPr>
            <w:tcW w:w="392" w:type="pct"/>
            <w:noWrap w:val="0"/>
            <w:vAlign w:val="center"/>
          </w:tcPr>
          <w:p w14:paraId="188257AE">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PC-2606004</w:t>
            </w:r>
          </w:p>
        </w:tc>
        <w:tc>
          <w:tcPr>
            <w:tcW w:w="339" w:type="pct"/>
            <w:noWrap w:val="0"/>
            <w:vAlign w:val="center"/>
          </w:tcPr>
          <w:p w14:paraId="65ADF281">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2026.06.19</w:t>
            </w:r>
          </w:p>
        </w:tc>
        <w:tc>
          <w:tcPr>
            <w:tcW w:w="807" w:type="pct"/>
            <w:noWrap w:val="0"/>
            <w:vAlign w:val="center"/>
          </w:tcPr>
          <w:p w14:paraId="0650797D">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陈芳</w:t>
            </w:r>
          </w:p>
        </w:tc>
        <w:tc>
          <w:tcPr>
            <w:tcW w:w="427" w:type="pct"/>
            <w:noWrap w:val="0"/>
            <w:vAlign w:val="center"/>
          </w:tcPr>
          <w:p w14:paraId="631CCD63">
            <w:pPr>
              <w:rPr>
                <w:rFonts w:hint="default" w:ascii="Times New Roman" w:hAnsi="Times New Roman" w:cs="Times New Roman"/>
                <w:sz w:val="20"/>
                <w:szCs w:val="20"/>
              </w:rPr>
            </w:pPr>
          </w:p>
        </w:tc>
        <w:tc>
          <w:tcPr>
            <w:tcW w:w="878" w:type="pct"/>
            <w:noWrap w:val="0"/>
            <w:vAlign w:val="center"/>
          </w:tcPr>
          <w:p w14:paraId="38FF3411">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337CE1CF">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4D8E26B9">
            <w:pPr>
              <w:jc w:val="center"/>
              <w:rPr>
                <w:rFonts w:hint="eastAsia" w:ascii="Times New Roman" w:hAnsi="Times New Roman" w:cs="Times New Roman"/>
                <w:sz w:val="20"/>
                <w:szCs w:val="20"/>
                <w:lang w:val="en-US" w:eastAsia="zh-CN"/>
              </w:rPr>
            </w:pPr>
          </w:p>
        </w:tc>
        <w:tc>
          <w:tcPr>
            <w:tcW w:w="927" w:type="pct"/>
            <w:noWrap w:val="0"/>
            <w:vAlign w:val="center"/>
          </w:tcPr>
          <w:p w14:paraId="1D8204DB">
            <w:pPr>
              <w:numPr>
                <w:ilvl w:val="0"/>
                <w:numId w:val="0"/>
              </w:numPr>
              <w:rPr>
                <w:rFonts w:hint="eastAsia" w:ascii="Times New Roman" w:hAnsi="Times New Roman" w:eastAsia="宋体" w:cs="Times New Roman"/>
                <w:lang w:val="en-US" w:eastAsia="zh-CN"/>
              </w:rPr>
            </w:pPr>
          </w:p>
        </w:tc>
        <w:tc>
          <w:tcPr>
            <w:tcW w:w="305" w:type="pct"/>
            <w:noWrap w:val="0"/>
            <w:vAlign w:val="center"/>
          </w:tcPr>
          <w:p w14:paraId="77342A58">
            <w:pPr>
              <w:jc w:val="center"/>
              <w:rPr>
                <w:rFonts w:hint="eastAsia" w:ascii="Times New Roman" w:hAnsi="Times New Roman" w:cs="Times New Roman"/>
                <w:sz w:val="20"/>
                <w:szCs w:val="20"/>
                <w:lang w:val="en-US" w:eastAsia="zh-CN"/>
              </w:rPr>
            </w:pPr>
          </w:p>
        </w:tc>
        <w:tc>
          <w:tcPr>
            <w:tcW w:w="211" w:type="pct"/>
            <w:noWrap w:val="0"/>
            <w:vAlign w:val="center"/>
          </w:tcPr>
          <w:p w14:paraId="3BA5F102">
            <w:pPr>
              <w:jc w:val="center"/>
              <w:rPr>
                <w:rFonts w:hint="eastAsia" w:ascii="Times New Roman" w:hAnsi="Times New Roman" w:cs="Times New Roman"/>
                <w:sz w:val="20"/>
                <w:szCs w:val="20"/>
                <w:lang w:val="en-US" w:eastAsia="zh-CN"/>
              </w:rPr>
            </w:pPr>
          </w:p>
        </w:tc>
      </w:tr>
    </w:tbl>
    <w:p w14:paraId="1F833D20"/>
    <w:permEnd w:id="8"/>
    <w:p w14:paraId="7B657CA3">
      <w:pPr>
        <w:rPr>
          <w:rFonts w:hint="default" w:ascii="Times New Roman" w:hAnsi="Times New Roman" w:cs="Times New Roman"/>
          <w:lang w:val="en-US" w:eastAsia="zh-CN"/>
        </w:rPr>
      </w:pPr>
      <w:r>
        <w:rPr>
          <w:rFonts w:hint="default" w:ascii="Times New Roman" w:hAnsi="Times New Roman" w:cs="Times New Roman"/>
          <w:lang w:val="en-US" w:eastAsia="zh-CN"/>
        </w:rPr>
        <w:t>QA偏差管理员</w:t>
      </w:r>
      <w:r>
        <w:rPr>
          <w:rFonts w:hint="eastAsia" w:ascii="Times New Roman" w:hAnsi="Times New Roman" w:cs="Times New Roman"/>
          <w:lang w:val="en-US" w:eastAsia="zh-CN"/>
        </w:rPr>
        <w:t>/日期</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QA负责人</w:t>
      </w:r>
      <w:r>
        <w:rPr>
          <w:rFonts w:hint="eastAsia" w:ascii="Times New Roman" w:hAnsi="Times New Roman" w:cs="Times New Roman"/>
          <w:lang w:val="en-US" w:eastAsia="zh-CN"/>
        </w:rPr>
        <w:t>/日期</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p>
    <w:sectPr>
      <w:headerReference r:id="rId5" w:type="default"/>
      <w:footerReference r:id="rId6" w:type="default"/>
      <w:type w:val="continuous"/>
      <w:pgSz w:w="16838" w:h="11906" w:orient="landscape"/>
      <w:pgMar w:top="1417" w:right="680" w:bottom="1134" w:left="680" w:header="680" w:footer="765" w:gutter="0"/>
      <w:paperSrc/>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roman"/>
    <w:pitch w:val="default"/>
    <w:sig w:usb0="800002BF" w:usb1="38CF7CFA" w:usb2="00000016"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0CE97">
    <w:pPr>
      <w:pStyle w:val="4"/>
      <w:jc w:val="both"/>
      <w:rPr>
        <w:rFonts w:hint="eastAsia"/>
        <w:sz w:val="21"/>
        <w:szCs w:val="28"/>
      </w:rPr>
    </w:pPr>
    <w:r>
      <w:rPr>
        <w:rFonts w:hint="eastAsia"/>
        <w:sz w:val="21"/>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45D8D">
    <w:pPr>
      <w:pStyle w:val="4"/>
      <w:tabs>
        <w:tab w:val="left" w:pos="6968"/>
        <w:tab w:val="clear" w:pos="8306"/>
      </w:tabs>
      <w:jc w:val="both"/>
      <w:rPr>
        <w:rFonts w:hint="eastAsia" w:eastAsia="宋体"/>
        <w:sz w:val="21"/>
        <w:szCs w:val="28"/>
        <w:lang w:eastAsia="zh-CN"/>
      </w:rPr>
    </w:pPr>
    <w:r>
      <w:rPr>
        <w:rFonts w:hint="eastAsia"/>
        <w:sz w:val="21"/>
        <w:szCs w:val="28"/>
      </w:rPr>
      <w:t xml:space="preserve">                                       </w:t>
    </w:r>
    <w:r>
      <w:rPr>
        <w:rFonts w:hint="eastAsia"/>
        <w:sz w:val="21"/>
        <w:szCs w:val="28"/>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8"/>
      <w:gridCol w:w="8178"/>
      <w:gridCol w:w="3824"/>
    </w:tblGrid>
    <w:tr w14:paraId="1E94B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jc w:val="center"/>
      </w:trPr>
      <w:tc>
        <w:tcPr>
          <w:tcW w:w="15480" w:type="dxa"/>
          <w:gridSpan w:val="3"/>
          <w:noWrap w:val="0"/>
          <w:vAlign w:val="center"/>
        </w:tcPr>
        <w:p w14:paraId="44A54F33">
          <w:pPr>
            <w:jc w:val="both"/>
            <w:rPr>
              <w:b/>
              <w:bCs/>
              <w:sz w:val="28"/>
              <w:szCs w:val="28"/>
            </w:rPr>
          </w:pPr>
          <w:r>
            <w:rPr>
              <w:b/>
              <w:bCs/>
              <w:spacing w:val="4"/>
              <w:szCs w:val="21"/>
              <w:lang w:val="zh-CN"/>
            </w:rPr>
            <w:drawing>
              <wp:anchor distT="0" distB="0" distL="114300" distR="114300" simplePos="0" relativeHeight="251659264" behindDoc="0" locked="0" layoutInCell="1" allowOverlap="1">
                <wp:simplePos x="0" y="0"/>
                <wp:positionH relativeFrom="page">
                  <wp:posOffset>4382770</wp:posOffset>
                </wp:positionH>
                <wp:positionV relativeFrom="page">
                  <wp:posOffset>50165</wp:posOffset>
                </wp:positionV>
                <wp:extent cx="975360" cy="243840"/>
                <wp:effectExtent l="0" t="0" r="0" b="0"/>
                <wp:wrapNone/>
                <wp:docPr id="1" name="图片 23"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丽珠标志2"/>
                        <pic:cNvPicPr>
                          <a:picLocks noChangeAspect="1"/>
                        </pic:cNvPicPr>
                      </pic:nvPicPr>
                      <pic:blipFill>
                        <a:blip r:embed="rId1"/>
                        <a:stretch>
                          <a:fillRect/>
                        </a:stretch>
                      </pic:blipFill>
                      <pic:spPr>
                        <a:xfrm>
                          <a:off x="0" y="0"/>
                          <a:ext cx="975360" cy="243840"/>
                        </a:xfrm>
                        <a:prstGeom prst="rect">
                          <a:avLst/>
                        </a:prstGeom>
                        <a:noFill/>
                        <a:ln>
                          <a:noFill/>
                        </a:ln>
                      </pic:spPr>
                    </pic:pic>
                  </a:graphicData>
                </a:graphic>
              </wp:anchor>
            </w:drawing>
          </w:r>
        </w:p>
      </w:tc>
    </w:tr>
    <w:tr w14:paraId="35015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3478" w:type="dxa"/>
          <w:noWrap w:val="0"/>
          <w:vAlign w:val="center"/>
        </w:tcPr>
        <w:p w14:paraId="14CCC3EE">
          <w:pPr>
            <w:jc w:val="both"/>
            <w:rPr>
              <w:rFonts w:hint="eastAsia" w:ascii="Times New Roman" w:hAnsi="Times New Roman" w:eastAsia="楷体" w:cs="Times New Roman"/>
              <w:b/>
              <w:bCs/>
              <w:sz w:val="28"/>
              <w:szCs w:val="28"/>
              <w:lang w:val="en-US" w:eastAsia="zh-CN"/>
            </w:rPr>
          </w:pPr>
          <w:r>
            <w:rPr>
              <w:rFonts w:hint="eastAsia" w:ascii="宋体" w:hAnsi="宋体" w:eastAsia="宋体" w:cs="宋体"/>
              <w:b/>
              <w:bCs/>
              <w:sz w:val="18"/>
              <w:szCs w:val="18"/>
              <w:lang w:val="en-US" w:eastAsia="zh-CN"/>
            </w:rPr>
            <w:t>偏差处理管理程序</w:t>
          </w:r>
        </w:p>
      </w:tc>
      <w:tc>
        <w:tcPr>
          <w:tcW w:w="8178" w:type="dxa"/>
          <w:noWrap w:val="0"/>
          <w:vAlign w:val="center"/>
        </w:tcPr>
        <w:p w14:paraId="6954D82E">
          <w:pPr>
            <w:snapToGrid w:val="0"/>
            <w:jc w:val="center"/>
            <w:rPr>
              <w:rFonts w:hint="default" w:ascii="Times New Roman" w:hAnsi="Times New Roman" w:cs="Times New Roman"/>
              <w:b/>
              <w:bCs/>
              <w:color w:val="FF0000"/>
              <w:sz w:val="28"/>
              <w:szCs w:val="28"/>
            </w:rPr>
          </w:pPr>
          <w:r>
            <w:rPr>
              <w:rFonts w:hint="eastAsia" w:ascii="Times New Roman" w:hAnsi="Times New Roman" w:cs="Times New Roman"/>
              <w:b/>
              <w:bCs/>
              <w:color w:val="000000"/>
              <w:sz w:val="18"/>
              <w:szCs w:val="18"/>
              <w:lang w:val="en-US" w:eastAsia="zh-CN"/>
            </w:rPr>
            <w:t>Deviation handling management procedure</w:t>
          </w:r>
        </w:p>
      </w:tc>
      <w:tc>
        <w:tcPr>
          <w:tcW w:w="3824" w:type="dxa"/>
          <w:noWrap w:val="0"/>
          <w:vAlign w:val="center"/>
        </w:tcPr>
        <w:p w14:paraId="163EB39B">
          <w:pPr>
            <w:spacing w:line="280" w:lineRule="atLeast"/>
            <w:jc w:val="right"/>
            <w:rPr>
              <w:rFonts w:hint="eastAsia" w:ascii="Times New Roman" w:hAnsi="Times New Roman" w:eastAsia="楷体" w:cs="Times New Roman"/>
              <w:b/>
              <w:bCs/>
              <w:sz w:val="28"/>
              <w:szCs w:val="28"/>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margin">
                      <wp:posOffset>1702435</wp:posOffset>
                    </wp:positionH>
                    <wp:positionV relativeFrom="paragraph">
                      <wp:posOffset>200660</wp:posOffset>
                    </wp:positionV>
                    <wp:extent cx="1828800" cy="1828800"/>
                    <wp:effectExtent l="0" t="0" r="0" b="0"/>
                    <wp:wrapNone/>
                    <wp:docPr id="3"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AFAF06">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9"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1</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9"/>
                                <w:r>
                                  <w:rPr>
                                    <w:rFonts w:hint="default" w:ascii="Times New Roman" w:hAnsi="Times New Roman" w:eastAsia="宋体" w:cs="Times New Roman"/>
                                    <w:sz w:val="21"/>
                                    <w:szCs w:val="28"/>
                                  </w:rPr>
                                  <w:t xml:space="preserve"> </w:t>
                                </w:r>
                              </w:p>
                            </w:txbxContent>
                          </wps:txbx>
                          <wps:bodyPr vert="horz" wrap="none" lIns="0" tIns="0" rIns="0" bIns="0" anchor="t" anchorCtr="0" upright="0">
                            <a:spAutoFit/>
                          </wps:bodyPr>
                        </wps:wsp>
                      </a:graphicData>
                    </a:graphic>
                  </wp:anchor>
                </w:drawing>
              </mc:Choice>
              <mc:Fallback>
                <w:pict>
                  <v:shape id="文本框 30" o:spid="_x0000_s1026" o:spt="202" type="#_x0000_t202" style="position:absolute;left:0pt;margin-left:134.05pt;margin-top:15.8pt;height:144pt;width:144pt;mso-position-horizontal-relative:margin;mso-wrap-style:none;z-index:251661312;mso-width-relative:page;mso-height-relative:page;" filled="f" stroked="f" coordsize="21600,21600" o:gfxdata="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vk4xbVAAAACgEAAA8AAAAA&#10;AAAAAQAgAAAAIgAAAGRycy9kb3ducmV2LnhtbFBLAQIUABQAAAAIAIdO4kBu7Hku3gEAAL8DAAAO&#10;AAAAAAAAAAEAIAAAACQBAABkcnMvZTJvRG9jLnhtbFBLBQYAAAAABgAGAFkBAAB0BQAAAAA=&#10;">
                    <v:fill on="f" focussize="0,0"/>
                    <v:stroke on="f"/>
                    <v:imagedata o:title=""/>
                    <o:lock v:ext="edit" aspectratio="f"/>
                    <v:textbox inset="0mm,0mm,0mm,0mm" style="mso-fit-shape-to-text:t;">
                      <w:txbxContent>
                        <w:p w14:paraId="53AFAF06">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9"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1</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9"/>
                          <w:r>
                            <w:rPr>
                              <w:rFonts w:hint="default" w:ascii="Times New Roman" w:hAnsi="Times New Roman" w:eastAsia="宋体" w:cs="Times New Roman"/>
                              <w:sz w:val="21"/>
                              <w:szCs w:val="28"/>
                            </w:rPr>
                            <w:t xml:space="preserve"> </w:t>
                          </w:r>
                        </w:p>
                      </w:txbxContent>
                    </v:textbox>
                  </v:shape>
                </w:pict>
              </mc:Fallback>
            </mc:AlternateContent>
          </w:r>
          <w:r>
            <w:rPr>
              <w:rFonts w:hint="eastAsia" w:ascii="Times New Roman" w:hAnsi="Times New Roman" w:eastAsia="楷体" w:cs="Times New Roman"/>
              <w:b/>
              <w:bCs/>
              <w:sz w:val="18"/>
              <w:szCs w:val="18"/>
              <w:lang w:val="en-US" w:eastAsia="zh-CN"/>
            </w:rPr>
            <w:t>APP2-SMP-QA-011/09</w:t>
          </w:r>
        </w:p>
      </w:tc>
    </w:tr>
  </w:tbl>
  <w:p w14:paraId="5C767C28">
    <w:pPr>
      <w:jc w:val="right"/>
      <w:rPr>
        <w:rFonts w:hint="default" w:ascii="Times New Roman" w:hAnsi="Times New Roman" w:eastAsia="宋体" w:cs="Times New Roman"/>
        <w:b/>
        <w:bCs/>
        <w:color w:val="000000"/>
        <w:kern w:val="22"/>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8"/>
      <w:gridCol w:w="8178"/>
      <w:gridCol w:w="3824"/>
    </w:tblGrid>
    <w:tr w14:paraId="5707B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jc w:val="center"/>
      </w:trPr>
      <w:tc>
        <w:tcPr>
          <w:tcW w:w="15480" w:type="dxa"/>
          <w:gridSpan w:val="3"/>
          <w:noWrap w:val="0"/>
          <w:vAlign w:val="center"/>
        </w:tcPr>
        <w:p w14:paraId="6280692C">
          <w:pPr>
            <w:jc w:val="both"/>
            <w:rPr>
              <w:b/>
              <w:bCs/>
              <w:sz w:val="28"/>
              <w:szCs w:val="28"/>
            </w:rPr>
          </w:pPr>
          <w:r>
            <w:rPr>
              <w:b/>
              <w:bCs/>
              <w:spacing w:val="4"/>
              <w:szCs w:val="21"/>
              <w:lang w:val="zh-CN"/>
            </w:rPr>
            <w:drawing>
              <wp:anchor distT="0" distB="0" distL="114300" distR="114300" simplePos="0" relativeHeight="251660288" behindDoc="0" locked="0" layoutInCell="1" allowOverlap="1">
                <wp:simplePos x="0" y="0"/>
                <wp:positionH relativeFrom="page">
                  <wp:posOffset>4382770</wp:posOffset>
                </wp:positionH>
                <wp:positionV relativeFrom="page">
                  <wp:posOffset>50165</wp:posOffset>
                </wp:positionV>
                <wp:extent cx="975360" cy="243840"/>
                <wp:effectExtent l="0" t="0" r="0" b="0"/>
                <wp:wrapNone/>
                <wp:docPr id="2" name="图片 23"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descr="丽珠标志2"/>
                        <pic:cNvPicPr>
                          <a:picLocks noChangeAspect="1"/>
                        </pic:cNvPicPr>
                      </pic:nvPicPr>
                      <pic:blipFill>
                        <a:blip r:embed="rId1"/>
                        <a:stretch>
                          <a:fillRect/>
                        </a:stretch>
                      </pic:blipFill>
                      <pic:spPr>
                        <a:xfrm>
                          <a:off x="0" y="0"/>
                          <a:ext cx="975360" cy="243840"/>
                        </a:xfrm>
                        <a:prstGeom prst="rect">
                          <a:avLst/>
                        </a:prstGeom>
                        <a:noFill/>
                        <a:ln>
                          <a:noFill/>
                        </a:ln>
                      </pic:spPr>
                    </pic:pic>
                  </a:graphicData>
                </a:graphic>
              </wp:anchor>
            </w:drawing>
          </w:r>
        </w:p>
      </w:tc>
    </w:tr>
    <w:tr w14:paraId="6910E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3478" w:type="dxa"/>
          <w:noWrap w:val="0"/>
          <w:vAlign w:val="center"/>
        </w:tcPr>
        <w:p w14:paraId="00F3D629">
          <w:pPr>
            <w:jc w:val="both"/>
            <w:rPr>
              <w:rFonts w:hint="eastAsia" w:ascii="Times New Roman" w:hAnsi="Times New Roman" w:eastAsia="楷体" w:cs="Times New Roman"/>
              <w:b/>
              <w:bCs/>
              <w:sz w:val="28"/>
              <w:szCs w:val="28"/>
              <w:lang w:val="en-US" w:eastAsia="zh-CN"/>
            </w:rPr>
          </w:pPr>
          <w:r>
            <w:rPr>
              <w:rFonts w:hint="eastAsia" w:ascii="宋体" w:hAnsi="宋体" w:eastAsia="宋体" w:cs="宋体"/>
              <w:b/>
              <w:bCs/>
              <w:sz w:val="18"/>
              <w:szCs w:val="18"/>
              <w:lang w:val="en-US" w:eastAsia="zh-CN"/>
            </w:rPr>
            <w:t>偏差处理管理程序</w:t>
          </w:r>
        </w:p>
      </w:tc>
      <w:tc>
        <w:tcPr>
          <w:tcW w:w="8178" w:type="dxa"/>
          <w:noWrap w:val="0"/>
          <w:vAlign w:val="center"/>
        </w:tcPr>
        <w:p w14:paraId="21B81EE1">
          <w:pPr>
            <w:snapToGrid w:val="0"/>
            <w:jc w:val="center"/>
            <w:rPr>
              <w:rFonts w:hint="default" w:ascii="Times New Roman" w:hAnsi="Times New Roman" w:cs="Times New Roman"/>
              <w:b/>
              <w:bCs/>
              <w:color w:val="FF0000"/>
              <w:sz w:val="28"/>
              <w:szCs w:val="28"/>
            </w:rPr>
          </w:pPr>
          <w:r>
            <w:rPr>
              <w:rFonts w:hint="eastAsia" w:ascii="Times New Roman" w:hAnsi="Times New Roman" w:cs="Times New Roman"/>
              <w:b/>
              <w:bCs/>
              <w:color w:val="000000"/>
              <w:sz w:val="18"/>
              <w:szCs w:val="18"/>
              <w:lang w:val="en-US" w:eastAsia="zh-CN"/>
            </w:rPr>
            <w:t>Deviation handling management procedure</w:t>
          </w:r>
        </w:p>
      </w:tc>
      <w:tc>
        <w:tcPr>
          <w:tcW w:w="3824" w:type="dxa"/>
          <w:noWrap w:val="0"/>
          <w:vAlign w:val="center"/>
        </w:tcPr>
        <w:p w14:paraId="5BCDDA3C">
          <w:pPr>
            <w:spacing w:line="280" w:lineRule="atLeast"/>
            <w:jc w:val="right"/>
            <w:rPr>
              <w:rFonts w:hint="eastAsia" w:ascii="Times New Roman" w:hAnsi="Times New Roman" w:eastAsia="楷体" w:cs="Times New Roman"/>
              <w:b/>
              <w:bCs/>
              <w:sz w:val="28"/>
              <w:szCs w:val="28"/>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margin">
                      <wp:posOffset>1743075</wp:posOffset>
                    </wp:positionH>
                    <wp:positionV relativeFrom="paragraph">
                      <wp:posOffset>219710</wp:posOffset>
                    </wp:positionV>
                    <wp:extent cx="1828800" cy="1828800"/>
                    <wp:effectExtent l="0" t="0" r="0" b="0"/>
                    <wp:wrapNone/>
                    <wp:docPr id="4"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61FDF3">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10"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10"/>
                              </w:p>
                            </w:txbxContent>
                          </wps:txbx>
                          <wps:bodyPr vert="horz" wrap="none" lIns="0" tIns="0" rIns="0" bIns="0" anchor="t" anchorCtr="0" upright="0">
                            <a:spAutoFit/>
                          </wps:bodyPr>
                        </wps:wsp>
                      </a:graphicData>
                    </a:graphic>
                  </wp:anchor>
                </w:drawing>
              </mc:Choice>
              <mc:Fallback>
                <w:pict>
                  <v:shape id="文本框 31" o:spid="_x0000_s1026" o:spt="202" type="#_x0000_t202" style="position:absolute;left:0pt;margin-left:137.25pt;margin-top:17.3pt;height:144pt;width:144pt;mso-position-horizontal-relative:margin;mso-wrap-style:none;z-index:251662336;mso-width-relative:page;mso-height-relative:page;" filled="f" stroked="f" coordsize="21600,21600" o:gfxdata="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VbketYAAAAKAQAADwAA&#10;AAAAAAABACAAAAAiAAAAZHJzL2Rvd25yZXYueG1sUEsBAhQAFAAAAAgAh07iQOkKYknfAQAAvwMA&#10;AA4AAAAAAAAAAQAgAAAAJQEAAGRycy9lMm9Eb2MueG1sUEsFBgAAAAAGAAYAWQEAAHYFAAAAAA==&#10;">
                    <v:fill on="f" focussize="0,0"/>
                    <v:stroke on="f"/>
                    <v:imagedata o:title=""/>
                    <o:lock v:ext="edit" aspectratio="f"/>
                    <v:textbox inset="0mm,0mm,0mm,0mm" style="mso-fit-shape-to-text:t;">
                      <w:txbxContent>
                        <w:p w14:paraId="5761FDF3">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10"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10"/>
                        </w:p>
                      </w:txbxContent>
                    </v:textbox>
                  </v:shape>
                </w:pict>
              </mc:Fallback>
            </mc:AlternateContent>
          </w:r>
          <w:r>
            <w:rPr>
              <w:rFonts w:hint="eastAsia" w:ascii="Times New Roman" w:hAnsi="Times New Roman" w:eastAsia="楷体" w:cs="Times New Roman"/>
              <w:b/>
              <w:bCs/>
              <w:sz w:val="18"/>
              <w:szCs w:val="18"/>
              <w:lang w:val="en-US" w:eastAsia="zh-CN"/>
            </w:rPr>
            <w:t>APP2-SMP-QA-011/09</w:t>
          </w:r>
        </w:p>
      </w:tc>
    </w:tr>
  </w:tbl>
  <w:p w14:paraId="29CFDE12">
    <w:pPr>
      <w:jc w:val="right"/>
      <w:rPr>
        <w:rFonts w:hint="default" w:ascii="Times New Roman" w:hAnsi="Times New Roman" w:eastAsia="宋体" w:cs="Times New Roman"/>
        <w:b/>
        <w:bCs/>
        <w:color w:val="000000"/>
        <w:kern w:val="22"/>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33126"/>
    <w:multiLevelType w:val="singleLevel"/>
    <w:tmpl w:val="93C33126"/>
    <w:lvl w:ilvl="0" w:tentative="0">
      <w:start w:val="1"/>
      <w:numFmt w:val="decimal"/>
      <w:suff w:val="nothing"/>
      <w:lvlText w:val="%1、"/>
      <w:lvlJc w:val="left"/>
    </w:lvl>
  </w:abstractNum>
  <w:abstractNum w:abstractNumId="1">
    <w:nsid w:val="A7F52B84"/>
    <w:multiLevelType w:val="singleLevel"/>
    <w:tmpl w:val="A7F52B84"/>
    <w:lvl w:ilvl="0" w:tentative="0">
      <w:start w:val="1"/>
      <w:numFmt w:val="decimal"/>
      <w:suff w:val="nothing"/>
      <w:lvlText w:val="%1、"/>
      <w:lvlJc w:val="left"/>
    </w:lvl>
  </w:abstractNum>
  <w:abstractNum w:abstractNumId="2">
    <w:nsid w:val="B2E445A5"/>
    <w:multiLevelType w:val="singleLevel"/>
    <w:tmpl w:val="B2E445A5"/>
    <w:lvl w:ilvl="0" w:tentative="0">
      <w:start w:val="1"/>
      <w:numFmt w:val="decimal"/>
      <w:suff w:val="nothing"/>
      <w:lvlText w:val="%1、"/>
      <w:lvlJc w:val="left"/>
    </w:lvl>
  </w:abstractNum>
  <w:abstractNum w:abstractNumId="3">
    <w:nsid w:val="CC899117"/>
    <w:multiLevelType w:val="singleLevel"/>
    <w:tmpl w:val="CC899117"/>
    <w:lvl w:ilvl="0" w:tentative="0">
      <w:start w:val="1"/>
      <w:numFmt w:val="decimal"/>
      <w:suff w:val="nothing"/>
      <w:lvlText w:val="%1、"/>
      <w:lvlJc w:val="left"/>
    </w:lvl>
  </w:abstractNum>
  <w:abstractNum w:abstractNumId="4">
    <w:nsid w:val="EBF8EA89"/>
    <w:multiLevelType w:val="singleLevel"/>
    <w:tmpl w:val="EBF8EA89"/>
    <w:lvl w:ilvl="0" w:tentative="0">
      <w:start w:val="1"/>
      <w:numFmt w:val="decimal"/>
      <w:suff w:val="nothing"/>
      <w:lvlText w:val="%1、"/>
      <w:lvlJc w:val="left"/>
    </w:lvl>
  </w:abstractNum>
  <w:abstractNum w:abstractNumId="5">
    <w:nsid w:val="2429BD33"/>
    <w:multiLevelType w:val="singleLevel"/>
    <w:tmpl w:val="2429BD33"/>
    <w:lvl w:ilvl="0" w:tentative="0">
      <w:start w:val="1"/>
      <w:numFmt w:val="decimal"/>
      <w:suff w:val="nothing"/>
      <w:lvlText w:val="%1、"/>
      <w:lvlJc w:val="left"/>
    </w:lvl>
  </w:abstractNum>
  <w:abstractNum w:abstractNumId="6">
    <w:nsid w:val="3A8BB50B"/>
    <w:multiLevelType w:val="singleLevel"/>
    <w:tmpl w:val="3A8BB50B"/>
    <w:lvl w:ilvl="0" w:tentative="0">
      <w:start w:val="1"/>
      <w:numFmt w:val="decimal"/>
      <w:suff w:val="nothing"/>
      <w:lvlText w:val="%1、"/>
      <w:lvlJc w:val="left"/>
    </w:lvl>
  </w:abstractNum>
  <w:abstractNum w:abstractNumId="7">
    <w:nsid w:val="44482530"/>
    <w:multiLevelType w:val="singleLevel"/>
    <w:tmpl w:val="44482530"/>
    <w:lvl w:ilvl="0" w:tentative="0">
      <w:start w:val="1"/>
      <w:numFmt w:val="decimal"/>
      <w:suff w:val="nothing"/>
      <w:lvlText w:val="%1、"/>
      <w:lvlJc w:val="left"/>
    </w:lvl>
  </w:abstractNum>
  <w:abstractNum w:abstractNumId="8">
    <w:nsid w:val="46869686"/>
    <w:multiLevelType w:val="singleLevel"/>
    <w:tmpl w:val="46869686"/>
    <w:lvl w:ilvl="0" w:tentative="0">
      <w:start w:val="1"/>
      <w:numFmt w:val="decimal"/>
      <w:suff w:val="nothing"/>
      <w:lvlText w:val="%1、"/>
      <w:lvlJc w:val="left"/>
    </w:lvl>
  </w:abstractNum>
  <w:abstractNum w:abstractNumId="9">
    <w:nsid w:val="46AE306A"/>
    <w:multiLevelType w:val="singleLevel"/>
    <w:tmpl w:val="46AE306A"/>
    <w:lvl w:ilvl="0" w:tentative="0">
      <w:start w:val="1"/>
      <w:numFmt w:val="decimal"/>
      <w:suff w:val="nothing"/>
      <w:lvlText w:val="%1、"/>
      <w:lvlJc w:val="left"/>
    </w:lvl>
  </w:abstractNum>
  <w:abstractNum w:abstractNumId="10">
    <w:nsid w:val="4EECA1D4"/>
    <w:multiLevelType w:val="singleLevel"/>
    <w:tmpl w:val="4EECA1D4"/>
    <w:lvl w:ilvl="0" w:tentative="0">
      <w:start w:val="1"/>
      <w:numFmt w:val="decimal"/>
      <w:suff w:val="nothing"/>
      <w:lvlText w:val="%1、"/>
      <w:lvlJc w:val="left"/>
    </w:lvl>
  </w:abstractNum>
  <w:abstractNum w:abstractNumId="11">
    <w:nsid w:val="5A22E776"/>
    <w:multiLevelType w:val="singleLevel"/>
    <w:tmpl w:val="5A22E776"/>
    <w:lvl w:ilvl="0" w:tentative="0">
      <w:start w:val="1"/>
      <w:numFmt w:val="decimal"/>
      <w:suff w:val="nothing"/>
      <w:lvlText w:val="%1、"/>
      <w:lvlJc w:val="left"/>
    </w:lvl>
  </w:abstractNum>
  <w:abstractNum w:abstractNumId="12">
    <w:nsid w:val="62C1FE11"/>
    <w:multiLevelType w:val="singleLevel"/>
    <w:tmpl w:val="62C1FE11"/>
    <w:lvl w:ilvl="0" w:tentative="0">
      <w:start w:val="1"/>
      <w:numFmt w:val="decimal"/>
      <w:suff w:val="nothing"/>
      <w:lvlText w:val="%1、"/>
      <w:lvlJc w:val="left"/>
    </w:lvl>
  </w:abstractNum>
  <w:abstractNum w:abstractNumId="13">
    <w:nsid w:val="6C5B3A5F"/>
    <w:multiLevelType w:val="singleLevel"/>
    <w:tmpl w:val="6C5B3A5F"/>
    <w:lvl w:ilvl="0" w:tentative="0">
      <w:start w:val="1"/>
      <w:numFmt w:val="decimal"/>
      <w:suff w:val="nothing"/>
      <w:lvlText w:val="%1、"/>
      <w:lvlJc w:val="left"/>
    </w:lvl>
  </w:abstractNum>
  <w:num w:numId="1">
    <w:abstractNumId w:val="1"/>
  </w:num>
  <w:num w:numId="2">
    <w:abstractNumId w:val="8"/>
  </w:num>
  <w:num w:numId="3">
    <w:abstractNumId w:val="7"/>
  </w:num>
  <w:num w:numId="4">
    <w:abstractNumId w:val="13"/>
  </w:num>
  <w:num w:numId="5">
    <w:abstractNumId w:val="4"/>
  </w:num>
  <w:num w:numId="6">
    <w:abstractNumId w:val="12"/>
  </w:num>
  <w:num w:numId="7">
    <w:abstractNumId w:val="11"/>
  </w:num>
  <w:num w:numId="8">
    <w:abstractNumId w:val="0"/>
  </w:num>
  <w:num w:numId="9">
    <w:abstractNumId w:val="6"/>
  </w:num>
  <w:num w:numId="10">
    <w:abstractNumId w:val="9"/>
  </w:num>
  <w:num w:numId="11">
    <w:abstractNumId w:val="2"/>
  </w:num>
  <w:num w:numId="12">
    <w:abstractNumId w:val="3"/>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0" w:hash="JKa2zVnaUiKTLKPf4xa3zjOuO3I=" w:salt="S6U+QOPulyw1GqrIOWWl/w=="/>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iOGIwNWIwYTdhZTE1M2FjZDhiODk2MTdmZTNlYjAifQ=="/>
  </w:docVars>
  <w:rsids>
    <w:rsidRoot w:val="009E2EB9"/>
    <w:rsid w:val="0003107F"/>
    <w:rsid w:val="000B0A05"/>
    <w:rsid w:val="002F5A1B"/>
    <w:rsid w:val="0031594E"/>
    <w:rsid w:val="00322809"/>
    <w:rsid w:val="003B4367"/>
    <w:rsid w:val="003B628D"/>
    <w:rsid w:val="003F2F5B"/>
    <w:rsid w:val="004F1908"/>
    <w:rsid w:val="006D07D4"/>
    <w:rsid w:val="00990FAA"/>
    <w:rsid w:val="009E2EB9"/>
    <w:rsid w:val="00D7736C"/>
    <w:rsid w:val="017D5F9D"/>
    <w:rsid w:val="02296019"/>
    <w:rsid w:val="03695674"/>
    <w:rsid w:val="03882E57"/>
    <w:rsid w:val="04477D9B"/>
    <w:rsid w:val="050A1337"/>
    <w:rsid w:val="05367045"/>
    <w:rsid w:val="055D75CA"/>
    <w:rsid w:val="05E24E74"/>
    <w:rsid w:val="060E1FAC"/>
    <w:rsid w:val="06317D4F"/>
    <w:rsid w:val="069225BC"/>
    <w:rsid w:val="07595BB2"/>
    <w:rsid w:val="078F77FB"/>
    <w:rsid w:val="07955379"/>
    <w:rsid w:val="081964D9"/>
    <w:rsid w:val="08BA49DD"/>
    <w:rsid w:val="08DD2181"/>
    <w:rsid w:val="08E04C1D"/>
    <w:rsid w:val="08EA4D62"/>
    <w:rsid w:val="091D4C26"/>
    <w:rsid w:val="09241E8E"/>
    <w:rsid w:val="093A3052"/>
    <w:rsid w:val="09B24828"/>
    <w:rsid w:val="09C92DC8"/>
    <w:rsid w:val="09D5099A"/>
    <w:rsid w:val="09F81E67"/>
    <w:rsid w:val="0A3140E2"/>
    <w:rsid w:val="0A434E94"/>
    <w:rsid w:val="0A632D3D"/>
    <w:rsid w:val="0B3F6E68"/>
    <w:rsid w:val="0B563A9A"/>
    <w:rsid w:val="0BAA39E5"/>
    <w:rsid w:val="0BE95E9A"/>
    <w:rsid w:val="0CD658ED"/>
    <w:rsid w:val="0CD728CD"/>
    <w:rsid w:val="0CF33F87"/>
    <w:rsid w:val="0D2759A5"/>
    <w:rsid w:val="0DBB5D95"/>
    <w:rsid w:val="0DEA42F8"/>
    <w:rsid w:val="0E3703FF"/>
    <w:rsid w:val="0F4127C3"/>
    <w:rsid w:val="0F790DA2"/>
    <w:rsid w:val="0FBB6B5F"/>
    <w:rsid w:val="10252FE7"/>
    <w:rsid w:val="10765519"/>
    <w:rsid w:val="10790830"/>
    <w:rsid w:val="10B90113"/>
    <w:rsid w:val="10F725FF"/>
    <w:rsid w:val="11DA520E"/>
    <w:rsid w:val="11DE49D9"/>
    <w:rsid w:val="120C1BBC"/>
    <w:rsid w:val="124B54AD"/>
    <w:rsid w:val="12586A34"/>
    <w:rsid w:val="127068E1"/>
    <w:rsid w:val="127E7668"/>
    <w:rsid w:val="1280524F"/>
    <w:rsid w:val="130645D2"/>
    <w:rsid w:val="13DC3D21"/>
    <w:rsid w:val="13EE4E80"/>
    <w:rsid w:val="14B7278A"/>
    <w:rsid w:val="15B06226"/>
    <w:rsid w:val="162B0FD3"/>
    <w:rsid w:val="166602A9"/>
    <w:rsid w:val="1701087F"/>
    <w:rsid w:val="1778372B"/>
    <w:rsid w:val="177C0994"/>
    <w:rsid w:val="179C641E"/>
    <w:rsid w:val="17DC35A2"/>
    <w:rsid w:val="18640C92"/>
    <w:rsid w:val="18773FA9"/>
    <w:rsid w:val="19427E5E"/>
    <w:rsid w:val="197C175F"/>
    <w:rsid w:val="19A4583E"/>
    <w:rsid w:val="19A81408"/>
    <w:rsid w:val="1A045413"/>
    <w:rsid w:val="1B6B0AF7"/>
    <w:rsid w:val="1B853A6B"/>
    <w:rsid w:val="1BC405DC"/>
    <w:rsid w:val="1BC51208"/>
    <w:rsid w:val="1C0102FB"/>
    <w:rsid w:val="1CDC7B67"/>
    <w:rsid w:val="1D306C40"/>
    <w:rsid w:val="1D4B2295"/>
    <w:rsid w:val="1D4E72CF"/>
    <w:rsid w:val="1D5C3BDD"/>
    <w:rsid w:val="1DB530CD"/>
    <w:rsid w:val="1DDA7FB0"/>
    <w:rsid w:val="1E333126"/>
    <w:rsid w:val="1EBE690F"/>
    <w:rsid w:val="1F3213EB"/>
    <w:rsid w:val="1F582B95"/>
    <w:rsid w:val="1F752FBA"/>
    <w:rsid w:val="1F764A6A"/>
    <w:rsid w:val="1FAF2554"/>
    <w:rsid w:val="1FD2703D"/>
    <w:rsid w:val="201F3191"/>
    <w:rsid w:val="20795DD4"/>
    <w:rsid w:val="20DD292A"/>
    <w:rsid w:val="21843D08"/>
    <w:rsid w:val="2224171F"/>
    <w:rsid w:val="22786503"/>
    <w:rsid w:val="22BB5089"/>
    <w:rsid w:val="22E74C19"/>
    <w:rsid w:val="22E90157"/>
    <w:rsid w:val="231D7FC2"/>
    <w:rsid w:val="232F4DEE"/>
    <w:rsid w:val="2348423C"/>
    <w:rsid w:val="23975CF1"/>
    <w:rsid w:val="23AB0215"/>
    <w:rsid w:val="241B68FB"/>
    <w:rsid w:val="247B18F6"/>
    <w:rsid w:val="25FE3757"/>
    <w:rsid w:val="26B76031"/>
    <w:rsid w:val="26E30E77"/>
    <w:rsid w:val="27360BCF"/>
    <w:rsid w:val="2759252B"/>
    <w:rsid w:val="277A35FB"/>
    <w:rsid w:val="278A6CEA"/>
    <w:rsid w:val="27FE1EAD"/>
    <w:rsid w:val="2867483A"/>
    <w:rsid w:val="2868435B"/>
    <w:rsid w:val="29131821"/>
    <w:rsid w:val="29C4731D"/>
    <w:rsid w:val="2A275C48"/>
    <w:rsid w:val="2B922289"/>
    <w:rsid w:val="2C123240"/>
    <w:rsid w:val="2C6E1997"/>
    <w:rsid w:val="2CD166F0"/>
    <w:rsid w:val="2D5D05FB"/>
    <w:rsid w:val="2D9A0118"/>
    <w:rsid w:val="2DE23E71"/>
    <w:rsid w:val="2E090714"/>
    <w:rsid w:val="2E460579"/>
    <w:rsid w:val="2E691A32"/>
    <w:rsid w:val="2E755845"/>
    <w:rsid w:val="2F447DC1"/>
    <w:rsid w:val="2F55152E"/>
    <w:rsid w:val="2F8603E2"/>
    <w:rsid w:val="2FCD3F5E"/>
    <w:rsid w:val="30006650"/>
    <w:rsid w:val="30A844DF"/>
    <w:rsid w:val="30C110B6"/>
    <w:rsid w:val="31910702"/>
    <w:rsid w:val="31EE6A4A"/>
    <w:rsid w:val="31F12DE0"/>
    <w:rsid w:val="31F809DD"/>
    <w:rsid w:val="32931BF9"/>
    <w:rsid w:val="33697539"/>
    <w:rsid w:val="336C6449"/>
    <w:rsid w:val="33DF5173"/>
    <w:rsid w:val="34273229"/>
    <w:rsid w:val="3477628C"/>
    <w:rsid w:val="348A013C"/>
    <w:rsid w:val="34E47010"/>
    <w:rsid w:val="34F01745"/>
    <w:rsid w:val="34F45097"/>
    <w:rsid w:val="3505070C"/>
    <w:rsid w:val="3585695C"/>
    <w:rsid w:val="35AE133C"/>
    <w:rsid w:val="360C20B8"/>
    <w:rsid w:val="365F1B59"/>
    <w:rsid w:val="36FD0613"/>
    <w:rsid w:val="372C1BA3"/>
    <w:rsid w:val="374A6D76"/>
    <w:rsid w:val="37604BDD"/>
    <w:rsid w:val="389D0048"/>
    <w:rsid w:val="393173E2"/>
    <w:rsid w:val="393206E7"/>
    <w:rsid w:val="39B04BBB"/>
    <w:rsid w:val="39E7368D"/>
    <w:rsid w:val="3A0C6BFA"/>
    <w:rsid w:val="3A7478AD"/>
    <w:rsid w:val="3B0768CB"/>
    <w:rsid w:val="3B085969"/>
    <w:rsid w:val="3BDA7340"/>
    <w:rsid w:val="3BF972C8"/>
    <w:rsid w:val="3C197C33"/>
    <w:rsid w:val="3C3165D0"/>
    <w:rsid w:val="3C531D82"/>
    <w:rsid w:val="3C607A7A"/>
    <w:rsid w:val="3CF70A12"/>
    <w:rsid w:val="3E606561"/>
    <w:rsid w:val="3EB035E6"/>
    <w:rsid w:val="3EDB5C00"/>
    <w:rsid w:val="3F8069A7"/>
    <w:rsid w:val="3FD2626D"/>
    <w:rsid w:val="3FF67181"/>
    <w:rsid w:val="411B117E"/>
    <w:rsid w:val="41A6006D"/>
    <w:rsid w:val="41A876DA"/>
    <w:rsid w:val="41B403DB"/>
    <w:rsid w:val="420845E2"/>
    <w:rsid w:val="42532B34"/>
    <w:rsid w:val="42C973C5"/>
    <w:rsid w:val="42DC29A3"/>
    <w:rsid w:val="43C10BCD"/>
    <w:rsid w:val="43CB3811"/>
    <w:rsid w:val="44630C1B"/>
    <w:rsid w:val="44703AD7"/>
    <w:rsid w:val="44D856CC"/>
    <w:rsid w:val="44ED2B3B"/>
    <w:rsid w:val="45680DCB"/>
    <w:rsid w:val="46780629"/>
    <w:rsid w:val="46C978C9"/>
    <w:rsid w:val="46CA4BB0"/>
    <w:rsid w:val="470D4324"/>
    <w:rsid w:val="473F1BB3"/>
    <w:rsid w:val="47825986"/>
    <w:rsid w:val="47C81250"/>
    <w:rsid w:val="47E94F62"/>
    <w:rsid w:val="47F402FD"/>
    <w:rsid w:val="484F151F"/>
    <w:rsid w:val="48D2121A"/>
    <w:rsid w:val="4951283F"/>
    <w:rsid w:val="49A928CA"/>
    <w:rsid w:val="49B22075"/>
    <w:rsid w:val="4B9653BB"/>
    <w:rsid w:val="4C703825"/>
    <w:rsid w:val="4CCB5B0A"/>
    <w:rsid w:val="4D0D1DF7"/>
    <w:rsid w:val="4E007A4C"/>
    <w:rsid w:val="4EB049D6"/>
    <w:rsid w:val="4F605445"/>
    <w:rsid w:val="4F8373AA"/>
    <w:rsid w:val="507B22E8"/>
    <w:rsid w:val="50BE777B"/>
    <w:rsid w:val="510430D4"/>
    <w:rsid w:val="51837C64"/>
    <w:rsid w:val="51982289"/>
    <w:rsid w:val="51C309A8"/>
    <w:rsid w:val="5218567D"/>
    <w:rsid w:val="53051587"/>
    <w:rsid w:val="53190BAB"/>
    <w:rsid w:val="53BD1E91"/>
    <w:rsid w:val="53E41AB0"/>
    <w:rsid w:val="53F92666"/>
    <w:rsid w:val="54BD5016"/>
    <w:rsid w:val="54CF4C6F"/>
    <w:rsid w:val="551E34D6"/>
    <w:rsid w:val="553F42EB"/>
    <w:rsid w:val="554D1B45"/>
    <w:rsid w:val="55716133"/>
    <w:rsid w:val="559F1D86"/>
    <w:rsid w:val="565B5CDF"/>
    <w:rsid w:val="571508CE"/>
    <w:rsid w:val="57684BF4"/>
    <w:rsid w:val="579A55C9"/>
    <w:rsid w:val="57BF67EF"/>
    <w:rsid w:val="57ED73B4"/>
    <w:rsid w:val="57F562C3"/>
    <w:rsid w:val="58605086"/>
    <w:rsid w:val="58697570"/>
    <w:rsid w:val="587D23EB"/>
    <w:rsid w:val="58921AD3"/>
    <w:rsid w:val="59561777"/>
    <w:rsid w:val="596337F3"/>
    <w:rsid w:val="596834EA"/>
    <w:rsid w:val="5993123A"/>
    <w:rsid w:val="5A024538"/>
    <w:rsid w:val="5A380A58"/>
    <w:rsid w:val="5A962E58"/>
    <w:rsid w:val="5AF37C8C"/>
    <w:rsid w:val="5BC7100B"/>
    <w:rsid w:val="5BE14CC5"/>
    <w:rsid w:val="5C046289"/>
    <w:rsid w:val="5C212A6F"/>
    <w:rsid w:val="5C405D6F"/>
    <w:rsid w:val="5C8861D9"/>
    <w:rsid w:val="5D331782"/>
    <w:rsid w:val="5DDC5E8E"/>
    <w:rsid w:val="5E1A0E14"/>
    <w:rsid w:val="5E576C9B"/>
    <w:rsid w:val="5E914030"/>
    <w:rsid w:val="5F882C75"/>
    <w:rsid w:val="5F9C0938"/>
    <w:rsid w:val="5FCB4B56"/>
    <w:rsid w:val="6030126E"/>
    <w:rsid w:val="603D3B39"/>
    <w:rsid w:val="6080285E"/>
    <w:rsid w:val="60DC76C6"/>
    <w:rsid w:val="61583897"/>
    <w:rsid w:val="617E1E02"/>
    <w:rsid w:val="6204438C"/>
    <w:rsid w:val="62255DA0"/>
    <w:rsid w:val="62282C04"/>
    <w:rsid w:val="62390CB6"/>
    <w:rsid w:val="62462127"/>
    <w:rsid w:val="63B53722"/>
    <w:rsid w:val="64BA6F74"/>
    <w:rsid w:val="64C612E4"/>
    <w:rsid w:val="659E0440"/>
    <w:rsid w:val="65C86E79"/>
    <w:rsid w:val="65CE1B16"/>
    <w:rsid w:val="65D45C1E"/>
    <w:rsid w:val="662602E2"/>
    <w:rsid w:val="668722B8"/>
    <w:rsid w:val="66AD5A66"/>
    <w:rsid w:val="67725DAB"/>
    <w:rsid w:val="67A06D18"/>
    <w:rsid w:val="67F132DF"/>
    <w:rsid w:val="6838670D"/>
    <w:rsid w:val="684A53FE"/>
    <w:rsid w:val="69AA1F80"/>
    <w:rsid w:val="69AE4AFF"/>
    <w:rsid w:val="6A254C33"/>
    <w:rsid w:val="6B016C92"/>
    <w:rsid w:val="6B333AEC"/>
    <w:rsid w:val="6BAC44C8"/>
    <w:rsid w:val="6BC27ED8"/>
    <w:rsid w:val="6BCD756D"/>
    <w:rsid w:val="6BF306A7"/>
    <w:rsid w:val="6CAC112F"/>
    <w:rsid w:val="6D1E04F9"/>
    <w:rsid w:val="6D6D510F"/>
    <w:rsid w:val="6DB52D55"/>
    <w:rsid w:val="6DBA330C"/>
    <w:rsid w:val="6DEC5534"/>
    <w:rsid w:val="6E9425B3"/>
    <w:rsid w:val="6F7F6867"/>
    <w:rsid w:val="7012638F"/>
    <w:rsid w:val="70276AC0"/>
    <w:rsid w:val="70396A60"/>
    <w:rsid w:val="70B032F0"/>
    <w:rsid w:val="70D57A7A"/>
    <w:rsid w:val="71022E3E"/>
    <w:rsid w:val="714532F6"/>
    <w:rsid w:val="72555367"/>
    <w:rsid w:val="726109AB"/>
    <w:rsid w:val="730833A3"/>
    <w:rsid w:val="734C067E"/>
    <w:rsid w:val="73700A51"/>
    <w:rsid w:val="742B1451"/>
    <w:rsid w:val="747D3588"/>
    <w:rsid w:val="748C3843"/>
    <w:rsid w:val="74A13603"/>
    <w:rsid w:val="74BB46CE"/>
    <w:rsid w:val="758B65DA"/>
    <w:rsid w:val="75A3300B"/>
    <w:rsid w:val="75E6160C"/>
    <w:rsid w:val="76224BDE"/>
    <w:rsid w:val="766D6A00"/>
    <w:rsid w:val="773D0B81"/>
    <w:rsid w:val="78494A18"/>
    <w:rsid w:val="78913A5E"/>
    <w:rsid w:val="79326E8D"/>
    <w:rsid w:val="79572523"/>
    <w:rsid w:val="7959164C"/>
    <w:rsid w:val="79B57026"/>
    <w:rsid w:val="7A3F3528"/>
    <w:rsid w:val="7A9054D4"/>
    <w:rsid w:val="7B720E77"/>
    <w:rsid w:val="7BA3581D"/>
    <w:rsid w:val="7BBA4CB6"/>
    <w:rsid w:val="7C291699"/>
    <w:rsid w:val="7C354643"/>
    <w:rsid w:val="7CC059B7"/>
    <w:rsid w:val="7CEB12DA"/>
    <w:rsid w:val="7CF30790"/>
    <w:rsid w:val="7CFA4897"/>
    <w:rsid w:val="7CFB5B8E"/>
    <w:rsid w:val="7DBA4CD5"/>
    <w:rsid w:val="7DDC20D3"/>
    <w:rsid w:val="7E5C2A61"/>
    <w:rsid w:val="7E6932D1"/>
    <w:rsid w:val="7ECB2594"/>
    <w:rsid w:val="7ED379A0"/>
    <w:rsid w:val="7F183586"/>
    <w:rsid w:val="7F470E9F"/>
    <w:rsid w:val="7F5412DB"/>
    <w:rsid w:val="7F604F08"/>
    <w:rsid w:val="7F6602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table of figures"/>
    <w:basedOn w:val="1"/>
    <w:next w:val="1"/>
    <w:qFormat/>
    <w:uiPriority w:val="0"/>
    <w:pPr>
      <w:ind w:leftChars="200" w:hanging="200" w:hangingChars="200"/>
    </w:pPr>
  </w:style>
  <w:style w:type="paragraph" w:styleId="3">
    <w:name w:val="annotation text"/>
    <w:basedOn w:val="1"/>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375</Words>
  <Characters>521</Characters>
  <Lines>2</Lines>
  <Paragraphs>1</Paragraphs>
  <TotalTime>156</TotalTime>
  <ScaleCrop>false</ScaleCrop>
  <LinksUpToDate>false</LinksUpToDate>
  <CharactersWithSpaces>686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2016-03-13T03:34:00Z</dcterms:created>
  <dc:creator>Administrator</dc:creator>
  <cp:lastModifiedBy>莫小张</cp:lastModifiedBy>
  <cp:lastPrinted>2021-07-27T08:41:27Z</cp:lastPrinted>
  <dcterms:modified xsi:type="dcterms:W3CDTF">2026-08-18T05:21:52Z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24381092CDB240758DBCA9FDCB7A9028_13</vt:lpwstr>
  </property>
</Properties>
</file>