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FCA7D">
      <w:pPr>
        <w:keepNext w:val="0"/>
        <w:keepLines w:val="0"/>
        <w:pageBreakBefore w:val="0"/>
        <w:widowControl w:val="0"/>
        <w:kinsoku/>
        <w:wordWrap/>
        <w:overflowPunct/>
        <w:topLinePunct w:val="0"/>
        <w:autoSpaceDE/>
        <w:autoSpaceDN/>
        <w:bidi w:val="0"/>
        <w:adjustRightInd/>
        <w:snapToGrid/>
        <w:spacing w:beforeAutospacing="0" w:line="240" w:lineRule="auto"/>
        <w:ind w:left="0" w:leftChars="0" w:right="0" w:rightChars="0" w:firstLine="0" w:firstLineChars="0"/>
        <w:jc w:val="center"/>
        <w:textAlignment w:val="auto"/>
        <w:outlineLvl w:val="9"/>
        <w:rPr>
          <w:rFonts w:hint="default" w:ascii="黑体" w:hAnsi="黑体" w:eastAsia="黑体" w:cs="黑体"/>
          <w:b/>
          <w:sz w:val="48"/>
          <w:szCs w:val="48"/>
          <w:lang w:val="en-US" w:eastAsia="zh-CN"/>
        </w:rPr>
      </w:pPr>
      <w:permStart w:id="0" w:edGrp="everyone"/>
      <w:bookmarkStart w:id="5" w:name="_GoBack"/>
      <w:bookmarkEnd w:id="5"/>
      <w:r>
        <w:rPr>
          <w:rFonts w:hint="eastAsia" w:ascii="黑体" w:hAnsi="黑体" w:eastAsia="黑体" w:cs="黑体"/>
          <w:b/>
          <w:sz w:val="48"/>
          <w:szCs w:val="48"/>
          <w:lang w:val="en-US" w:eastAsia="zh-CN"/>
        </w:rPr>
        <w:t xml:space="preserve">       </w:t>
      </w:r>
      <w:permEnd w:id="0"/>
    </w:p>
    <w:p w14:paraId="062C5066">
      <w:pPr>
        <w:keepNext w:val="0"/>
        <w:keepLines w:val="0"/>
        <w:pageBreakBefore w:val="0"/>
        <w:widowControl w:val="0"/>
        <w:kinsoku/>
        <w:wordWrap/>
        <w:overflowPunct/>
        <w:topLinePunct w:val="0"/>
        <w:autoSpaceDE/>
        <w:autoSpaceDN/>
        <w:bidi w:val="0"/>
        <w:adjustRightInd/>
        <w:snapToGrid/>
        <w:spacing w:beforeAutospacing="0" w:line="240" w:lineRule="auto"/>
        <w:ind w:left="0" w:leftChars="0" w:right="0" w:rightChars="0" w:firstLine="0" w:firstLineChars="0"/>
        <w:jc w:val="both"/>
        <w:textAlignment w:val="auto"/>
        <w:outlineLvl w:val="9"/>
        <w:rPr>
          <w:rFonts w:hint="eastAsia" w:ascii="黑体" w:hAnsi="黑体" w:eastAsia="黑体" w:cs="黑体"/>
          <w:b/>
          <w:sz w:val="48"/>
          <w:szCs w:val="48"/>
          <w:lang w:eastAsia="zh-CN"/>
        </w:rPr>
      </w:pPr>
    </w:p>
    <w:p w14:paraId="05D9E7C8">
      <w:pPr>
        <w:keepNext w:val="0"/>
        <w:keepLines w:val="0"/>
        <w:pageBreakBefore w:val="0"/>
        <w:widowControl w:val="0"/>
        <w:kinsoku/>
        <w:wordWrap/>
        <w:overflowPunct/>
        <w:topLinePunct w:val="0"/>
        <w:autoSpaceDE/>
        <w:autoSpaceDN/>
        <w:bidi w:val="0"/>
        <w:adjustRightInd/>
        <w:snapToGrid/>
        <w:spacing w:beforeAutospacing="0" w:line="240" w:lineRule="auto"/>
        <w:ind w:left="0" w:leftChars="0" w:right="0" w:rightChars="0" w:firstLine="0" w:firstLineChars="0"/>
        <w:jc w:val="center"/>
        <w:textAlignment w:val="auto"/>
        <w:outlineLvl w:val="9"/>
        <w:rPr>
          <w:rFonts w:hint="eastAsia" w:hAnsi="宋体" w:eastAsiaTheme="minorEastAsia"/>
          <w:b/>
          <w:sz w:val="36"/>
          <w:szCs w:val="36"/>
          <w:lang w:eastAsia="zh-CN"/>
        </w:rPr>
      </w:pPr>
      <w:permStart w:id="1" w:edGrp="everyone"/>
      <w:r>
        <w:rPr>
          <w:rFonts w:hint="eastAsia" w:ascii="黑体" w:hAnsi="黑体" w:eastAsia="黑体" w:cs="黑体"/>
          <w:b/>
          <w:sz w:val="48"/>
          <w:szCs w:val="48"/>
          <w:lang w:val="en-US" w:eastAsia="zh-CN"/>
        </w:rPr>
        <w:t>2026</w:t>
      </w:r>
      <w:permEnd w:id="1"/>
      <w:r>
        <w:rPr>
          <w:rFonts w:hint="eastAsia" w:ascii="黑体" w:hAnsi="黑体" w:eastAsia="黑体" w:cs="黑体"/>
          <w:b/>
          <w:sz w:val="48"/>
          <w:szCs w:val="48"/>
          <w:lang w:eastAsia="zh-CN"/>
        </w:rPr>
        <w:t>年度变更管理台帐</w:t>
      </w:r>
    </w:p>
    <w:p w14:paraId="45D4DA5D">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hAnsi="宋体"/>
          <w:b/>
          <w:sz w:val="36"/>
          <w:szCs w:val="36"/>
        </w:rPr>
      </w:pPr>
    </w:p>
    <w:p w14:paraId="780371EC">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hAnsi="宋体"/>
          <w:b/>
          <w:sz w:val="36"/>
          <w:szCs w:val="36"/>
        </w:rPr>
      </w:pPr>
    </w:p>
    <w:p w14:paraId="61771336">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both"/>
        <w:textAlignment w:val="auto"/>
        <w:outlineLvl w:val="9"/>
        <w:rPr>
          <w:rFonts w:hint="default" w:ascii="Times New Roman" w:hAnsi="Times New Roman" w:eastAsia="宋体" w:cs="Times New Roman"/>
          <w:b/>
          <w:sz w:val="36"/>
          <w:szCs w:val="36"/>
          <w:u w:val="single"/>
          <w:lang w:val="en-US" w:eastAsia="zh-CN"/>
        </w:rPr>
      </w:pPr>
      <w:r>
        <w:rPr>
          <w:rFonts w:hint="eastAsia" w:hAnsi="宋体"/>
          <w:b/>
          <w:sz w:val="36"/>
          <w:szCs w:val="36"/>
          <w:lang w:val="en-US" w:eastAsia="zh-CN"/>
        </w:rPr>
        <w:t xml:space="preserve">                                   </w:t>
      </w:r>
      <w:r>
        <w:rPr>
          <w:rFonts w:hint="default" w:ascii="Times New Roman" w:hAnsi="Times New Roman" w:eastAsia="宋体" w:cs="Times New Roman"/>
          <w:b/>
          <w:sz w:val="36"/>
          <w:szCs w:val="36"/>
          <w:lang w:val="en-US" w:eastAsia="zh-CN"/>
        </w:rPr>
        <w:t xml:space="preserve"> </w:t>
      </w:r>
      <w:r>
        <w:rPr>
          <w:rFonts w:hint="eastAsia" w:ascii="Times New Roman" w:hAnsi="Times New Roman" w:eastAsia="宋体" w:cs="Times New Roman"/>
          <w:b/>
          <w:sz w:val="36"/>
          <w:szCs w:val="36"/>
          <w:u w:val="single"/>
          <w:lang w:val="en-US" w:eastAsia="zh-CN"/>
        </w:rPr>
        <w:t>技术变更</w:t>
      </w:r>
    </w:p>
    <w:p w14:paraId="1D67F26A">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hAnsi="宋体"/>
          <w:b/>
          <w:sz w:val="36"/>
          <w:szCs w:val="36"/>
        </w:rPr>
      </w:pPr>
    </w:p>
    <w:p w14:paraId="363EEB55">
      <w:pPr>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0" w:firstLineChars="0"/>
        <w:jc w:val="center"/>
        <w:textAlignment w:val="auto"/>
        <w:outlineLvl w:val="9"/>
        <w:rPr>
          <w:rFonts w:hAnsi="宋体"/>
          <w:b/>
          <w:sz w:val="36"/>
          <w:szCs w:val="36"/>
        </w:rPr>
      </w:pPr>
    </w:p>
    <w:p w14:paraId="7E06FC62">
      <w:pPr>
        <w:spacing w:line="440" w:lineRule="atLeast"/>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质量保证部（</w:t>
      </w:r>
      <w:r>
        <w:rPr>
          <w:rFonts w:hint="default" w:ascii="Times New Roman" w:hAnsi="Times New Roman" w:cs="Times New Roman" w:eastAsiaTheme="minorEastAsia"/>
          <w:sz w:val="28"/>
          <w:szCs w:val="28"/>
        </w:rPr>
        <w:t>QA</w:t>
      </w:r>
      <w:r>
        <w:rPr>
          <w:rFonts w:hint="eastAsia" w:asciiTheme="minorEastAsia" w:hAnsiTheme="minorEastAsia" w:eastAsiaTheme="minorEastAsia" w:cstheme="minorEastAsia"/>
          <w:sz w:val="28"/>
          <w:szCs w:val="28"/>
        </w:rPr>
        <w:t>）</w:t>
      </w:r>
    </w:p>
    <w:p w14:paraId="3F09A5EE">
      <w:pPr>
        <w:spacing w:line="360" w:lineRule="atLeast"/>
        <w:rPr>
          <w:rFonts w:hint="eastAsia" w:asciiTheme="minorEastAsia" w:hAnsiTheme="minorEastAsia" w:eastAsiaTheme="minorEastAsia" w:cstheme="minorEastAsia"/>
        </w:rPr>
      </w:pPr>
    </w:p>
    <w:p w14:paraId="2E9EEBF6">
      <w:pPr>
        <w:spacing w:line="360" w:lineRule="atLeast"/>
        <w:rPr>
          <w:rFonts w:hint="eastAsia" w:asciiTheme="minorEastAsia" w:hAnsiTheme="minorEastAsia" w:eastAsiaTheme="minorEastAsia" w:cstheme="minorEastAsia"/>
        </w:rPr>
      </w:pPr>
    </w:p>
    <w:p w14:paraId="0643FF84">
      <w:pPr>
        <w:spacing w:line="360" w:lineRule="atLeast"/>
        <w:rPr>
          <w:rFonts w:hint="eastAsia" w:asciiTheme="minorEastAsia" w:hAnsiTheme="minorEastAsia" w:eastAsiaTheme="minorEastAsia" w:cstheme="minorEastAsia"/>
        </w:rPr>
      </w:pPr>
    </w:p>
    <w:p w14:paraId="52758882">
      <w:pPr>
        <w:spacing w:line="360" w:lineRule="atLeast"/>
        <w:rPr>
          <w:rFonts w:hint="eastAsia" w:asciiTheme="minorEastAsia" w:hAnsiTheme="minorEastAsia" w:eastAsiaTheme="minorEastAsia" w:cstheme="minorEastAsia"/>
        </w:rPr>
      </w:pPr>
    </w:p>
    <w:p w14:paraId="6D38A026">
      <w:pPr>
        <w:spacing w:line="360" w:lineRule="atLeast"/>
        <w:rPr>
          <w:rFonts w:hint="eastAsia" w:asciiTheme="minorEastAsia" w:hAnsiTheme="minorEastAsia" w:eastAsiaTheme="minorEastAsia" w:cstheme="minorEastAsia"/>
        </w:rPr>
      </w:pPr>
    </w:p>
    <w:p w14:paraId="534BF6B2">
      <w:pPr>
        <w:spacing w:line="360" w:lineRule="atLeast"/>
        <w:jc w:val="center"/>
        <w:rPr>
          <w:rFonts w:hint="eastAsia" w:asciiTheme="minorEastAsia" w:hAnsiTheme="minorEastAsia" w:eastAsiaTheme="minorEastAsia" w:cstheme="minorEastAsia"/>
        </w:rPr>
      </w:pPr>
    </w:p>
    <w:p w14:paraId="6E79FC6A">
      <w:pPr>
        <w:spacing w:line="360" w:lineRule="atLeast"/>
        <w:jc w:val="center"/>
        <w:rPr>
          <w:rFonts w:hint="eastAsia" w:asciiTheme="minorEastAsia" w:hAnsiTheme="minorEastAsia" w:eastAsiaTheme="minorEastAsia" w:cstheme="minorEastAsia"/>
          <w:b/>
          <w:sz w:val="36"/>
          <w:szCs w:val="36"/>
        </w:rPr>
      </w:pPr>
      <w:r>
        <w:rPr>
          <w:rFonts w:hint="eastAsia" w:ascii="Times New Roman" w:hAnsi="Times New Roman" w:eastAsia="宋体" w:cs="Times New Roman"/>
          <w:sz w:val="28"/>
          <w:szCs w:val="28"/>
          <w:lang w:val="en-US" w:eastAsia="zh-CN"/>
        </w:rPr>
        <w:t>2026</w:t>
      </w:r>
      <w:r>
        <w:rPr>
          <w:rFonts w:hint="default" w:ascii="Times New Roman" w:hAnsi="Times New Roman" w:eastAsia="宋体" w:cs="Times New Roman"/>
          <w:sz w:val="28"/>
          <w:szCs w:val="28"/>
        </w:rPr>
        <w:t>年</w:t>
      </w:r>
      <w:r>
        <w:rPr>
          <w:rFonts w:hint="eastAsia" w:ascii="Times New Roman" w:hAnsi="Times New Roman" w:eastAsia="宋体" w:cs="Times New Roman"/>
          <w:sz w:val="28"/>
          <w:szCs w:val="28"/>
          <w:lang w:val="en-US" w:eastAsia="zh-CN"/>
        </w:rPr>
        <w:t>01</w:t>
      </w:r>
      <w:r>
        <w:rPr>
          <w:rFonts w:hint="default"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01</w:t>
      </w:r>
      <w:r>
        <w:rPr>
          <w:rFonts w:hint="default" w:ascii="Times New Roman" w:hAnsi="Times New Roman" w:eastAsia="宋体" w:cs="Times New Roman"/>
          <w:sz w:val="28"/>
          <w:szCs w:val="28"/>
        </w:rPr>
        <w:t xml:space="preserve">日—— </w:t>
      </w:r>
      <w:r>
        <w:rPr>
          <w:rFonts w:hint="eastAsia" w:ascii="Times New Roman" w:hAnsi="Times New Roman" w:eastAsia="宋体" w:cs="Times New Roman"/>
          <w:sz w:val="28"/>
          <w:szCs w:val="28"/>
          <w:lang w:val="en-US" w:eastAsia="zh-CN"/>
        </w:rPr>
        <w:t>2026</w:t>
      </w:r>
      <w:r>
        <w:rPr>
          <w:rFonts w:hint="default" w:ascii="Times New Roman" w:hAnsi="Times New Roman" w:eastAsia="宋体" w:cs="Times New Roman"/>
          <w:sz w:val="28"/>
          <w:szCs w:val="28"/>
        </w:rPr>
        <w:t>年</w:t>
      </w:r>
      <w:r>
        <w:rPr>
          <w:rFonts w:hint="eastAsia" w:ascii="Times New Roman" w:hAnsi="Times New Roman" w:eastAsia="宋体" w:cs="Times New Roman"/>
          <w:sz w:val="28"/>
          <w:szCs w:val="28"/>
          <w:lang w:val="en-US" w:eastAsia="zh-CN"/>
        </w:rPr>
        <w:t>06</w:t>
      </w:r>
      <w:r>
        <w:rPr>
          <w:rFonts w:hint="default"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15</w:t>
      </w:r>
      <w:r>
        <w:rPr>
          <w:rFonts w:hint="default" w:ascii="Times New Roman" w:hAnsi="Times New Roman" w:eastAsia="宋体" w:cs="Times New Roman"/>
          <w:sz w:val="28"/>
          <w:szCs w:val="28"/>
        </w:rPr>
        <w:t>日</w:t>
      </w:r>
    </w:p>
    <w:p w14:paraId="74F879C6">
      <w:pPr>
        <w:jc w:val="center"/>
        <w:rPr>
          <w:rFonts w:hint="eastAsia"/>
          <w:b/>
          <w:bCs/>
          <w:sz w:val="24"/>
          <w:szCs w:val="24"/>
          <w:u w:val="single"/>
          <w:lang w:val="en-US" w:eastAsia="zh-CN"/>
        </w:rPr>
      </w:pPr>
    </w:p>
    <w:p w14:paraId="7970FA85">
      <w:pPr>
        <w:jc w:val="center"/>
        <w:rPr>
          <w:rFonts w:hint="eastAsia"/>
          <w:b/>
          <w:bCs/>
          <w:sz w:val="24"/>
          <w:szCs w:val="24"/>
          <w:u w:val="single"/>
          <w:lang w:val="en-US" w:eastAsia="zh-CN"/>
        </w:rPr>
      </w:pPr>
    </w:p>
    <w:p w14:paraId="28C87A1C">
      <w:pPr>
        <w:jc w:val="center"/>
        <w:rPr>
          <w:rFonts w:hint="eastAsia"/>
          <w:b/>
          <w:bCs/>
          <w:sz w:val="30"/>
          <w:szCs w:val="30"/>
          <w:lang w:val="en-US" w:eastAsia="zh-CN"/>
        </w:rPr>
      </w:pPr>
    </w:p>
    <w:p w14:paraId="3EEA783C">
      <w:pPr>
        <w:jc w:val="center"/>
        <w:rPr>
          <w:rFonts w:hint="eastAsia"/>
          <w:b/>
          <w:bCs/>
          <w:sz w:val="30"/>
          <w:szCs w:val="30"/>
          <w:lang w:val="en-US" w:eastAsia="zh-CN"/>
        </w:rPr>
      </w:pPr>
      <w:r>
        <w:rPr>
          <w:rFonts w:hint="eastAsia"/>
          <w:b/>
          <w:bCs/>
          <w:sz w:val="30"/>
          <w:szCs w:val="30"/>
          <w:lang w:val="en-US" w:eastAsia="zh-CN"/>
        </w:rPr>
        <w:t>变 更 管 理 台 账</w:t>
      </w:r>
    </w:p>
    <w:p w14:paraId="31C28F6E">
      <w:pPr>
        <w:jc w:val="left"/>
        <w:rPr>
          <w:rFonts w:hint="eastAsia"/>
          <w:b w:val="0"/>
          <w:bCs w:val="0"/>
          <w:sz w:val="24"/>
          <w:szCs w:val="24"/>
          <w:u w:val="single"/>
          <w:lang w:val="en-US" w:eastAsia="zh-CN"/>
        </w:rPr>
      </w:pPr>
    </w:p>
    <w:tbl>
      <w:tblPr>
        <w:tblStyle w:val="4"/>
        <w:tblW w:w="15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7"/>
        <w:gridCol w:w="1095"/>
        <w:gridCol w:w="1377"/>
        <w:gridCol w:w="2395"/>
        <w:gridCol w:w="2959"/>
        <w:gridCol w:w="1487"/>
        <w:gridCol w:w="1431"/>
        <w:gridCol w:w="1514"/>
        <w:gridCol w:w="1391"/>
        <w:gridCol w:w="1268"/>
      </w:tblGrid>
      <w:tr w14:paraId="4E59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blHeader/>
          <w:jc w:val="center"/>
        </w:trPr>
        <w:tc>
          <w:tcPr>
            <w:tcW w:w="637" w:type="dxa"/>
            <w:vAlign w:val="center"/>
          </w:tcPr>
          <w:p w14:paraId="046628CD">
            <w:pPr>
              <w:numPr>
                <w:ilvl w:val="0"/>
                <w:numId w:val="0"/>
              </w:numPr>
              <w:spacing w:line="360" w:lineRule="auto"/>
              <w:jc w:val="both"/>
              <w:rPr>
                <w:rFonts w:hint="eastAsia" w:ascii="Times New Roman" w:hAnsi="Times New Roman" w:eastAsia="宋体"/>
                <w:color w:val="000000"/>
                <w:lang w:val="en-US" w:eastAsia="zh-CN"/>
              </w:rPr>
            </w:pPr>
            <w:r>
              <w:rPr>
                <w:rFonts w:hint="eastAsia" w:ascii="Times New Roman" w:hAnsi="Times New Roman" w:eastAsia="宋体"/>
                <w:color w:val="000000"/>
                <w:lang w:val="en-US" w:eastAsia="zh-CN"/>
              </w:rPr>
              <w:t>序号</w:t>
            </w:r>
          </w:p>
        </w:tc>
        <w:tc>
          <w:tcPr>
            <w:tcW w:w="1095" w:type="dxa"/>
            <w:vAlign w:val="center"/>
          </w:tcPr>
          <w:p w14:paraId="76B3126E">
            <w:pPr>
              <w:spacing w:line="360" w:lineRule="auto"/>
              <w:jc w:val="center"/>
              <w:rPr>
                <w:rFonts w:ascii="Times New Roman" w:hAnsi="Times New Roman" w:eastAsia="宋体"/>
              </w:rPr>
            </w:pPr>
            <w:r>
              <w:rPr>
                <w:rFonts w:ascii="Times New Roman" w:hAnsi="Times New Roman" w:eastAsia="宋体"/>
                <w:color w:val="000000"/>
              </w:rPr>
              <w:t>变更</w:t>
            </w:r>
            <w:r>
              <w:rPr>
                <w:rFonts w:hint="eastAsia" w:ascii="Times New Roman" w:hAnsi="Times New Roman" w:eastAsia="宋体"/>
                <w:color w:val="000000"/>
                <w:lang w:eastAsia="zh-CN"/>
              </w:rPr>
              <w:t>控制</w:t>
            </w:r>
            <w:r>
              <w:rPr>
                <w:rFonts w:ascii="Times New Roman" w:hAnsi="Times New Roman" w:eastAsia="宋体"/>
                <w:color w:val="000000"/>
              </w:rPr>
              <w:t>号</w:t>
            </w:r>
          </w:p>
        </w:tc>
        <w:tc>
          <w:tcPr>
            <w:tcW w:w="1377" w:type="dxa"/>
            <w:vAlign w:val="center"/>
          </w:tcPr>
          <w:p w14:paraId="47E14B13">
            <w:pPr>
              <w:spacing w:line="360" w:lineRule="auto"/>
              <w:jc w:val="center"/>
              <w:rPr>
                <w:rFonts w:hint="eastAsia" w:ascii="Times New Roman" w:hAnsi="Times New Roman" w:eastAsia="宋体"/>
              </w:rPr>
            </w:pPr>
            <w:r>
              <w:rPr>
                <w:rFonts w:hint="eastAsia" w:ascii="Times New Roman" w:hAnsi="Times New Roman" w:eastAsia="宋体"/>
                <w:color w:val="000000"/>
                <w:lang w:val="en-US" w:eastAsia="zh-CN"/>
              </w:rPr>
              <w:t>变更申请部门</w:t>
            </w:r>
          </w:p>
        </w:tc>
        <w:tc>
          <w:tcPr>
            <w:tcW w:w="2395" w:type="dxa"/>
            <w:vAlign w:val="center"/>
          </w:tcPr>
          <w:p w14:paraId="092A3F89">
            <w:pPr>
              <w:spacing w:line="360" w:lineRule="auto"/>
              <w:jc w:val="center"/>
              <w:rPr>
                <w:rFonts w:hint="eastAsia" w:ascii="Times New Roman" w:hAnsi="Times New Roman" w:eastAsia="宋体"/>
                <w:color w:val="000000"/>
                <w:lang w:val="en-US" w:eastAsia="zh-CN"/>
              </w:rPr>
            </w:pPr>
            <w:r>
              <w:rPr>
                <w:rFonts w:ascii="Times New Roman" w:hAnsi="Times New Roman" w:eastAsia="宋体"/>
                <w:color w:val="000000"/>
              </w:rPr>
              <w:t>变更对象</w:t>
            </w:r>
          </w:p>
        </w:tc>
        <w:tc>
          <w:tcPr>
            <w:tcW w:w="2959" w:type="dxa"/>
            <w:vAlign w:val="center"/>
          </w:tcPr>
          <w:p w14:paraId="415A7C6E">
            <w:pPr>
              <w:spacing w:line="280" w:lineRule="atLeast"/>
              <w:jc w:val="center"/>
              <w:rPr>
                <w:rFonts w:hint="eastAsia" w:ascii="Times New Roman" w:hAnsi="Times New Roman" w:eastAsia="宋体"/>
              </w:rPr>
            </w:pPr>
            <w:r>
              <w:rPr>
                <w:rFonts w:hint="eastAsia" w:ascii="Times New Roman" w:hAnsi="Times New Roman" w:eastAsia="宋体"/>
              </w:rPr>
              <w:t>变更内容</w:t>
            </w:r>
          </w:p>
        </w:tc>
        <w:tc>
          <w:tcPr>
            <w:tcW w:w="1487" w:type="dxa"/>
            <w:vAlign w:val="center"/>
          </w:tcPr>
          <w:p w14:paraId="586F15A5">
            <w:pPr>
              <w:spacing w:line="280" w:lineRule="atLeast"/>
              <w:jc w:val="center"/>
              <w:rPr>
                <w:rFonts w:hint="eastAsia" w:ascii="Times New Roman" w:hAnsi="Times New Roman" w:eastAsia="宋体"/>
              </w:rPr>
            </w:pPr>
            <w:r>
              <w:rPr>
                <w:rFonts w:hint="eastAsia" w:ascii="Times New Roman" w:hAnsi="Times New Roman" w:eastAsia="宋体"/>
              </w:rPr>
              <w:t>变更等级</w:t>
            </w:r>
          </w:p>
        </w:tc>
        <w:tc>
          <w:tcPr>
            <w:tcW w:w="1431" w:type="dxa"/>
            <w:vAlign w:val="center"/>
          </w:tcPr>
          <w:p w14:paraId="271759E9">
            <w:pPr>
              <w:jc w:val="center"/>
              <w:rPr>
                <w:rFonts w:hint="eastAsia" w:ascii="Times New Roman" w:hAnsi="Times New Roman" w:eastAsia="宋体"/>
              </w:rPr>
            </w:pPr>
            <w:r>
              <w:rPr>
                <w:rFonts w:ascii="Times New Roman" w:hAnsi="Times New Roman" w:eastAsia="宋体"/>
                <w:color w:val="000000"/>
              </w:rPr>
              <w:t>变更申请日期</w:t>
            </w:r>
          </w:p>
        </w:tc>
        <w:tc>
          <w:tcPr>
            <w:tcW w:w="1514" w:type="dxa"/>
            <w:vAlign w:val="center"/>
          </w:tcPr>
          <w:p w14:paraId="7E03ABB0">
            <w:pPr>
              <w:jc w:val="center"/>
              <w:rPr>
                <w:rFonts w:hint="eastAsia" w:ascii="Times New Roman" w:hAnsi="Times New Roman" w:eastAsia="宋体"/>
              </w:rPr>
            </w:pPr>
            <w:r>
              <w:rPr>
                <w:rFonts w:ascii="Times New Roman" w:hAnsi="Times New Roman" w:eastAsia="宋体" w:cs="Arial"/>
                <w:szCs w:val="21"/>
              </w:rPr>
              <w:t>变更</w:t>
            </w:r>
            <w:r>
              <w:rPr>
                <w:rFonts w:hint="eastAsia" w:ascii="Times New Roman" w:hAnsi="Times New Roman" w:eastAsia="宋体" w:cs="Arial"/>
                <w:szCs w:val="21"/>
                <w:lang w:eastAsia="zh-CN"/>
              </w:rPr>
              <w:t>计划批准</w:t>
            </w:r>
            <w:r>
              <w:rPr>
                <w:rFonts w:hint="eastAsia" w:ascii="Times New Roman" w:hAnsi="Times New Roman" w:eastAsia="宋体" w:cs="Arial"/>
                <w:szCs w:val="21"/>
              </w:rPr>
              <w:t>日期</w:t>
            </w:r>
          </w:p>
        </w:tc>
        <w:tc>
          <w:tcPr>
            <w:tcW w:w="1391" w:type="dxa"/>
            <w:vAlign w:val="center"/>
          </w:tcPr>
          <w:p w14:paraId="1D94CE92">
            <w:pPr>
              <w:jc w:val="center"/>
              <w:rPr>
                <w:rFonts w:hint="eastAsia" w:ascii="Times New Roman" w:hAnsi="Times New Roman" w:eastAsia="宋体" w:cs="Arial"/>
                <w:szCs w:val="21"/>
                <w:lang w:eastAsia="zh-CN"/>
              </w:rPr>
            </w:pPr>
            <w:r>
              <w:rPr>
                <w:rFonts w:hint="eastAsia" w:ascii="Times New Roman" w:hAnsi="Times New Roman" w:eastAsia="宋体" w:cs="Arial"/>
                <w:szCs w:val="21"/>
                <w:lang w:eastAsia="zh-CN"/>
              </w:rPr>
              <w:t>变更正式执行日期</w:t>
            </w:r>
          </w:p>
        </w:tc>
        <w:tc>
          <w:tcPr>
            <w:tcW w:w="1268" w:type="dxa"/>
            <w:vAlign w:val="center"/>
          </w:tcPr>
          <w:p w14:paraId="108A12C3">
            <w:pPr>
              <w:jc w:val="center"/>
              <w:rPr>
                <w:rFonts w:ascii="Times New Roman" w:hAnsi="Times New Roman" w:eastAsia="宋体"/>
                <w:szCs w:val="21"/>
              </w:rPr>
            </w:pPr>
            <w:r>
              <w:rPr>
                <w:rFonts w:ascii="Times New Roman" w:hAnsi="Times New Roman" w:eastAsia="宋体"/>
                <w:szCs w:val="21"/>
              </w:rPr>
              <w:t>变更关闭日期</w:t>
            </w:r>
          </w:p>
        </w:tc>
      </w:tr>
      <w:tr w14:paraId="1353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3531850">
            <w:pPr>
              <w:numPr>
                <w:ilvl w:val="0"/>
                <w:numId w:val="1"/>
              </w:numPr>
              <w:ind w:left="-420" w:leftChars="0" w:firstLine="420" w:firstLineChars="0"/>
              <w:jc w:val="center"/>
              <w:rPr>
                <w:rFonts w:hint="default" w:ascii="Times New Roman" w:hAnsi="Times New Roman" w:eastAsia="宋体" w:cs="Times New Roman"/>
                <w:sz w:val="21"/>
                <w:szCs w:val="21"/>
              </w:rPr>
            </w:pPr>
            <w:permStart w:id="2" w:edGrp="everyone"/>
          </w:p>
        </w:tc>
        <w:tc>
          <w:tcPr>
            <w:tcW w:w="1095" w:type="dxa"/>
            <w:vAlign w:val="center"/>
          </w:tcPr>
          <w:p w14:paraId="5F48A41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BG-2308021</w:t>
            </w:r>
          </w:p>
        </w:tc>
        <w:tc>
          <w:tcPr>
            <w:tcW w:w="1377" w:type="dxa"/>
            <w:vAlign w:val="center"/>
          </w:tcPr>
          <w:p w14:paraId="24F3882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采购部</w:t>
            </w:r>
          </w:p>
        </w:tc>
        <w:tc>
          <w:tcPr>
            <w:tcW w:w="2395" w:type="dxa"/>
            <w:vAlign w:val="center"/>
          </w:tcPr>
          <w:p w14:paraId="25ADBFBB">
            <w:pPr>
              <w:keepNext w:val="0"/>
              <w:keepLines w:val="0"/>
              <w:suppressLineNumbers w:val="0"/>
              <w:spacing w:before="0" w:beforeAutospacing="0" w:after="0" w:afterAutospacing="0"/>
              <w:ind w:left="0" w:leftChars="0" w:right="0" w:right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增加美伐他汀生产用物料：甘油、活性炭、固体氢氧化钠、工业丙酮、甲苯供应商</w:t>
            </w:r>
          </w:p>
        </w:tc>
        <w:tc>
          <w:tcPr>
            <w:tcW w:w="2959" w:type="dxa"/>
            <w:vAlign w:val="center"/>
          </w:tcPr>
          <w:p w14:paraId="214470B9">
            <w:pPr>
              <w:keepNext w:val="0"/>
              <w:keepLines w:val="0"/>
              <w:suppressLineNumbers w:val="0"/>
              <w:spacing w:before="0" w:beforeAutospacing="0" w:after="0" w:afterAutospacing="0"/>
              <w:ind w:left="0" w:leftChars="0" w:right="0" w:right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增加美伐他汀生产用物料：甘油、活性炭、固体氢氧化钠、工业丙酮、甲苯供应商</w:t>
            </w:r>
          </w:p>
        </w:tc>
        <w:tc>
          <w:tcPr>
            <w:tcW w:w="1487" w:type="dxa"/>
            <w:vAlign w:val="center"/>
          </w:tcPr>
          <w:p w14:paraId="11DF1D01">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中度变更</w:t>
            </w:r>
          </w:p>
        </w:tc>
        <w:tc>
          <w:tcPr>
            <w:tcW w:w="1431" w:type="dxa"/>
            <w:vAlign w:val="center"/>
          </w:tcPr>
          <w:p w14:paraId="74C1D12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2023.08.29</w:t>
            </w:r>
          </w:p>
        </w:tc>
        <w:tc>
          <w:tcPr>
            <w:tcW w:w="1514" w:type="dxa"/>
            <w:vAlign w:val="center"/>
          </w:tcPr>
          <w:p w14:paraId="79906B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2023.09.06</w:t>
            </w:r>
          </w:p>
        </w:tc>
        <w:tc>
          <w:tcPr>
            <w:tcW w:w="1391" w:type="dxa"/>
            <w:vAlign w:val="center"/>
          </w:tcPr>
          <w:p w14:paraId="625249E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2024.03.10</w:t>
            </w:r>
          </w:p>
        </w:tc>
        <w:tc>
          <w:tcPr>
            <w:tcW w:w="1268" w:type="dxa"/>
            <w:vAlign w:val="center"/>
          </w:tcPr>
          <w:p w14:paraId="698E269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15"/>
                <w:highlight w:val="none"/>
                <w:lang w:val="en-US" w:eastAsia="zh-CN"/>
              </w:rPr>
              <w:t>正在进行</w:t>
            </w:r>
          </w:p>
        </w:tc>
      </w:tr>
      <w:permEnd w:id="2"/>
      <w:tr w14:paraId="536B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B896BA2">
            <w:pPr>
              <w:numPr>
                <w:ilvl w:val="0"/>
                <w:numId w:val="1"/>
              </w:numPr>
              <w:ind w:left="-420" w:leftChars="0" w:firstLine="420" w:firstLineChars="0"/>
              <w:jc w:val="center"/>
              <w:rPr>
                <w:rFonts w:hint="default" w:ascii="Times New Roman" w:hAnsi="Times New Roman" w:eastAsia="宋体" w:cs="Times New Roman"/>
                <w:sz w:val="21"/>
                <w:szCs w:val="21"/>
              </w:rPr>
            </w:pPr>
            <w:permStart w:id="3" w:edGrp="everyone"/>
          </w:p>
        </w:tc>
        <w:tc>
          <w:tcPr>
            <w:tcW w:w="1095" w:type="dxa"/>
            <w:vAlign w:val="center"/>
          </w:tcPr>
          <w:p w14:paraId="07D7441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BG-2309013</w:t>
            </w:r>
          </w:p>
        </w:tc>
        <w:tc>
          <w:tcPr>
            <w:tcW w:w="1377" w:type="dxa"/>
            <w:vAlign w:val="center"/>
          </w:tcPr>
          <w:p w14:paraId="4BB340F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2E734D22">
            <w:pPr>
              <w:keepNext w:val="0"/>
              <w:keepLines w:val="0"/>
              <w:suppressLineNumbers w:val="0"/>
              <w:spacing w:before="0" w:beforeAutospacing="0" w:after="0" w:afterAutospacing="0"/>
              <w:ind w:left="0" w:leftChars="0" w:right="0" w:right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删除美伐他汀中间产品萃取滤液酸酯比与二次精品检测项目</w:t>
            </w:r>
          </w:p>
        </w:tc>
        <w:tc>
          <w:tcPr>
            <w:tcW w:w="2959" w:type="dxa"/>
            <w:vAlign w:val="center"/>
          </w:tcPr>
          <w:p w14:paraId="7385D753">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为了确保美伐他汀美国注册资料与日本注册资料的一致，删除美伐他汀中间产品萃取滤液酸酯比与二次精品检测项目</w:t>
            </w:r>
          </w:p>
        </w:tc>
        <w:tc>
          <w:tcPr>
            <w:tcW w:w="1487" w:type="dxa"/>
            <w:vAlign w:val="center"/>
          </w:tcPr>
          <w:p w14:paraId="58CDFFD2">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中度变更</w:t>
            </w:r>
          </w:p>
        </w:tc>
        <w:tc>
          <w:tcPr>
            <w:tcW w:w="1431" w:type="dxa"/>
            <w:vAlign w:val="center"/>
          </w:tcPr>
          <w:p w14:paraId="11B0624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2023.09.28</w:t>
            </w:r>
          </w:p>
        </w:tc>
        <w:tc>
          <w:tcPr>
            <w:tcW w:w="1514" w:type="dxa"/>
            <w:vAlign w:val="center"/>
          </w:tcPr>
          <w:p w14:paraId="4969B0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2023.09.28</w:t>
            </w:r>
          </w:p>
        </w:tc>
        <w:tc>
          <w:tcPr>
            <w:tcW w:w="1391" w:type="dxa"/>
            <w:vAlign w:val="center"/>
          </w:tcPr>
          <w:p w14:paraId="51CE210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595DC48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正在进行</w:t>
            </w:r>
          </w:p>
        </w:tc>
      </w:tr>
      <w:permEnd w:id="3"/>
      <w:tr w14:paraId="1BC8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AF24265">
            <w:pPr>
              <w:numPr>
                <w:ilvl w:val="0"/>
                <w:numId w:val="1"/>
              </w:numPr>
              <w:ind w:left="-420" w:leftChars="0" w:firstLine="420" w:firstLineChars="0"/>
              <w:jc w:val="center"/>
              <w:rPr>
                <w:rFonts w:hint="default" w:ascii="Times New Roman" w:hAnsi="Times New Roman" w:eastAsia="宋体" w:cs="Times New Roman"/>
                <w:sz w:val="21"/>
                <w:szCs w:val="21"/>
              </w:rPr>
            </w:pPr>
            <w:permStart w:id="4" w:edGrp="everyone"/>
          </w:p>
        </w:tc>
        <w:tc>
          <w:tcPr>
            <w:tcW w:w="1095" w:type="dxa"/>
            <w:vAlign w:val="center"/>
          </w:tcPr>
          <w:p w14:paraId="7ED5A79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BG-2403004</w:t>
            </w:r>
          </w:p>
        </w:tc>
        <w:tc>
          <w:tcPr>
            <w:tcW w:w="1377" w:type="dxa"/>
            <w:vAlign w:val="center"/>
          </w:tcPr>
          <w:p w14:paraId="2F64C1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QA</w:t>
            </w:r>
          </w:p>
        </w:tc>
        <w:tc>
          <w:tcPr>
            <w:tcW w:w="2395" w:type="dxa"/>
            <w:vAlign w:val="center"/>
          </w:tcPr>
          <w:p w14:paraId="62827214">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修订《340㎏集装袋（BI513）质量标准》</w:t>
            </w:r>
          </w:p>
        </w:tc>
        <w:tc>
          <w:tcPr>
            <w:tcW w:w="2959" w:type="dxa"/>
            <w:vAlign w:val="center"/>
          </w:tcPr>
          <w:p w14:paraId="19EE7A8D">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为了更好的控制包装袋质量，根据USP法规增加以下检测项目及标准：鉴别（内袋）项（聚乙烯，红外光谱吸收与对照品图谱一致）；不挥发物（≤12mg）；重金属≤20ppm；缓冲能力≤10ml；微生物要求，其中需氧菌总数≤100cfu/10cm</w:t>
            </w:r>
            <w:r>
              <w:rPr>
                <w:rFonts w:hint="eastAsia" w:ascii="Times New Roman" w:hAnsi="Times New Roman" w:eastAsia="宋体" w:cs="Times New Roman"/>
                <w:kern w:val="2"/>
                <w:sz w:val="21"/>
                <w:szCs w:val="15"/>
                <w:highlight w:val="none"/>
                <w:vertAlign w:val="superscript"/>
                <w:lang w:val="en-US" w:eastAsia="zh-CN" w:bidi="ar-SA"/>
              </w:rPr>
              <w:t>2</w:t>
            </w:r>
            <w:r>
              <w:rPr>
                <w:rFonts w:hint="eastAsia" w:ascii="Times New Roman" w:hAnsi="Times New Roman" w:eastAsia="宋体" w:cs="Times New Roman"/>
                <w:kern w:val="2"/>
                <w:sz w:val="21"/>
                <w:szCs w:val="15"/>
                <w:highlight w:val="none"/>
                <w:vertAlign w:val="baseline"/>
                <w:lang w:val="en-US" w:eastAsia="zh-CN" w:bidi="ar-SA"/>
              </w:rPr>
              <w:t>，霉菌、酵母菌数≤</w:t>
            </w:r>
            <w:r>
              <w:rPr>
                <w:rFonts w:hint="eastAsia" w:ascii="Times New Roman" w:hAnsi="Times New Roman" w:eastAsia="宋体" w:cs="Times New Roman"/>
                <w:kern w:val="2"/>
                <w:sz w:val="21"/>
                <w:szCs w:val="15"/>
                <w:highlight w:val="none"/>
                <w:lang w:val="en-US" w:eastAsia="zh-CN" w:bidi="ar-SA"/>
              </w:rPr>
              <w:t>100cfu/10cm</w:t>
            </w:r>
            <w:r>
              <w:rPr>
                <w:rFonts w:hint="eastAsia" w:ascii="Times New Roman" w:hAnsi="Times New Roman" w:eastAsia="宋体" w:cs="Times New Roman"/>
                <w:kern w:val="2"/>
                <w:sz w:val="21"/>
                <w:szCs w:val="15"/>
                <w:highlight w:val="none"/>
                <w:vertAlign w:val="superscript"/>
                <w:lang w:val="en-US" w:eastAsia="zh-CN" w:bidi="ar-SA"/>
              </w:rPr>
              <w:t>2</w:t>
            </w:r>
            <w:r>
              <w:rPr>
                <w:rFonts w:hint="eastAsia" w:ascii="Times New Roman" w:hAnsi="Times New Roman" w:eastAsia="宋体" w:cs="Times New Roman"/>
                <w:kern w:val="2"/>
                <w:sz w:val="21"/>
                <w:szCs w:val="15"/>
                <w:highlight w:val="none"/>
                <w:vertAlign w:val="baseline"/>
                <w:lang w:val="en-US" w:eastAsia="zh-CN" w:bidi="ar-SA"/>
              </w:rPr>
              <w:t>，大肠埃希菌不得检出（</w:t>
            </w:r>
            <w:r>
              <w:rPr>
                <w:rFonts w:hint="eastAsia" w:ascii="Times New Roman" w:hAnsi="Times New Roman" w:eastAsia="宋体" w:cs="Times New Roman"/>
                <w:kern w:val="2"/>
                <w:sz w:val="21"/>
                <w:szCs w:val="15"/>
                <w:highlight w:val="none"/>
                <w:lang w:val="en-US" w:eastAsia="zh-CN" w:bidi="ar-SA"/>
              </w:rPr>
              <w:t>10cm</w:t>
            </w:r>
            <w:r>
              <w:rPr>
                <w:rFonts w:hint="eastAsia" w:ascii="Times New Roman" w:hAnsi="Times New Roman" w:eastAsia="宋体" w:cs="Times New Roman"/>
                <w:kern w:val="2"/>
                <w:sz w:val="21"/>
                <w:szCs w:val="15"/>
                <w:highlight w:val="none"/>
                <w:vertAlign w:val="superscript"/>
                <w:lang w:val="en-US" w:eastAsia="zh-CN" w:bidi="ar-SA"/>
              </w:rPr>
              <w:t>2</w:t>
            </w:r>
            <w:r>
              <w:rPr>
                <w:rFonts w:hint="eastAsia" w:ascii="Times New Roman" w:hAnsi="Times New Roman" w:eastAsia="宋体" w:cs="Times New Roman"/>
                <w:kern w:val="2"/>
                <w:sz w:val="21"/>
                <w:szCs w:val="15"/>
                <w:highlight w:val="none"/>
                <w:vertAlign w:val="baseline"/>
                <w:lang w:val="en-US" w:eastAsia="zh-CN" w:bidi="ar-SA"/>
              </w:rPr>
              <w:t>）</w:t>
            </w:r>
          </w:p>
        </w:tc>
        <w:tc>
          <w:tcPr>
            <w:tcW w:w="1487" w:type="dxa"/>
            <w:vAlign w:val="center"/>
          </w:tcPr>
          <w:p w14:paraId="50054EA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轻微变更</w:t>
            </w:r>
          </w:p>
        </w:tc>
        <w:tc>
          <w:tcPr>
            <w:tcW w:w="1431" w:type="dxa"/>
            <w:vAlign w:val="center"/>
          </w:tcPr>
          <w:p w14:paraId="46797AC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2024.13.13</w:t>
            </w:r>
          </w:p>
        </w:tc>
        <w:tc>
          <w:tcPr>
            <w:tcW w:w="1514" w:type="dxa"/>
            <w:vAlign w:val="center"/>
          </w:tcPr>
          <w:p w14:paraId="247E958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2024.03.14</w:t>
            </w:r>
          </w:p>
        </w:tc>
        <w:tc>
          <w:tcPr>
            <w:tcW w:w="1391" w:type="dxa"/>
            <w:vAlign w:val="center"/>
          </w:tcPr>
          <w:p w14:paraId="4CCD2F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2024.03.15</w:t>
            </w:r>
          </w:p>
        </w:tc>
        <w:tc>
          <w:tcPr>
            <w:tcW w:w="1268" w:type="dxa"/>
            <w:vAlign w:val="center"/>
          </w:tcPr>
          <w:p w14:paraId="061629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正在进行</w:t>
            </w:r>
          </w:p>
        </w:tc>
      </w:tr>
      <w:permEnd w:id="4"/>
      <w:tr w14:paraId="0416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7191A35">
            <w:pPr>
              <w:numPr>
                <w:ilvl w:val="0"/>
                <w:numId w:val="1"/>
              </w:numPr>
              <w:ind w:left="-420" w:leftChars="0" w:firstLine="420" w:firstLineChars="0"/>
              <w:jc w:val="center"/>
              <w:rPr>
                <w:rFonts w:hint="default" w:ascii="Times New Roman" w:hAnsi="Times New Roman" w:eastAsia="宋体" w:cs="Times New Roman"/>
                <w:sz w:val="21"/>
                <w:szCs w:val="21"/>
              </w:rPr>
            </w:pPr>
            <w:permStart w:id="5" w:edGrp="everyone"/>
          </w:p>
        </w:tc>
        <w:tc>
          <w:tcPr>
            <w:tcW w:w="1095" w:type="dxa"/>
            <w:vAlign w:val="center"/>
          </w:tcPr>
          <w:p w14:paraId="32606915">
            <w:pPr>
              <w:keepNext w:val="0"/>
              <w:keepLines w:val="0"/>
              <w:suppressLineNumbers w:val="0"/>
              <w:tabs>
                <w:tab w:val="left" w:pos="446"/>
              </w:tabs>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BG-2406001</w:t>
            </w:r>
          </w:p>
        </w:tc>
        <w:tc>
          <w:tcPr>
            <w:tcW w:w="1377" w:type="dxa"/>
            <w:vAlign w:val="center"/>
          </w:tcPr>
          <w:p w14:paraId="40DA1978">
            <w:pPr>
              <w:keepNext w:val="0"/>
              <w:keepLines w:val="0"/>
              <w:suppressLineNumbers w:val="0"/>
              <w:spacing w:before="0" w:beforeAutospacing="0" w:after="0" w:afterAutospacing="0"/>
              <w:ind w:left="0" w:leftChars="0" w:right="0" w:rightChars="0"/>
              <w:jc w:val="both"/>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生产管理部</w:t>
            </w:r>
          </w:p>
        </w:tc>
        <w:tc>
          <w:tcPr>
            <w:tcW w:w="2395" w:type="dxa"/>
            <w:vAlign w:val="center"/>
          </w:tcPr>
          <w:p w14:paraId="1A2F8BDB">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highlight w:val="none"/>
              </w:rPr>
            </w:pPr>
            <w:r>
              <w:rPr>
                <w:rFonts w:hint="eastAsia" w:ascii="Times New Roman" w:hAnsi="Times New Roman" w:eastAsia="宋体" w:cs="Times New Roman"/>
                <w:kern w:val="2"/>
                <w:sz w:val="21"/>
                <w:szCs w:val="15"/>
                <w:highlight w:val="none"/>
                <w:lang w:val="en-US" w:eastAsia="zh-CN" w:bidi="ar-SA"/>
              </w:rPr>
              <w:t>增加预混剂生产线</w:t>
            </w:r>
          </w:p>
        </w:tc>
        <w:tc>
          <w:tcPr>
            <w:tcW w:w="2959" w:type="dxa"/>
            <w:vAlign w:val="center"/>
          </w:tcPr>
          <w:p w14:paraId="2B5D10EA">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highlight w:val="none"/>
              </w:rPr>
            </w:pPr>
            <w:r>
              <w:rPr>
                <w:rFonts w:hint="eastAsia" w:ascii="Times New Roman" w:hAnsi="Times New Roman" w:eastAsia="宋体" w:cs="Times New Roman"/>
                <w:kern w:val="2"/>
                <w:sz w:val="21"/>
                <w:szCs w:val="15"/>
                <w:highlight w:val="none"/>
                <w:lang w:val="en-US" w:eastAsia="zh-CN" w:bidi="ar-SA"/>
              </w:rPr>
              <w:t>增加预混剂生产线</w:t>
            </w:r>
          </w:p>
        </w:tc>
        <w:tc>
          <w:tcPr>
            <w:tcW w:w="1487" w:type="dxa"/>
            <w:vAlign w:val="center"/>
          </w:tcPr>
          <w:p w14:paraId="2851BB15">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中度变更</w:t>
            </w:r>
          </w:p>
        </w:tc>
        <w:tc>
          <w:tcPr>
            <w:tcW w:w="1431" w:type="dxa"/>
            <w:vAlign w:val="center"/>
          </w:tcPr>
          <w:p w14:paraId="355D45C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2024.06.01</w:t>
            </w:r>
          </w:p>
        </w:tc>
        <w:tc>
          <w:tcPr>
            <w:tcW w:w="1514" w:type="dxa"/>
            <w:vAlign w:val="center"/>
          </w:tcPr>
          <w:p w14:paraId="5196E39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2024.06.25</w:t>
            </w:r>
          </w:p>
        </w:tc>
        <w:tc>
          <w:tcPr>
            <w:tcW w:w="1391" w:type="dxa"/>
            <w:vAlign w:val="center"/>
          </w:tcPr>
          <w:p w14:paraId="1A2E99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2026.01.29</w:t>
            </w:r>
          </w:p>
        </w:tc>
        <w:tc>
          <w:tcPr>
            <w:tcW w:w="1268" w:type="dxa"/>
            <w:vAlign w:val="center"/>
          </w:tcPr>
          <w:p w14:paraId="02DD3D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2026.01.29</w:t>
            </w:r>
          </w:p>
        </w:tc>
      </w:tr>
      <w:permEnd w:id="5"/>
      <w:tr w14:paraId="0BFB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4976F55">
            <w:pPr>
              <w:numPr>
                <w:ilvl w:val="0"/>
                <w:numId w:val="1"/>
              </w:numPr>
              <w:ind w:left="-420" w:leftChars="0" w:firstLine="420" w:firstLineChars="0"/>
              <w:jc w:val="center"/>
              <w:rPr>
                <w:rFonts w:hint="default" w:ascii="Times New Roman" w:hAnsi="Times New Roman" w:eastAsia="宋体" w:cs="Times New Roman"/>
                <w:sz w:val="21"/>
                <w:szCs w:val="21"/>
              </w:rPr>
            </w:pPr>
            <w:permStart w:id="6" w:edGrp="everyone"/>
          </w:p>
        </w:tc>
        <w:tc>
          <w:tcPr>
            <w:tcW w:w="1095" w:type="dxa"/>
            <w:vAlign w:val="center"/>
          </w:tcPr>
          <w:p w14:paraId="65E86CB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BG-2407026</w:t>
            </w:r>
          </w:p>
        </w:tc>
        <w:tc>
          <w:tcPr>
            <w:tcW w:w="1377" w:type="dxa"/>
            <w:vAlign w:val="center"/>
          </w:tcPr>
          <w:p w14:paraId="05682CE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生产管理部</w:t>
            </w:r>
          </w:p>
        </w:tc>
        <w:tc>
          <w:tcPr>
            <w:tcW w:w="2395" w:type="dxa"/>
            <w:vAlign w:val="center"/>
          </w:tcPr>
          <w:p w14:paraId="61F1D1D8">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highlight w:val="none"/>
              </w:rPr>
            </w:pPr>
            <w:r>
              <w:rPr>
                <w:rFonts w:hint="eastAsia" w:ascii="Times New Roman" w:hAnsi="Times New Roman" w:eastAsia="宋体" w:cs="Times New Roman"/>
                <w:kern w:val="2"/>
                <w:sz w:val="21"/>
                <w:szCs w:val="15"/>
                <w:highlight w:val="none"/>
                <w:lang w:val="en-US" w:eastAsia="zh-CN" w:bidi="ar-SA"/>
              </w:rPr>
              <w:t>在102二车间新增兽药粉剂生产线</w:t>
            </w:r>
          </w:p>
        </w:tc>
        <w:tc>
          <w:tcPr>
            <w:tcW w:w="2959" w:type="dxa"/>
            <w:vAlign w:val="center"/>
          </w:tcPr>
          <w:p w14:paraId="485374A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21"/>
                <w:highlight w:val="none"/>
              </w:rPr>
            </w:pPr>
            <w:r>
              <w:rPr>
                <w:rFonts w:hint="eastAsia" w:ascii="Times New Roman" w:hAnsi="Times New Roman" w:eastAsia="宋体" w:cs="Times New Roman"/>
                <w:kern w:val="2"/>
                <w:sz w:val="21"/>
                <w:szCs w:val="15"/>
                <w:highlight w:val="none"/>
                <w:lang w:val="en-US" w:eastAsia="zh-CN" w:bidi="ar-SA"/>
              </w:rPr>
              <w:t>在102二车间新增兽药粉剂生产线</w:t>
            </w:r>
          </w:p>
        </w:tc>
        <w:tc>
          <w:tcPr>
            <w:tcW w:w="1487" w:type="dxa"/>
            <w:vAlign w:val="center"/>
          </w:tcPr>
          <w:p w14:paraId="4B58B5D0">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中度变更</w:t>
            </w:r>
          </w:p>
        </w:tc>
        <w:tc>
          <w:tcPr>
            <w:tcW w:w="1431" w:type="dxa"/>
            <w:vAlign w:val="center"/>
          </w:tcPr>
          <w:p w14:paraId="5F8BBF3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2024.07.31</w:t>
            </w:r>
          </w:p>
        </w:tc>
        <w:tc>
          <w:tcPr>
            <w:tcW w:w="1514" w:type="dxa"/>
            <w:vAlign w:val="center"/>
          </w:tcPr>
          <w:p w14:paraId="596A75D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rPr>
            </w:pPr>
            <w:r>
              <w:rPr>
                <w:rFonts w:hint="eastAsia" w:ascii="Times New Roman" w:hAnsi="Times New Roman" w:eastAsia="宋体" w:cs="Times New Roman"/>
                <w:sz w:val="21"/>
                <w:szCs w:val="15"/>
                <w:highlight w:val="none"/>
                <w:lang w:val="en-US" w:eastAsia="zh-CN"/>
              </w:rPr>
              <w:t>2024.08.01</w:t>
            </w:r>
          </w:p>
        </w:tc>
        <w:tc>
          <w:tcPr>
            <w:tcW w:w="1391" w:type="dxa"/>
            <w:vAlign w:val="center"/>
          </w:tcPr>
          <w:p w14:paraId="34D6F8F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lang w:val="en-US"/>
              </w:rPr>
            </w:pPr>
            <w:r>
              <w:rPr>
                <w:rFonts w:hint="eastAsia" w:ascii="Times New Roman" w:hAnsi="Times New Roman" w:eastAsia="宋体" w:cs="Times New Roman"/>
                <w:sz w:val="21"/>
                <w:szCs w:val="15"/>
                <w:highlight w:val="none"/>
                <w:lang w:val="en-US" w:eastAsia="zh-CN"/>
              </w:rPr>
              <w:t>2026.01.29</w:t>
            </w:r>
          </w:p>
        </w:tc>
        <w:tc>
          <w:tcPr>
            <w:tcW w:w="1268" w:type="dxa"/>
            <w:vAlign w:val="center"/>
          </w:tcPr>
          <w:p w14:paraId="5A4F64B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highlight w:val="none"/>
                <w:lang w:val="en-US"/>
              </w:rPr>
            </w:pPr>
            <w:r>
              <w:rPr>
                <w:rFonts w:hint="eastAsia" w:ascii="Times New Roman" w:hAnsi="Times New Roman" w:eastAsia="宋体" w:cs="Times New Roman"/>
                <w:sz w:val="21"/>
                <w:szCs w:val="15"/>
                <w:highlight w:val="none"/>
                <w:lang w:val="en-US" w:eastAsia="zh-CN"/>
              </w:rPr>
              <w:t>2026.01.29</w:t>
            </w:r>
          </w:p>
        </w:tc>
      </w:tr>
      <w:permEnd w:id="6"/>
      <w:tr w14:paraId="2B83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64AF120">
            <w:pPr>
              <w:numPr>
                <w:ilvl w:val="0"/>
                <w:numId w:val="1"/>
              </w:numPr>
              <w:ind w:left="-420" w:leftChars="0" w:firstLine="420" w:firstLineChars="0"/>
              <w:jc w:val="center"/>
              <w:rPr>
                <w:rFonts w:hint="default" w:ascii="Times New Roman" w:hAnsi="Times New Roman" w:eastAsia="宋体" w:cs="Times New Roman"/>
                <w:sz w:val="21"/>
                <w:szCs w:val="21"/>
              </w:rPr>
            </w:pPr>
            <w:permStart w:id="7" w:edGrp="everyone"/>
          </w:p>
        </w:tc>
        <w:tc>
          <w:tcPr>
            <w:tcW w:w="1095" w:type="dxa"/>
            <w:vAlign w:val="center"/>
          </w:tcPr>
          <w:p w14:paraId="5DDB512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BG-2412010</w:t>
            </w:r>
          </w:p>
        </w:tc>
        <w:tc>
          <w:tcPr>
            <w:tcW w:w="1377" w:type="dxa"/>
            <w:vAlign w:val="center"/>
          </w:tcPr>
          <w:p w14:paraId="4C12A04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201二车间</w:t>
            </w:r>
          </w:p>
        </w:tc>
        <w:tc>
          <w:tcPr>
            <w:tcW w:w="2395" w:type="dxa"/>
            <w:vAlign w:val="center"/>
          </w:tcPr>
          <w:p w14:paraId="1E6FB369">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关于改变霉酚酸粗品投料方式和调整萃取工序乙酸丁酯投料量的变更</w:t>
            </w:r>
          </w:p>
        </w:tc>
        <w:tc>
          <w:tcPr>
            <w:tcW w:w="2959" w:type="dxa"/>
            <w:vAlign w:val="center"/>
          </w:tcPr>
          <w:p w14:paraId="49F7B518">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将萃取罐投料方式由先加入一定体积的乙酸丁酯，再投入粗品，最后根据投入的粗品量补入乙酸丁酯至霉酚酸粗品产品量23±7倍的体积（若预先加入的乙酸丁酯体积在范围内，则不进行补加乙酸丁酯的操作）。变更为：先向罐内投入霉酚酸粗品，再根据投入的粗品量加入乙酸丁酯至霉酚酸粗品产品量16~23倍的体积</w:t>
            </w:r>
          </w:p>
          <w:p w14:paraId="1BFB8D57">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根据历史生产数据，将萃取工序乙酸丁酯投料量由“霉酚酸粗品产品量23±7倍的体积”收紧为“霉酚酸粗品产品量16~23倍的体积”</w:t>
            </w:r>
          </w:p>
        </w:tc>
        <w:tc>
          <w:tcPr>
            <w:tcW w:w="1487" w:type="dxa"/>
            <w:vAlign w:val="center"/>
          </w:tcPr>
          <w:p w14:paraId="35E017A1">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sz w:val="21"/>
                <w:szCs w:val="15"/>
                <w:highlight w:val="none"/>
                <w:lang w:val="en-US" w:eastAsia="zh-CN"/>
              </w:rPr>
              <w:t>轻微变更</w:t>
            </w:r>
          </w:p>
        </w:tc>
        <w:tc>
          <w:tcPr>
            <w:tcW w:w="1431" w:type="dxa"/>
            <w:vAlign w:val="center"/>
          </w:tcPr>
          <w:p w14:paraId="5711854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2024.12.11</w:t>
            </w:r>
          </w:p>
        </w:tc>
        <w:tc>
          <w:tcPr>
            <w:tcW w:w="1514" w:type="dxa"/>
            <w:vAlign w:val="center"/>
          </w:tcPr>
          <w:p w14:paraId="32E823B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2024.12.25</w:t>
            </w:r>
          </w:p>
        </w:tc>
        <w:tc>
          <w:tcPr>
            <w:tcW w:w="1391" w:type="dxa"/>
            <w:vAlign w:val="center"/>
          </w:tcPr>
          <w:p w14:paraId="703337A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2025.12.20</w:t>
            </w:r>
          </w:p>
        </w:tc>
        <w:tc>
          <w:tcPr>
            <w:tcW w:w="1268" w:type="dxa"/>
            <w:vAlign w:val="center"/>
          </w:tcPr>
          <w:p w14:paraId="4B86B4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正在进行</w:t>
            </w:r>
          </w:p>
        </w:tc>
      </w:tr>
      <w:permEnd w:id="7"/>
      <w:tr w14:paraId="1477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D0D97E6">
            <w:pPr>
              <w:numPr>
                <w:ilvl w:val="0"/>
                <w:numId w:val="1"/>
              </w:numPr>
              <w:ind w:left="-420" w:leftChars="0" w:firstLine="420" w:firstLineChars="0"/>
              <w:jc w:val="center"/>
              <w:rPr>
                <w:rFonts w:hint="default" w:ascii="Times New Roman" w:hAnsi="Times New Roman" w:eastAsia="宋体" w:cs="Times New Roman"/>
                <w:sz w:val="21"/>
                <w:szCs w:val="21"/>
              </w:rPr>
            </w:pPr>
            <w:permStart w:id="8" w:edGrp="everyone"/>
          </w:p>
        </w:tc>
        <w:tc>
          <w:tcPr>
            <w:tcW w:w="1095" w:type="dxa"/>
            <w:vAlign w:val="center"/>
          </w:tcPr>
          <w:p w14:paraId="5FCA87D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BG-2412013</w:t>
            </w:r>
          </w:p>
        </w:tc>
        <w:tc>
          <w:tcPr>
            <w:tcW w:w="1377" w:type="dxa"/>
            <w:vAlign w:val="center"/>
          </w:tcPr>
          <w:p w14:paraId="1419B7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采购部</w:t>
            </w:r>
          </w:p>
        </w:tc>
        <w:tc>
          <w:tcPr>
            <w:tcW w:w="2395" w:type="dxa"/>
            <w:vAlign w:val="center"/>
          </w:tcPr>
          <w:p w14:paraId="4CD5F140">
            <w:pPr>
              <w:keepNext w:val="0"/>
              <w:keepLines w:val="0"/>
              <w:numPr>
                <w:ilvl w:val="0"/>
                <w:numId w:val="0"/>
              </w:numPr>
              <w:suppressLineNumbers w:val="0"/>
              <w:spacing w:before="0" w:beforeAutospacing="0" w:after="0" w:afterAutospacing="0"/>
              <w:ind w:left="0" w:leftChars="0" w:right="0" w:rightChars="0" w:firstLine="0" w:firstLineChars="0"/>
              <w:jc w:val="both"/>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增加L-苯丙氨酸用物料味精（YS014）、活性炭(YS015)、富马酸(YS024)、食用葡萄糖(YS606)、L-酪氨酸（YS026）生产商和经销商</w:t>
            </w:r>
          </w:p>
        </w:tc>
        <w:tc>
          <w:tcPr>
            <w:tcW w:w="2959" w:type="dxa"/>
            <w:vAlign w:val="center"/>
          </w:tcPr>
          <w:p w14:paraId="04002E5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1、增加L-苯丙氨酸用物料味精（YS014）生产商为：宁夏伊品生物科技股份有限公司；经销商为：宁夏伊品贸易有限公司</w:t>
            </w:r>
          </w:p>
          <w:p w14:paraId="6A822CF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2、增加2个L-苯丙氨酸用物料活性炭(YS015)供应商，（1）生产商为：玉山县三清活性炭有限公司，经销商：江西三山活性炭有限公司;(2)生产商为：溧阳市南方活性炭厂，经销商为：宁夏炭立方活性炭科技有限公司</w:t>
            </w:r>
          </w:p>
          <w:p w14:paraId="6421B5B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3、增加L-苯丙氨酸用物料富马酸(YS024)生产商：安徽雪郎生物科技股份有限公司，经销商：上海易蒙斯化工有限公司</w:t>
            </w:r>
          </w:p>
          <w:p w14:paraId="4BBD60C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4、增加L-苯丙氨酸用物料食用葡萄糖(YS606)生产商：山东祥瑞药业有限公司，经销商：山东瑞祥医药销售有限公司</w:t>
            </w:r>
          </w:p>
          <w:p w14:paraId="4126549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21"/>
              </w:rPr>
            </w:pPr>
            <w:r>
              <w:rPr>
                <w:rFonts w:hint="eastAsia" w:ascii="Times New Roman" w:hAnsi="Times New Roman" w:eastAsia="宋体" w:cs="Times New Roman"/>
                <w:kern w:val="2"/>
                <w:sz w:val="21"/>
                <w:szCs w:val="15"/>
                <w:highlight w:val="none"/>
                <w:lang w:val="en-US" w:eastAsia="zh-CN" w:bidi="ar-SA"/>
              </w:rPr>
              <w:t>5、增加L-苯丙氨酸用物料L-酪氨酸（YS026)生产商和经销商均为：河北华恒生物科技有限公司</w:t>
            </w:r>
          </w:p>
        </w:tc>
        <w:tc>
          <w:tcPr>
            <w:tcW w:w="1487" w:type="dxa"/>
            <w:vAlign w:val="center"/>
          </w:tcPr>
          <w:p w14:paraId="519F8B6D">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sz w:val="21"/>
                <w:szCs w:val="15"/>
                <w:highlight w:val="none"/>
                <w:lang w:val="en-US" w:eastAsia="zh-CN"/>
              </w:rPr>
              <w:t>中度变更</w:t>
            </w:r>
          </w:p>
        </w:tc>
        <w:tc>
          <w:tcPr>
            <w:tcW w:w="1431" w:type="dxa"/>
            <w:vAlign w:val="center"/>
          </w:tcPr>
          <w:p w14:paraId="12DC5A7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2024.12.13</w:t>
            </w:r>
          </w:p>
        </w:tc>
        <w:tc>
          <w:tcPr>
            <w:tcW w:w="1514" w:type="dxa"/>
            <w:vAlign w:val="center"/>
          </w:tcPr>
          <w:p w14:paraId="1B5EA82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2024.12.26</w:t>
            </w:r>
          </w:p>
        </w:tc>
        <w:tc>
          <w:tcPr>
            <w:tcW w:w="1391" w:type="dxa"/>
            <w:vAlign w:val="center"/>
          </w:tcPr>
          <w:p w14:paraId="4887FA1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2025.04.10</w:t>
            </w:r>
          </w:p>
        </w:tc>
        <w:tc>
          <w:tcPr>
            <w:tcW w:w="1268" w:type="dxa"/>
            <w:vAlign w:val="center"/>
          </w:tcPr>
          <w:p w14:paraId="4C3FBD7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15"/>
                <w:highlight w:val="none"/>
                <w:lang w:val="en-US" w:eastAsia="zh-CN"/>
              </w:rPr>
              <w:t>正在进行</w:t>
            </w:r>
          </w:p>
        </w:tc>
      </w:tr>
      <w:tr w14:paraId="6861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208DD4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C05C8E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BG-2412020</w:t>
            </w:r>
          </w:p>
        </w:tc>
        <w:tc>
          <w:tcPr>
            <w:tcW w:w="1377" w:type="dxa"/>
            <w:vAlign w:val="center"/>
          </w:tcPr>
          <w:p w14:paraId="14ECD0B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QA</w:t>
            </w:r>
          </w:p>
        </w:tc>
        <w:tc>
          <w:tcPr>
            <w:tcW w:w="2395" w:type="dxa"/>
            <w:vAlign w:val="center"/>
          </w:tcPr>
          <w:p w14:paraId="474ECD6E">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洛伐他汀增加粗品质量标准</w:t>
            </w:r>
          </w:p>
        </w:tc>
        <w:tc>
          <w:tcPr>
            <w:tcW w:w="2959" w:type="dxa"/>
            <w:vAlign w:val="center"/>
          </w:tcPr>
          <w:p w14:paraId="47959C8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新增洛伐他汀客户（LUPIN）粗品质量标准</w:t>
            </w:r>
          </w:p>
        </w:tc>
        <w:tc>
          <w:tcPr>
            <w:tcW w:w="1487" w:type="dxa"/>
            <w:vAlign w:val="center"/>
          </w:tcPr>
          <w:p w14:paraId="1375659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8582D8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514" w:type="dxa"/>
            <w:vAlign w:val="center"/>
          </w:tcPr>
          <w:p w14:paraId="1431BFE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391" w:type="dxa"/>
            <w:vAlign w:val="center"/>
          </w:tcPr>
          <w:p w14:paraId="01200A0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2025.06.17</w:t>
            </w:r>
          </w:p>
        </w:tc>
        <w:tc>
          <w:tcPr>
            <w:tcW w:w="1268" w:type="dxa"/>
            <w:vAlign w:val="center"/>
          </w:tcPr>
          <w:p w14:paraId="71486FC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7B8D4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D121C3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97FD69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BG-2412021</w:t>
            </w:r>
          </w:p>
        </w:tc>
        <w:tc>
          <w:tcPr>
            <w:tcW w:w="1377" w:type="dxa"/>
            <w:vAlign w:val="center"/>
          </w:tcPr>
          <w:p w14:paraId="45B9E86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采购部</w:t>
            </w:r>
          </w:p>
        </w:tc>
        <w:tc>
          <w:tcPr>
            <w:tcW w:w="2395" w:type="dxa"/>
            <w:vAlign w:val="center"/>
          </w:tcPr>
          <w:p w14:paraId="008BB169">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增加多拉菌素用物料食用葡萄糖（YS001）、棉籽蛋白(YS009)、食用玉米淀粉(YS010)、高温黄豆饼粉(YS052)、铝塑复合膜袋(BO011)生产商和经销商</w:t>
            </w:r>
          </w:p>
        </w:tc>
        <w:tc>
          <w:tcPr>
            <w:tcW w:w="2959" w:type="dxa"/>
            <w:vAlign w:val="center"/>
          </w:tcPr>
          <w:p w14:paraId="4F39797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1、增加多拉菌素用物料棉籽蛋白（YS009）生产商和经销商为：内蒙古金弘源生物科技有限公司；</w:t>
            </w:r>
          </w:p>
          <w:p w14:paraId="6571A67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2、增加多拉菌素用物料食用玉米淀粉的生产商和经销商为：河北广玉淀粉糖业有限公司</w:t>
            </w:r>
          </w:p>
          <w:p w14:paraId="1560DED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3、增加多拉菌素用物料食用葡萄糖（YS001）生产商：山东祥瑞药业有限公司，其对应的经销商为：山东瑞祥医药销售有限公司。</w:t>
            </w:r>
          </w:p>
          <w:p w14:paraId="577A651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4、增加多拉菌素用物料高温黄豆饼粉(YS052)生产商和供应商均为：河南振新生物科技股份有限公司</w:t>
            </w:r>
          </w:p>
          <w:p w14:paraId="294E41F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5、增加多拉菌素用物料铝塑复合膜袋(BO011）生产商和经销商为河北赛雅包装材料有限公司</w:t>
            </w:r>
          </w:p>
        </w:tc>
        <w:tc>
          <w:tcPr>
            <w:tcW w:w="1487" w:type="dxa"/>
            <w:vAlign w:val="center"/>
          </w:tcPr>
          <w:p w14:paraId="59E9E77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37E32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514" w:type="dxa"/>
            <w:vAlign w:val="center"/>
          </w:tcPr>
          <w:p w14:paraId="203757E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2024.12.26</w:t>
            </w:r>
          </w:p>
        </w:tc>
        <w:tc>
          <w:tcPr>
            <w:tcW w:w="1391" w:type="dxa"/>
            <w:vAlign w:val="center"/>
          </w:tcPr>
          <w:p w14:paraId="2F13989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2025.06.04</w:t>
            </w:r>
          </w:p>
        </w:tc>
        <w:tc>
          <w:tcPr>
            <w:tcW w:w="1268" w:type="dxa"/>
            <w:vAlign w:val="center"/>
          </w:tcPr>
          <w:p w14:paraId="415E07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02E9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D9B0BC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D50703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BG-2412022</w:t>
            </w:r>
          </w:p>
        </w:tc>
        <w:tc>
          <w:tcPr>
            <w:tcW w:w="1377" w:type="dxa"/>
            <w:vAlign w:val="center"/>
          </w:tcPr>
          <w:p w14:paraId="2FB4EAF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采购部</w:t>
            </w:r>
          </w:p>
        </w:tc>
        <w:tc>
          <w:tcPr>
            <w:tcW w:w="2395" w:type="dxa"/>
            <w:vAlign w:val="center"/>
          </w:tcPr>
          <w:p w14:paraId="24229E4A">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增加L-色氨酸用物料活性炭（YS015）、食用葡萄糖（YS606）生产商和经销商</w:t>
            </w:r>
          </w:p>
        </w:tc>
        <w:tc>
          <w:tcPr>
            <w:tcW w:w="2959" w:type="dxa"/>
            <w:vAlign w:val="center"/>
          </w:tcPr>
          <w:p w14:paraId="4A7A3A97">
            <w:pPr>
              <w:keepNext w:val="0"/>
              <w:keepLines w:val="0"/>
              <w:pageBreakBefore w:val="0"/>
              <w:widowControl w:val="0"/>
              <w:numPr>
                <w:ilvl w:val="0"/>
                <w:numId w:val="2"/>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2个L-色氨酸用物料食用葡萄糖（YS606）生产商和经销商，（1）生产商：绥化象屿金谷生化有限公司，其对应的经销商为：黑龙江金象生化有限责任公司；（2）增加L-色氨酸发酵用物料食用葡萄糖（YS606）生产商：山东祥瑞药业有限公司，其对应的经销商为：山东瑞祥医药销售有限公司。</w:t>
            </w:r>
          </w:p>
          <w:p w14:paraId="37DEA5B2">
            <w:pPr>
              <w:keepNext w:val="0"/>
              <w:keepLines w:val="0"/>
              <w:pageBreakBefore w:val="0"/>
              <w:widowControl w:val="0"/>
              <w:numPr>
                <w:ilvl w:val="0"/>
                <w:numId w:val="2"/>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增加L-色氨酸用物料活性炭（YS015）生产商为：玉山县三清活性炭有限公司，经销商：江西三山活性炭有限公司</w:t>
            </w:r>
          </w:p>
        </w:tc>
        <w:tc>
          <w:tcPr>
            <w:tcW w:w="1487" w:type="dxa"/>
            <w:vAlign w:val="center"/>
          </w:tcPr>
          <w:p w14:paraId="550B291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69BE9A4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514" w:type="dxa"/>
            <w:vAlign w:val="center"/>
          </w:tcPr>
          <w:p w14:paraId="7069B99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2024.12.26</w:t>
            </w:r>
          </w:p>
        </w:tc>
        <w:tc>
          <w:tcPr>
            <w:tcW w:w="1391" w:type="dxa"/>
            <w:vAlign w:val="center"/>
          </w:tcPr>
          <w:p w14:paraId="5150BB1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2025.04.10</w:t>
            </w:r>
          </w:p>
        </w:tc>
        <w:tc>
          <w:tcPr>
            <w:tcW w:w="1268" w:type="dxa"/>
            <w:vAlign w:val="center"/>
          </w:tcPr>
          <w:p w14:paraId="1FC97B2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1747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B4BAC4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8AE00C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BG-2412024</w:t>
            </w:r>
          </w:p>
        </w:tc>
        <w:tc>
          <w:tcPr>
            <w:tcW w:w="1377" w:type="dxa"/>
            <w:vAlign w:val="center"/>
          </w:tcPr>
          <w:p w14:paraId="5ACB579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采购部</w:t>
            </w:r>
          </w:p>
        </w:tc>
        <w:tc>
          <w:tcPr>
            <w:tcW w:w="2395" w:type="dxa"/>
            <w:vAlign w:val="center"/>
          </w:tcPr>
          <w:p w14:paraId="0EA98FB3">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增加洛伐他汀发酵用物料棉籽蛋白（YS009）、食用玉米淀粉（YS010）生产商和经销商</w:t>
            </w:r>
          </w:p>
        </w:tc>
        <w:tc>
          <w:tcPr>
            <w:tcW w:w="2959" w:type="dxa"/>
            <w:vAlign w:val="center"/>
          </w:tcPr>
          <w:p w14:paraId="6F3FFE8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1、增加洛伐他汀发酵用物料棉籽蛋白（YS009）生产商和经销商为：内蒙古金弘源生物科技有限公司；</w:t>
            </w:r>
          </w:p>
          <w:p w14:paraId="4DC6463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2、增加洛伐他汀发酵用物料食用玉米淀粉（YS010）的生产商和经销商为：河北广玉淀粉糖业有限公司</w:t>
            </w:r>
          </w:p>
        </w:tc>
        <w:tc>
          <w:tcPr>
            <w:tcW w:w="1487" w:type="dxa"/>
            <w:vAlign w:val="center"/>
          </w:tcPr>
          <w:p w14:paraId="0608F39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8AE347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514" w:type="dxa"/>
            <w:vAlign w:val="center"/>
          </w:tcPr>
          <w:p w14:paraId="497BFE4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2024.12.26</w:t>
            </w:r>
          </w:p>
        </w:tc>
        <w:tc>
          <w:tcPr>
            <w:tcW w:w="1391" w:type="dxa"/>
            <w:vAlign w:val="center"/>
          </w:tcPr>
          <w:p w14:paraId="5A2962E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2025.03.01</w:t>
            </w:r>
          </w:p>
        </w:tc>
        <w:tc>
          <w:tcPr>
            <w:tcW w:w="1268" w:type="dxa"/>
            <w:vAlign w:val="center"/>
          </w:tcPr>
          <w:p w14:paraId="28BBEB4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4EEA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52A743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B9C2A2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BG-2412025</w:t>
            </w:r>
          </w:p>
        </w:tc>
        <w:tc>
          <w:tcPr>
            <w:tcW w:w="1377" w:type="dxa"/>
            <w:vAlign w:val="center"/>
          </w:tcPr>
          <w:p w14:paraId="1AA21B0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采购部</w:t>
            </w:r>
          </w:p>
        </w:tc>
        <w:tc>
          <w:tcPr>
            <w:tcW w:w="2395" w:type="dxa"/>
            <w:vAlign w:val="center"/>
          </w:tcPr>
          <w:p w14:paraId="549C50F6">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增加盐酸林可霉素用物料食用玉米淀粉（YS010）、硝酸钠(YS405)、氯化铵(YS406)生产商和经销商</w:t>
            </w:r>
          </w:p>
        </w:tc>
        <w:tc>
          <w:tcPr>
            <w:tcW w:w="2959" w:type="dxa"/>
            <w:vAlign w:val="center"/>
          </w:tcPr>
          <w:p w14:paraId="0208CA2B">
            <w:pPr>
              <w:keepNext w:val="0"/>
              <w:keepLines w:val="0"/>
              <w:pageBreakBefore w:val="0"/>
              <w:widowControl w:val="0"/>
              <w:numPr>
                <w:ilvl w:val="0"/>
                <w:numId w:val="3"/>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增加盐酸林可霉素用物料食用玉米淀粉（YS010）生产商和经销商均为：河北广玉淀粉糖业有限公司</w:t>
            </w:r>
          </w:p>
          <w:p w14:paraId="72A2E586">
            <w:pPr>
              <w:keepNext w:val="0"/>
              <w:keepLines w:val="0"/>
              <w:pageBreakBefore w:val="0"/>
              <w:widowControl w:val="0"/>
              <w:numPr>
                <w:ilvl w:val="0"/>
                <w:numId w:val="3"/>
              </w:numPr>
              <w:suppressLineNumbers w:val="0"/>
              <w:tabs>
                <w:tab w:val="center" w:pos="1371"/>
              </w:tabs>
              <w:kinsoku/>
              <w:wordWrap/>
              <w:overflowPunct/>
              <w:topLinePunct w:val="0"/>
              <w:autoSpaceDE/>
              <w:autoSpaceDN/>
              <w:bidi w:val="0"/>
              <w:adjustRightInd/>
              <w:snapToGrid/>
              <w:spacing w:before="0" w:beforeAutospacing="0" w:after="0" w:afterAutospacing="0"/>
              <w:ind w:left="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增加盐酸林可霉素用物料硝酸钠(YS405)生产商为：石家庄凤山化工有限公司，经销商：宁夏尧丰化工有限公司</w:t>
            </w:r>
          </w:p>
          <w:p w14:paraId="7CF2B566">
            <w:pPr>
              <w:keepNext w:val="0"/>
              <w:keepLines w:val="0"/>
              <w:pageBreakBefore w:val="0"/>
              <w:widowControl w:val="0"/>
              <w:numPr>
                <w:ilvl w:val="0"/>
                <w:numId w:val="3"/>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增加盐酸林可霉素用物料氯化铵(YS406)生产商为：济宁市三元化工科技有限公司，经销商为：宁夏科迪工贸有限公司</w:t>
            </w:r>
          </w:p>
        </w:tc>
        <w:tc>
          <w:tcPr>
            <w:tcW w:w="1487" w:type="dxa"/>
            <w:vAlign w:val="center"/>
          </w:tcPr>
          <w:p w14:paraId="376EA90E">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EFA7DA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2024.12.25</w:t>
            </w:r>
          </w:p>
        </w:tc>
        <w:tc>
          <w:tcPr>
            <w:tcW w:w="1514" w:type="dxa"/>
            <w:vAlign w:val="center"/>
          </w:tcPr>
          <w:p w14:paraId="050C25A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2024.12.26</w:t>
            </w:r>
          </w:p>
        </w:tc>
        <w:tc>
          <w:tcPr>
            <w:tcW w:w="1391" w:type="dxa"/>
            <w:vAlign w:val="center"/>
          </w:tcPr>
          <w:p w14:paraId="3796F8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2025.04.11</w:t>
            </w:r>
          </w:p>
        </w:tc>
        <w:tc>
          <w:tcPr>
            <w:tcW w:w="1268" w:type="dxa"/>
            <w:vAlign w:val="center"/>
          </w:tcPr>
          <w:p w14:paraId="5613863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2026.02.18</w:t>
            </w:r>
          </w:p>
        </w:tc>
      </w:tr>
      <w:tr w14:paraId="5837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C1D1E4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D03F77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BG-2502013</w:t>
            </w:r>
          </w:p>
        </w:tc>
        <w:tc>
          <w:tcPr>
            <w:tcW w:w="1377" w:type="dxa"/>
            <w:vAlign w:val="center"/>
          </w:tcPr>
          <w:p w14:paraId="740FAAF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43D07BC3">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修订《2%氟苯尼考预混剂用复合编织袋质量标准》、《5%芬苯达唑粉用包装袋质量标准》</w:t>
            </w:r>
          </w:p>
        </w:tc>
        <w:tc>
          <w:tcPr>
            <w:tcW w:w="2959" w:type="dxa"/>
            <w:vAlign w:val="center"/>
          </w:tcPr>
          <w:p w14:paraId="36556821">
            <w:pPr>
              <w:keepNext w:val="0"/>
              <w:keepLines w:val="0"/>
              <w:pageBreakBefore w:val="0"/>
              <w:widowControl w:val="0"/>
              <w:numPr>
                <w:ilvl w:val="0"/>
                <w:numId w:val="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根据生产需求，将2%氟苯尼考预混剂用复合包装袋的内袋、中袋、外袋的外观、材质鉴别、尺寸检验项目进行变更，并增加袋重的检测项目</w:t>
            </w:r>
          </w:p>
          <w:p w14:paraId="4217C04E">
            <w:pPr>
              <w:keepNext w:val="0"/>
              <w:keepLines w:val="0"/>
              <w:pageBreakBefore w:val="0"/>
              <w:widowControl w:val="0"/>
              <w:numPr>
                <w:ilvl w:val="0"/>
                <w:numId w:val="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将《5%芬苯达唑粉剂用包装袋（BI613）质量标准》名称变更为《聚乙烯袋（BI613）质量标准》，并将5%芬苯达唑粉剂用内袋质量标准中外观、材质鉴别、尺寸检验项目进行变更并增加袋重的检测项目</w:t>
            </w:r>
          </w:p>
          <w:p w14:paraId="019C6ACD">
            <w:pPr>
              <w:keepNext w:val="0"/>
              <w:keepLines w:val="0"/>
              <w:pageBreakBefore w:val="0"/>
              <w:widowControl w:val="0"/>
              <w:numPr>
                <w:ilvl w:val="0"/>
                <w:numId w:val="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新制定5%芬苯达唑粉用外袋质量标准</w:t>
            </w:r>
          </w:p>
        </w:tc>
        <w:tc>
          <w:tcPr>
            <w:tcW w:w="1487" w:type="dxa"/>
            <w:vAlign w:val="center"/>
          </w:tcPr>
          <w:p w14:paraId="557380D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0C0761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2025.02.24</w:t>
            </w:r>
          </w:p>
        </w:tc>
        <w:tc>
          <w:tcPr>
            <w:tcW w:w="1514" w:type="dxa"/>
            <w:vAlign w:val="center"/>
          </w:tcPr>
          <w:p w14:paraId="1C284CC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2025.02.25</w:t>
            </w:r>
          </w:p>
        </w:tc>
        <w:tc>
          <w:tcPr>
            <w:tcW w:w="1391" w:type="dxa"/>
            <w:vAlign w:val="center"/>
          </w:tcPr>
          <w:p w14:paraId="7BDDABC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2025.03.01</w:t>
            </w:r>
          </w:p>
        </w:tc>
        <w:tc>
          <w:tcPr>
            <w:tcW w:w="1268" w:type="dxa"/>
            <w:vAlign w:val="center"/>
          </w:tcPr>
          <w:p w14:paraId="02DDC48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2026.01.27</w:t>
            </w:r>
          </w:p>
        </w:tc>
      </w:tr>
      <w:tr w14:paraId="51C3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DBED8A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642FB2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BG-2504007</w:t>
            </w:r>
          </w:p>
        </w:tc>
        <w:tc>
          <w:tcPr>
            <w:tcW w:w="1377" w:type="dxa"/>
            <w:vAlign w:val="center"/>
          </w:tcPr>
          <w:p w14:paraId="07BFEA7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5DF0613">
            <w:pPr>
              <w:keepNext w:val="0"/>
              <w:keepLines w:val="0"/>
              <w:numPr>
                <w:ilvl w:val="0"/>
                <w:numId w:val="0"/>
              </w:numPr>
              <w:suppressLineNumbers w:val="0"/>
              <w:spacing w:before="0" w:beforeAutospacing="0" w:after="0" w:afterAutospacing="0"/>
              <w:ind w:left="0" w:leftChars="0" w:right="0" w:rightChars="0" w:firstLine="0" w:firstLineChars="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修订《霉酚酸成品检验标准操作规程（内控）》SOP-QC(MC)-001/12、《霉酚酸高规成品检验标准操作规程》SOP-QC(MC)-002/11</w:t>
            </w:r>
          </w:p>
        </w:tc>
        <w:tc>
          <w:tcPr>
            <w:tcW w:w="2959" w:type="dxa"/>
            <w:vAlign w:val="center"/>
          </w:tcPr>
          <w:p w14:paraId="57DE973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根据USP药典，将霉酚酸内控检验操作规程中RSD由“≤2.0%”变更为“≤1.10%”；将霉酚酸高规检验标准操作规程中由“≤2.0%”变更为“≤0.73%”</w:t>
            </w:r>
          </w:p>
        </w:tc>
        <w:tc>
          <w:tcPr>
            <w:tcW w:w="1487" w:type="dxa"/>
            <w:vAlign w:val="center"/>
          </w:tcPr>
          <w:p w14:paraId="7ACA15C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9878E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sz w:val="21"/>
                <w:szCs w:val="15"/>
                <w:highlight w:val="none"/>
                <w:lang w:val="en-US" w:eastAsia="zh-CN"/>
              </w:rPr>
              <w:t>2025.04.23</w:t>
            </w:r>
          </w:p>
        </w:tc>
        <w:tc>
          <w:tcPr>
            <w:tcW w:w="1514" w:type="dxa"/>
            <w:vAlign w:val="center"/>
          </w:tcPr>
          <w:p w14:paraId="5A512ED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2025.04.25</w:t>
            </w:r>
          </w:p>
        </w:tc>
        <w:tc>
          <w:tcPr>
            <w:tcW w:w="1391" w:type="dxa"/>
            <w:vAlign w:val="center"/>
          </w:tcPr>
          <w:p w14:paraId="613E14B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2025.08.25</w:t>
            </w:r>
          </w:p>
        </w:tc>
        <w:tc>
          <w:tcPr>
            <w:tcW w:w="1268" w:type="dxa"/>
            <w:vAlign w:val="center"/>
          </w:tcPr>
          <w:p w14:paraId="4F0155E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5AC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70305A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1B499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BG-2507009</w:t>
            </w:r>
          </w:p>
        </w:tc>
        <w:tc>
          <w:tcPr>
            <w:tcW w:w="1377" w:type="dxa"/>
            <w:vAlign w:val="center"/>
          </w:tcPr>
          <w:p w14:paraId="718B754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5AF9417F">
            <w:pPr>
              <w:keepNext w:val="0"/>
              <w:keepLines w:val="0"/>
              <w:widowControl/>
              <w:suppressLineNumbers w:val="0"/>
              <w:jc w:val="both"/>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sz w:val="21"/>
                <w:szCs w:val="15"/>
                <w:highlight w:val="none"/>
                <w:lang w:val="en-US" w:eastAsia="zh-CN"/>
              </w:rPr>
              <w:t>对2%氟苯尼考预混剂混合机电子报表格式进行优化</w:t>
            </w:r>
          </w:p>
        </w:tc>
        <w:tc>
          <w:tcPr>
            <w:tcW w:w="2959" w:type="dxa"/>
            <w:vAlign w:val="center"/>
          </w:tcPr>
          <w:p w14:paraId="71CB8E9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根据工艺要求，重新设计</w:t>
            </w:r>
            <w:r>
              <w:rPr>
                <w:rFonts w:hint="eastAsia" w:ascii="Times New Roman" w:hAnsi="Times New Roman" w:eastAsia="宋体" w:cs="Times New Roman"/>
                <w:sz w:val="21"/>
                <w:szCs w:val="15"/>
                <w:highlight w:val="none"/>
                <w:lang w:val="en-US" w:eastAsia="zh-CN"/>
              </w:rPr>
              <w:t>2%氟苯尼考预混剂混合机电子报表格式</w:t>
            </w:r>
          </w:p>
        </w:tc>
        <w:tc>
          <w:tcPr>
            <w:tcW w:w="1487" w:type="dxa"/>
            <w:vAlign w:val="center"/>
          </w:tcPr>
          <w:p w14:paraId="3BEB7A0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CE6798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2025.07.22</w:t>
            </w:r>
          </w:p>
        </w:tc>
        <w:tc>
          <w:tcPr>
            <w:tcW w:w="1514" w:type="dxa"/>
            <w:vAlign w:val="center"/>
          </w:tcPr>
          <w:p w14:paraId="18ACA01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sz w:val="21"/>
                <w:szCs w:val="15"/>
                <w:highlight w:val="none"/>
                <w:lang w:val="en-US" w:eastAsia="zh-CN"/>
              </w:rPr>
              <w:t>2025.07.22</w:t>
            </w:r>
          </w:p>
        </w:tc>
        <w:tc>
          <w:tcPr>
            <w:tcW w:w="1391" w:type="dxa"/>
            <w:vAlign w:val="center"/>
          </w:tcPr>
          <w:p w14:paraId="4C2FDC5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2026.03.03 </w:t>
            </w:r>
          </w:p>
        </w:tc>
        <w:tc>
          <w:tcPr>
            <w:tcW w:w="1268" w:type="dxa"/>
            <w:vAlign w:val="center"/>
          </w:tcPr>
          <w:p w14:paraId="7B9FC3E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2026.03.04</w:t>
            </w:r>
          </w:p>
        </w:tc>
      </w:tr>
      <w:tr w14:paraId="223D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4ABDC6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869FFB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BG-2508005</w:t>
            </w:r>
          </w:p>
        </w:tc>
        <w:tc>
          <w:tcPr>
            <w:tcW w:w="1377" w:type="dxa"/>
            <w:vAlign w:val="center"/>
          </w:tcPr>
          <w:p w14:paraId="536A270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60D6D918">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电子秤、电子台秤称量前增加最小值、中间值校正点</w:t>
            </w:r>
          </w:p>
        </w:tc>
        <w:tc>
          <w:tcPr>
            <w:tcW w:w="2959" w:type="dxa"/>
            <w:vAlign w:val="center"/>
          </w:tcPr>
          <w:p w14:paraId="41BFEB3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sz w:val="21"/>
                <w:szCs w:val="15"/>
                <w:highlight w:val="none"/>
                <w:lang w:val="en-US" w:eastAsia="zh-CN"/>
              </w:rPr>
              <w:t>增加201一车间、201二车间、202车间电子秤、电子台秤称量前最小值、中间值校正点</w:t>
            </w:r>
          </w:p>
        </w:tc>
        <w:tc>
          <w:tcPr>
            <w:tcW w:w="1487" w:type="dxa"/>
            <w:vAlign w:val="center"/>
          </w:tcPr>
          <w:p w14:paraId="373739C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5E90A0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2025.08.16</w:t>
            </w:r>
          </w:p>
        </w:tc>
        <w:tc>
          <w:tcPr>
            <w:tcW w:w="1514" w:type="dxa"/>
            <w:vAlign w:val="center"/>
          </w:tcPr>
          <w:p w14:paraId="7A823FA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cs="Times New Roman"/>
                <w:sz w:val="21"/>
                <w:szCs w:val="15"/>
                <w:highlight w:val="none"/>
                <w:lang w:val="en-US" w:eastAsia="zh-CN"/>
              </w:rPr>
              <w:t>2025.08.20</w:t>
            </w:r>
          </w:p>
        </w:tc>
        <w:tc>
          <w:tcPr>
            <w:tcW w:w="1391" w:type="dxa"/>
            <w:vAlign w:val="center"/>
          </w:tcPr>
          <w:p w14:paraId="647D947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2025.09.01</w:t>
            </w:r>
          </w:p>
        </w:tc>
        <w:tc>
          <w:tcPr>
            <w:tcW w:w="1268" w:type="dxa"/>
            <w:vAlign w:val="center"/>
          </w:tcPr>
          <w:p w14:paraId="78D54D3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58B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6112D6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E7E679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BG-2509002</w:t>
            </w:r>
          </w:p>
        </w:tc>
        <w:tc>
          <w:tcPr>
            <w:tcW w:w="1377" w:type="dxa"/>
            <w:vAlign w:val="center"/>
          </w:tcPr>
          <w:p w14:paraId="59ACFEA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7CD9DCA1">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《多拉菌素客户质量标准》DR-K19/01</w:t>
            </w:r>
          </w:p>
        </w:tc>
        <w:tc>
          <w:tcPr>
            <w:tcW w:w="2959" w:type="dxa"/>
            <w:vAlign w:val="center"/>
          </w:tcPr>
          <w:p w14:paraId="508D36A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将杂质4标准由“≤0.5%”变更为“≤0.50%”；杂质5“≤0.5%”变更为“≤0.50%”；杂质7“≤0.8%”变更为“≤0.80%”；总杂质“≤5.5%”变更为“≤5.0%”</w:t>
            </w:r>
          </w:p>
        </w:tc>
        <w:tc>
          <w:tcPr>
            <w:tcW w:w="1487" w:type="dxa"/>
            <w:vAlign w:val="center"/>
          </w:tcPr>
          <w:p w14:paraId="7A8FB0D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A980D4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2025.09.09</w:t>
            </w:r>
          </w:p>
        </w:tc>
        <w:tc>
          <w:tcPr>
            <w:tcW w:w="1514" w:type="dxa"/>
            <w:vAlign w:val="center"/>
          </w:tcPr>
          <w:p w14:paraId="0E9CCB8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2025.09.10</w:t>
            </w:r>
          </w:p>
        </w:tc>
        <w:tc>
          <w:tcPr>
            <w:tcW w:w="1391" w:type="dxa"/>
            <w:vAlign w:val="center"/>
          </w:tcPr>
          <w:p w14:paraId="59D3436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2025.09.12</w:t>
            </w:r>
          </w:p>
        </w:tc>
        <w:tc>
          <w:tcPr>
            <w:tcW w:w="1268" w:type="dxa"/>
            <w:vAlign w:val="center"/>
          </w:tcPr>
          <w:p w14:paraId="1CFA30B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B1B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94C2A5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AE2BAF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BG-2509003</w:t>
            </w:r>
          </w:p>
        </w:tc>
        <w:tc>
          <w:tcPr>
            <w:tcW w:w="1377" w:type="dxa"/>
            <w:vAlign w:val="center"/>
          </w:tcPr>
          <w:p w14:paraId="07C4223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7B26F7C6">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关于霉酚酸成品批量变更</w:t>
            </w:r>
          </w:p>
        </w:tc>
        <w:tc>
          <w:tcPr>
            <w:tcW w:w="2959" w:type="dxa"/>
            <w:vAlign w:val="center"/>
          </w:tcPr>
          <w:p w14:paraId="5F2B59C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将霉酚酸每批成品产量应为“400~1800㎏”变更为“1600~2160”</w:t>
            </w:r>
          </w:p>
        </w:tc>
        <w:tc>
          <w:tcPr>
            <w:tcW w:w="1487" w:type="dxa"/>
            <w:vAlign w:val="center"/>
          </w:tcPr>
          <w:p w14:paraId="4EFF30C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787013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2025.09.17</w:t>
            </w:r>
          </w:p>
        </w:tc>
        <w:tc>
          <w:tcPr>
            <w:tcW w:w="1514" w:type="dxa"/>
            <w:vAlign w:val="center"/>
          </w:tcPr>
          <w:p w14:paraId="12B78BB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2025.09.22</w:t>
            </w:r>
          </w:p>
        </w:tc>
        <w:tc>
          <w:tcPr>
            <w:tcW w:w="1391" w:type="dxa"/>
            <w:vAlign w:val="center"/>
          </w:tcPr>
          <w:p w14:paraId="41C2BA2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2025.10.01</w:t>
            </w:r>
          </w:p>
        </w:tc>
        <w:tc>
          <w:tcPr>
            <w:tcW w:w="1268" w:type="dxa"/>
            <w:vAlign w:val="center"/>
          </w:tcPr>
          <w:p w14:paraId="5170093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6D5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E76D93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415FEB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BG-2509007</w:t>
            </w:r>
          </w:p>
        </w:tc>
        <w:tc>
          <w:tcPr>
            <w:tcW w:w="1377" w:type="dxa"/>
            <w:vAlign w:val="center"/>
          </w:tcPr>
          <w:p w14:paraId="01996C6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657037E5">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将《美伐他汀（康百汀）成品检验标准操作规程（BT）》SOP-QC(MV)-004/09</w:t>
            </w:r>
          </w:p>
        </w:tc>
        <w:tc>
          <w:tcPr>
            <w:tcW w:w="2959" w:type="dxa"/>
            <w:vAlign w:val="center"/>
          </w:tcPr>
          <w:p w14:paraId="681B2E1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此次变更主要将运行时间变更为4.86min/针，检验批次由6批变更为8批，稀释剂由二甲基亚砜变更为N,N-二甲基亚酰胺</w:t>
            </w:r>
          </w:p>
        </w:tc>
        <w:tc>
          <w:tcPr>
            <w:tcW w:w="1487" w:type="dxa"/>
            <w:vAlign w:val="center"/>
          </w:tcPr>
          <w:p w14:paraId="21152104">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545DBFD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2025.09.22</w:t>
            </w:r>
          </w:p>
        </w:tc>
        <w:tc>
          <w:tcPr>
            <w:tcW w:w="1514" w:type="dxa"/>
            <w:vAlign w:val="center"/>
          </w:tcPr>
          <w:p w14:paraId="7DA3C53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2025.09.23</w:t>
            </w:r>
          </w:p>
        </w:tc>
        <w:tc>
          <w:tcPr>
            <w:tcW w:w="1391" w:type="dxa"/>
            <w:vAlign w:val="center"/>
          </w:tcPr>
          <w:p w14:paraId="4D42B97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2025.11.09</w:t>
            </w:r>
          </w:p>
        </w:tc>
        <w:tc>
          <w:tcPr>
            <w:tcW w:w="1268" w:type="dxa"/>
            <w:vAlign w:val="center"/>
          </w:tcPr>
          <w:p w14:paraId="67E1B48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r>
      <w:tr w14:paraId="58D2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0CA716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2539E4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BG-2509011</w:t>
            </w:r>
          </w:p>
        </w:tc>
        <w:tc>
          <w:tcPr>
            <w:tcW w:w="1377" w:type="dxa"/>
            <w:vAlign w:val="center"/>
          </w:tcPr>
          <w:p w14:paraId="3662D9B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69DED754">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修订《液相色谱仪校验操作规程》SOP-QC-102/04，同时撤销《超高效液相色谱仪校验操作规程》SOP-QC-123/01</w:t>
            </w:r>
          </w:p>
        </w:tc>
        <w:tc>
          <w:tcPr>
            <w:tcW w:w="2959" w:type="dxa"/>
            <w:vAlign w:val="center"/>
          </w:tcPr>
          <w:p w14:paraId="226260E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根据欧洲官方药品控制实验通用原则，修订我司液相色谱仪校验操作规程</w:t>
            </w:r>
          </w:p>
        </w:tc>
        <w:tc>
          <w:tcPr>
            <w:tcW w:w="1487" w:type="dxa"/>
            <w:vAlign w:val="center"/>
          </w:tcPr>
          <w:p w14:paraId="6F56284E">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F4D413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2025.09.25</w:t>
            </w:r>
          </w:p>
        </w:tc>
        <w:tc>
          <w:tcPr>
            <w:tcW w:w="1514" w:type="dxa"/>
            <w:vAlign w:val="center"/>
          </w:tcPr>
          <w:p w14:paraId="1F7B40F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sz w:val="21"/>
                <w:szCs w:val="15"/>
                <w:highlight w:val="none"/>
                <w:lang w:val="en-US" w:eastAsia="zh-CN"/>
              </w:rPr>
              <w:t>2025.09.29</w:t>
            </w:r>
          </w:p>
        </w:tc>
        <w:tc>
          <w:tcPr>
            <w:tcW w:w="1391" w:type="dxa"/>
            <w:vAlign w:val="center"/>
          </w:tcPr>
          <w:p w14:paraId="1333A92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2025.10.20</w:t>
            </w:r>
          </w:p>
        </w:tc>
        <w:tc>
          <w:tcPr>
            <w:tcW w:w="1268" w:type="dxa"/>
            <w:vAlign w:val="center"/>
          </w:tcPr>
          <w:p w14:paraId="565D73D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1007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6EEC7A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C7673A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BG-2509012</w:t>
            </w:r>
          </w:p>
        </w:tc>
        <w:tc>
          <w:tcPr>
            <w:tcW w:w="1377" w:type="dxa"/>
            <w:vAlign w:val="center"/>
          </w:tcPr>
          <w:p w14:paraId="18C33BC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DE42B05">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修订《气相色谱仪校验操作规程》SOP-QC-101/06</w:t>
            </w:r>
          </w:p>
        </w:tc>
        <w:tc>
          <w:tcPr>
            <w:tcW w:w="2959" w:type="dxa"/>
            <w:vAlign w:val="center"/>
          </w:tcPr>
          <w:p w14:paraId="217F32B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根据欧洲官方药品控制实验通用原则，修订我司气相色谱仪校验操作规程</w:t>
            </w:r>
          </w:p>
        </w:tc>
        <w:tc>
          <w:tcPr>
            <w:tcW w:w="1487" w:type="dxa"/>
            <w:vAlign w:val="center"/>
          </w:tcPr>
          <w:p w14:paraId="1463456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1A6235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2025.09.25</w:t>
            </w:r>
          </w:p>
        </w:tc>
        <w:tc>
          <w:tcPr>
            <w:tcW w:w="1514" w:type="dxa"/>
            <w:vAlign w:val="center"/>
          </w:tcPr>
          <w:p w14:paraId="2F15FD6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2025.09.29</w:t>
            </w:r>
          </w:p>
        </w:tc>
        <w:tc>
          <w:tcPr>
            <w:tcW w:w="1391" w:type="dxa"/>
            <w:vAlign w:val="center"/>
          </w:tcPr>
          <w:p w14:paraId="15EBC64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2025.10.20</w:t>
            </w:r>
          </w:p>
        </w:tc>
        <w:tc>
          <w:tcPr>
            <w:tcW w:w="1268" w:type="dxa"/>
            <w:vAlign w:val="center"/>
          </w:tcPr>
          <w:p w14:paraId="2255CB2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r>
      <w:tr w14:paraId="4192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A931AE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E50526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BG-2509015</w:t>
            </w:r>
          </w:p>
        </w:tc>
        <w:tc>
          <w:tcPr>
            <w:tcW w:w="1377" w:type="dxa"/>
            <w:vAlign w:val="center"/>
          </w:tcPr>
          <w:p w14:paraId="0B6DDC9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F5C13F6">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修订《多拉菌素成品检验标准操作规程》SOP-QC(DR)-202/11等3份文件</w:t>
            </w:r>
          </w:p>
        </w:tc>
        <w:tc>
          <w:tcPr>
            <w:tcW w:w="2959" w:type="dxa"/>
            <w:vAlign w:val="center"/>
          </w:tcPr>
          <w:p w14:paraId="3B8847A2">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删除与多拉G规格相关规定</w:t>
            </w:r>
          </w:p>
          <w:p w14:paraId="15B7F3AD">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将生测组样品量由“11g/袋”变更为“10g/袋”</w:t>
            </w:r>
          </w:p>
          <w:p w14:paraId="3A910962">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增加气相平衡时间</w:t>
            </w:r>
          </w:p>
          <w:p w14:paraId="0F213B44">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将部分参数名称与仪器上软件显示保持一致</w:t>
            </w:r>
          </w:p>
          <w:p w14:paraId="3245CFE7">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新增8697顶空进样器样品瓶规格、样品瓶振摇参数</w:t>
            </w:r>
          </w:p>
          <w:p w14:paraId="29438826">
            <w:pPr>
              <w:keepNext w:val="0"/>
              <w:keepLines w:val="0"/>
              <w:pageBreakBefore w:val="0"/>
              <w:widowControl w:val="0"/>
              <w:numPr>
                <w:ilvl w:val="0"/>
                <w:numId w:val="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增加溶液稳定性相关规定</w:t>
            </w:r>
          </w:p>
        </w:tc>
        <w:tc>
          <w:tcPr>
            <w:tcW w:w="1487" w:type="dxa"/>
            <w:vAlign w:val="center"/>
          </w:tcPr>
          <w:p w14:paraId="05F064E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E0955D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2025.09.29</w:t>
            </w:r>
          </w:p>
        </w:tc>
        <w:tc>
          <w:tcPr>
            <w:tcW w:w="1514" w:type="dxa"/>
            <w:vAlign w:val="center"/>
          </w:tcPr>
          <w:p w14:paraId="7C12A0F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cs="Times New Roman"/>
                <w:sz w:val="21"/>
                <w:szCs w:val="15"/>
                <w:highlight w:val="none"/>
                <w:lang w:val="en-US" w:eastAsia="zh-CN"/>
              </w:rPr>
              <w:t>2025.09.30</w:t>
            </w:r>
          </w:p>
        </w:tc>
        <w:tc>
          <w:tcPr>
            <w:tcW w:w="1391" w:type="dxa"/>
            <w:vAlign w:val="center"/>
          </w:tcPr>
          <w:p w14:paraId="08031F7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2025.10.15</w:t>
            </w:r>
          </w:p>
        </w:tc>
        <w:tc>
          <w:tcPr>
            <w:tcW w:w="1268" w:type="dxa"/>
            <w:vAlign w:val="center"/>
          </w:tcPr>
          <w:p w14:paraId="47BCDAE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正在进行   </w:t>
            </w:r>
          </w:p>
        </w:tc>
      </w:tr>
      <w:tr w14:paraId="20CC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A3E020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5665A3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BG-2509016</w:t>
            </w:r>
          </w:p>
        </w:tc>
        <w:tc>
          <w:tcPr>
            <w:tcW w:w="1377" w:type="dxa"/>
            <w:vAlign w:val="center"/>
          </w:tcPr>
          <w:p w14:paraId="42C04EF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791FE869">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增加艾默徳斯母核生产线</w:t>
            </w:r>
          </w:p>
        </w:tc>
        <w:tc>
          <w:tcPr>
            <w:tcW w:w="2959" w:type="dxa"/>
            <w:vAlign w:val="center"/>
          </w:tcPr>
          <w:p w14:paraId="1D412FB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增加艾默徳斯母核生产线</w:t>
            </w:r>
          </w:p>
        </w:tc>
        <w:tc>
          <w:tcPr>
            <w:tcW w:w="1487" w:type="dxa"/>
            <w:vAlign w:val="center"/>
          </w:tcPr>
          <w:p w14:paraId="58B3567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310C1E9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2025.09.30</w:t>
            </w:r>
          </w:p>
        </w:tc>
        <w:tc>
          <w:tcPr>
            <w:tcW w:w="1514" w:type="dxa"/>
            <w:vAlign w:val="center"/>
          </w:tcPr>
          <w:p w14:paraId="02EF793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cs="Times New Roman"/>
                <w:sz w:val="21"/>
                <w:szCs w:val="15"/>
                <w:highlight w:val="none"/>
                <w:lang w:val="en-US" w:eastAsia="zh-CN"/>
              </w:rPr>
              <w:t>2025.09.30</w:t>
            </w:r>
          </w:p>
        </w:tc>
        <w:tc>
          <w:tcPr>
            <w:tcW w:w="1391" w:type="dxa"/>
            <w:vAlign w:val="center"/>
          </w:tcPr>
          <w:p w14:paraId="68F564B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2026.04.03</w:t>
            </w:r>
          </w:p>
        </w:tc>
        <w:tc>
          <w:tcPr>
            <w:tcW w:w="1268" w:type="dxa"/>
            <w:vAlign w:val="center"/>
          </w:tcPr>
          <w:p w14:paraId="6A95211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BB2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37BCEE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39F7F2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BG-2510002</w:t>
            </w:r>
          </w:p>
        </w:tc>
        <w:tc>
          <w:tcPr>
            <w:tcW w:w="1377" w:type="dxa"/>
            <w:vAlign w:val="center"/>
          </w:tcPr>
          <w:p w14:paraId="4A632E1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15097909">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撤销101二车间多拉菌素生产线</w:t>
            </w:r>
          </w:p>
        </w:tc>
        <w:tc>
          <w:tcPr>
            <w:tcW w:w="2959" w:type="dxa"/>
            <w:vAlign w:val="center"/>
          </w:tcPr>
          <w:p w14:paraId="56F7EFF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撤销101二车间多拉菌素生产线</w:t>
            </w:r>
          </w:p>
        </w:tc>
        <w:tc>
          <w:tcPr>
            <w:tcW w:w="1487" w:type="dxa"/>
            <w:vAlign w:val="center"/>
          </w:tcPr>
          <w:p w14:paraId="2ACA677F">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5FD4D75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2025.10.14</w:t>
            </w:r>
          </w:p>
        </w:tc>
        <w:tc>
          <w:tcPr>
            <w:tcW w:w="1514" w:type="dxa"/>
            <w:vAlign w:val="center"/>
          </w:tcPr>
          <w:p w14:paraId="6C69AA6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2025.10.20</w:t>
            </w:r>
          </w:p>
        </w:tc>
        <w:tc>
          <w:tcPr>
            <w:tcW w:w="1391" w:type="dxa"/>
            <w:vAlign w:val="center"/>
          </w:tcPr>
          <w:p w14:paraId="33F6D7C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286826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678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C9447D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24B0D1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BG-2510005</w:t>
            </w:r>
          </w:p>
        </w:tc>
        <w:tc>
          <w:tcPr>
            <w:tcW w:w="1377" w:type="dxa"/>
            <w:vAlign w:val="center"/>
          </w:tcPr>
          <w:p w14:paraId="55D2C2C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101一车间</w:t>
            </w:r>
          </w:p>
        </w:tc>
        <w:tc>
          <w:tcPr>
            <w:tcW w:w="2395" w:type="dxa"/>
            <w:vAlign w:val="center"/>
          </w:tcPr>
          <w:p w14:paraId="4B642E40">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将101一车间四楼氨基酸产品摇瓶种子生产工作，转移至102一车间三楼进行</w:t>
            </w:r>
          </w:p>
        </w:tc>
        <w:tc>
          <w:tcPr>
            <w:tcW w:w="2959" w:type="dxa"/>
            <w:vAlign w:val="center"/>
          </w:tcPr>
          <w:p w14:paraId="04E3008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将101一车间四楼氨基酸产品摇瓶种子生产工作，转移至102一车间三楼进行</w:t>
            </w:r>
          </w:p>
        </w:tc>
        <w:tc>
          <w:tcPr>
            <w:tcW w:w="1487" w:type="dxa"/>
            <w:vAlign w:val="center"/>
          </w:tcPr>
          <w:p w14:paraId="3F0D7AE4">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5D3D48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2025.10.16</w:t>
            </w:r>
          </w:p>
        </w:tc>
        <w:tc>
          <w:tcPr>
            <w:tcW w:w="1514" w:type="dxa"/>
            <w:vAlign w:val="center"/>
          </w:tcPr>
          <w:p w14:paraId="2B1813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2025.10.21</w:t>
            </w:r>
          </w:p>
        </w:tc>
        <w:tc>
          <w:tcPr>
            <w:tcW w:w="1391" w:type="dxa"/>
            <w:vAlign w:val="center"/>
          </w:tcPr>
          <w:p w14:paraId="7D767D5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A56E6F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F7F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984BE3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AB8BD9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BG-2510006</w:t>
            </w:r>
          </w:p>
        </w:tc>
        <w:tc>
          <w:tcPr>
            <w:tcW w:w="1377" w:type="dxa"/>
            <w:vAlign w:val="center"/>
          </w:tcPr>
          <w:p w14:paraId="4EE13A9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068736FE">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102二车间兽药制剂生产线包装工序新增一台电子秤</w:t>
            </w:r>
          </w:p>
        </w:tc>
        <w:tc>
          <w:tcPr>
            <w:tcW w:w="2959" w:type="dxa"/>
            <w:vAlign w:val="center"/>
          </w:tcPr>
          <w:p w14:paraId="2325CEE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102二车间兽药制剂生产线包装工序新增一台电子秤</w:t>
            </w:r>
          </w:p>
        </w:tc>
        <w:tc>
          <w:tcPr>
            <w:tcW w:w="1487" w:type="dxa"/>
            <w:vAlign w:val="center"/>
          </w:tcPr>
          <w:p w14:paraId="38F41FDE">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7D09B1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2025.10.17</w:t>
            </w:r>
          </w:p>
        </w:tc>
        <w:tc>
          <w:tcPr>
            <w:tcW w:w="1514" w:type="dxa"/>
            <w:vAlign w:val="center"/>
          </w:tcPr>
          <w:p w14:paraId="7CF03C2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2025.10.22</w:t>
            </w:r>
          </w:p>
        </w:tc>
        <w:tc>
          <w:tcPr>
            <w:tcW w:w="1391" w:type="dxa"/>
            <w:vAlign w:val="center"/>
          </w:tcPr>
          <w:p w14:paraId="6560ECE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0B6970D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2026.01.04</w:t>
            </w:r>
          </w:p>
        </w:tc>
      </w:tr>
      <w:tr w14:paraId="03A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9DD9B9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3838DA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BG-2510007</w:t>
            </w:r>
          </w:p>
        </w:tc>
        <w:tc>
          <w:tcPr>
            <w:tcW w:w="1377" w:type="dxa"/>
            <w:vAlign w:val="center"/>
          </w:tcPr>
          <w:p w14:paraId="2EEAE45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0A9BA4E2">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修订《102二车间兽药制剂生产线吨包投料系统清洁标准操作规程》SOP-XT2-301/02等5份文件</w:t>
            </w:r>
          </w:p>
        </w:tc>
        <w:tc>
          <w:tcPr>
            <w:tcW w:w="2959" w:type="dxa"/>
            <w:vAlign w:val="center"/>
          </w:tcPr>
          <w:p w14:paraId="76E050DE">
            <w:pPr>
              <w:keepNext w:val="0"/>
              <w:keepLines w:val="0"/>
              <w:pageBreakBefore w:val="0"/>
              <w:widowControl w:val="0"/>
              <w:numPr>
                <w:ilvl w:val="0"/>
                <w:numId w:val="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根据已完成的清洁验证，增加对应设备的肮脏保留时间</w:t>
            </w:r>
          </w:p>
          <w:p w14:paraId="7FAFA5CF">
            <w:pPr>
              <w:keepNext w:val="0"/>
              <w:keepLines w:val="0"/>
              <w:pageBreakBefore w:val="0"/>
              <w:widowControl w:val="0"/>
              <w:numPr>
                <w:ilvl w:val="0"/>
                <w:numId w:val="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在清洁频次和条件项下增加“月度维保或年度维保后”</w:t>
            </w:r>
          </w:p>
        </w:tc>
        <w:tc>
          <w:tcPr>
            <w:tcW w:w="1487" w:type="dxa"/>
            <w:vAlign w:val="center"/>
          </w:tcPr>
          <w:p w14:paraId="5D5C84B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F77684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2025.10.20</w:t>
            </w:r>
          </w:p>
        </w:tc>
        <w:tc>
          <w:tcPr>
            <w:tcW w:w="1514" w:type="dxa"/>
            <w:vAlign w:val="center"/>
          </w:tcPr>
          <w:p w14:paraId="6363EB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2025.10.22</w:t>
            </w:r>
          </w:p>
        </w:tc>
        <w:tc>
          <w:tcPr>
            <w:tcW w:w="1391" w:type="dxa"/>
            <w:vAlign w:val="center"/>
          </w:tcPr>
          <w:p w14:paraId="5E92A8E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0B6E2DE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r>
      <w:tr w14:paraId="52F1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D165EE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C88DDD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BG-2510008</w:t>
            </w:r>
          </w:p>
        </w:tc>
        <w:tc>
          <w:tcPr>
            <w:tcW w:w="1377" w:type="dxa"/>
            <w:vAlign w:val="center"/>
          </w:tcPr>
          <w:p w14:paraId="6D988E6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61DC9C41">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将102二车间三楼过滤间板框区域旁原有物料添加室拆除，并在原有位置增加无尘投料站的变更</w:t>
            </w:r>
          </w:p>
        </w:tc>
        <w:tc>
          <w:tcPr>
            <w:tcW w:w="2959" w:type="dxa"/>
            <w:vAlign w:val="center"/>
          </w:tcPr>
          <w:p w14:paraId="1439FEB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将102二车间三楼过滤间板框区域旁原有物料添加室拆除，并在原有位置增加无尘投料站</w:t>
            </w:r>
          </w:p>
        </w:tc>
        <w:tc>
          <w:tcPr>
            <w:tcW w:w="1487" w:type="dxa"/>
            <w:vAlign w:val="center"/>
          </w:tcPr>
          <w:p w14:paraId="3573B0A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98B5C4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2025.10.20</w:t>
            </w:r>
          </w:p>
        </w:tc>
        <w:tc>
          <w:tcPr>
            <w:tcW w:w="1514" w:type="dxa"/>
            <w:vAlign w:val="center"/>
          </w:tcPr>
          <w:p w14:paraId="06EC5FF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2025.10.22</w:t>
            </w:r>
          </w:p>
        </w:tc>
        <w:tc>
          <w:tcPr>
            <w:tcW w:w="1391" w:type="dxa"/>
            <w:vAlign w:val="center"/>
          </w:tcPr>
          <w:p w14:paraId="1A6D586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c>
          <w:tcPr>
            <w:tcW w:w="1268" w:type="dxa"/>
            <w:vAlign w:val="center"/>
          </w:tcPr>
          <w:p w14:paraId="7AD8308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r>
      <w:tr w14:paraId="77CE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E97BCA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571BCD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BG-2511002</w:t>
            </w:r>
          </w:p>
        </w:tc>
        <w:tc>
          <w:tcPr>
            <w:tcW w:w="1377" w:type="dxa"/>
            <w:vAlign w:val="center"/>
          </w:tcPr>
          <w:p w14:paraId="42CE147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0ECCD2C9">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《多拉菌素客户质量标准》DR-K10/03</w:t>
            </w:r>
          </w:p>
        </w:tc>
        <w:tc>
          <w:tcPr>
            <w:tcW w:w="2959" w:type="dxa"/>
            <w:vAlign w:val="center"/>
          </w:tcPr>
          <w:p w14:paraId="69304CC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应客户需求将水分标准由“≤4.0%”变更为“≤3.0%”</w:t>
            </w:r>
          </w:p>
        </w:tc>
        <w:tc>
          <w:tcPr>
            <w:tcW w:w="1487" w:type="dxa"/>
            <w:vAlign w:val="center"/>
          </w:tcPr>
          <w:p w14:paraId="7D1A60D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B27008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2025.11.04</w:t>
            </w:r>
          </w:p>
        </w:tc>
        <w:tc>
          <w:tcPr>
            <w:tcW w:w="1514" w:type="dxa"/>
            <w:vAlign w:val="center"/>
          </w:tcPr>
          <w:p w14:paraId="3BB5DF3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2025.11.04</w:t>
            </w:r>
          </w:p>
        </w:tc>
        <w:tc>
          <w:tcPr>
            <w:tcW w:w="1391" w:type="dxa"/>
            <w:vAlign w:val="center"/>
          </w:tcPr>
          <w:p w14:paraId="723FCF1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2025.11.06</w:t>
            </w:r>
          </w:p>
        </w:tc>
        <w:tc>
          <w:tcPr>
            <w:tcW w:w="1268" w:type="dxa"/>
            <w:vAlign w:val="center"/>
          </w:tcPr>
          <w:p w14:paraId="3670BFD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06F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7C0BF8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59909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BG-2511005</w:t>
            </w:r>
          </w:p>
        </w:tc>
        <w:tc>
          <w:tcPr>
            <w:tcW w:w="1377" w:type="dxa"/>
            <w:vAlign w:val="center"/>
          </w:tcPr>
          <w:p w14:paraId="20960C3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35CF545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艾默徳斯母核产品发酵工段增加25KL发酵罐数量的变更</w:t>
            </w:r>
          </w:p>
        </w:tc>
        <w:tc>
          <w:tcPr>
            <w:tcW w:w="2959" w:type="dxa"/>
            <w:vAlign w:val="center"/>
          </w:tcPr>
          <w:p w14:paraId="3F2336B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在艾默徳斯母核发酵现有生产工艺不变的前提下，增加4台25KL发酵罐（B301、B302、B303、B304）用于艾默徳斯母核发酵培养</w:t>
            </w:r>
          </w:p>
        </w:tc>
        <w:tc>
          <w:tcPr>
            <w:tcW w:w="1487" w:type="dxa"/>
            <w:vAlign w:val="center"/>
          </w:tcPr>
          <w:p w14:paraId="559E8E44">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21E7DAC6">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2025.11.11</w:t>
            </w:r>
          </w:p>
        </w:tc>
        <w:tc>
          <w:tcPr>
            <w:tcW w:w="1514" w:type="dxa"/>
            <w:vAlign w:val="center"/>
          </w:tcPr>
          <w:p w14:paraId="1B49359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2025.11.11</w:t>
            </w:r>
          </w:p>
        </w:tc>
        <w:tc>
          <w:tcPr>
            <w:tcW w:w="1391" w:type="dxa"/>
            <w:vAlign w:val="center"/>
          </w:tcPr>
          <w:p w14:paraId="21A7662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2025.12.26</w:t>
            </w:r>
          </w:p>
        </w:tc>
        <w:tc>
          <w:tcPr>
            <w:tcW w:w="1268" w:type="dxa"/>
            <w:vAlign w:val="center"/>
          </w:tcPr>
          <w:p w14:paraId="5C1D4CD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0081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43E651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CC43A7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BG-2511006</w:t>
            </w:r>
          </w:p>
        </w:tc>
        <w:tc>
          <w:tcPr>
            <w:tcW w:w="1377" w:type="dxa"/>
            <w:vAlign w:val="center"/>
          </w:tcPr>
          <w:p w14:paraId="175B3F9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人事行政部</w:t>
            </w:r>
          </w:p>
        </w:tc>
        <w:tc>
          <w:tcPr>
            <w:tcW w:w="2395" w:type="dxa"/>
            <w:vAlign w:val="center"/>
          </w:tcPr>
          <w:p w14:paraId="60C0A091">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《虫害控制管理程序》SMP-HR-006/08</w:t>
            </w:r>
          </w:p>
        </w:tc>
        <w:tc>
          <w:tcPr>
            <w:tcW w:w="2959" w:type="dxa"/>
            <w:vAlign w:val="center"/>
          </w:tcPr>
          <w:p w14:paraId="1FF016CD">
            <w:pPr>
              <w:keepNext w:val="0"/>
              <w:keepLines w:val="0"/>
              <w:pageBreakBefore w:val="0"/>
              <w:widowControl w:val="0"/>
              <w:numPr>
                <w:ilvl w:val="0"/>
                <w:numId w:val="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将食品类产品生产车间及仓库的挡鼠板高度由50㎝变更为60㎝</w:t>
            </w:r>
          </w:p>
          <w:p w14:paraId="7D8B443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2、完善部分描述</w:t>
            </w:r>
          </w:p>
        </w:tc>
        <w:tc>
          <w:tcPr>
            <w:tcW w:w="1487" w:type="dxa"/>
            <w:vAlign w:val="center"/>
          </w:tcPr>
          <w:p w14:paraId="5F066F1A">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D616B0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2025.11.14</w:t>
            </w:r>
          </w:p>
        </w:tc>
        <w:tc>
          <w:tcPr>
            <w:tcW w:w="1514" w:type="dxa"/>
            <w:vAlign w:val="center"/>
          </w:tcPr>
          <w:p w14:paraId="61FE7A7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2025.11.17</w:t>
            </w:r>
          </w:p>
        </w:tc>
        <w:tc>
          <w:tcPr>
            <w:tcW w:w="1391" w:type="dxa"/>
            <w:vAlign w:val="center"/>
          </w:tcPr>
          <w:p w14:paraId="1DDC0C3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36E2D32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r>
      <w:tr w14:paraId="699A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E34253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00C3E7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BG-2511008</w:t>
            </w:r>
          </w:p>
        </w:tc>
        <w:tc>
          <w:tcPr>
            <w:tcW w:w="1377" w:type="dxa"/>
            <w:vAlign w:val="center"/>
          </w:tcPr>
          <w:p w14:paraId="460EF5F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074AE14A">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《340㎏集装袋（BI513）质量标准》STP-QS-513/02、《340㎏（危险品）集装袋（BI515）质量标准》STP-QS-515/03</w:t>
            </w:r>
          </w:p>
        </w:tc>
        <w:tc>
          <w:tcPr>
            <w:tcW w:w="2959" w:type="dxa"/>
            <w:vAlign w:val="center"/>
          </w:tcPr>
          <w:p w14:paraId="43FED54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在检验项目中增加“重量”，质量标准为2.8±0.3㎏</w:t>
            </w:r>
          </w:p>
        </w:tc>
        <w:tc>
          <w:tcPr>
            <w:tcW w:w="1487" w:type="dxa"/>
            <w:vAlign w:val="center"/>
          </w:tcPr>
          <w:p w14:paraId="3A652A6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5E1A4F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2025.11.25</w:t>
            </w:r>
          </w:p>
        </w:tc>
        <w:tc>
          <w:tcPr>
            <w:tcW w:w="1514" w:type="dxa"/>
            <w:vAlign w:val="center"/>
          </w:tcPr>
          <w:p w14:paraId="21B1DDF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2025.11.25</w:t>
            </w:r>
          </w:p>
        </w:tc>
        <w:tc>
          <w:tcPr>
            <w:tcW w:w="1391" w:type="dxa"/>
            <w:vAlign w:val="center"/>
          </w:tcPr>
          <w:p w14:paraId="01672A8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2025.12.05</w:t>
            </w:r>
          </w:p>
        </w:tc>
        <w:tc>
          <w:tcPr>
            <w:tcW w:w="1268" w:type="dxa"/>
            <w:vAlign w:val="center"/>
          </w:tcPr>
          <w:p w14:paraId="37C4B9F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4AC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C68036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2811F1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BG-2511010</w:t>
            </w:r>
          </w:p>
        </w:tc>
        <w:tc>
          <w:tcPr>
            <w:tcW w:w="1377" w:type="dxa"/>
            <w:vAlign w:val="center"/>
          </w:tcPr>
          <w:p w14:paraId="2CDF4EF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人事行政部</w:t>
            </w:r>
          </w:p>
        </w:tc>
        <w:tc>
          <w:tcPr>
            <w:tcW w:w="2395" w:type="dxa"/>
            <w:vAlign w:val="center"/>
          </w:tcPr>
          <w:p w14:paraId="33A950C3">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公司组织机构调整；设备动力部及设备工程部负责人变更</w:t>
            </w:r>
          </w:p>
        </w:tc>
        <w:tc>
          <w:tcPr>
            <w:tcW w:w="2959" w:type="dxa"/>
            <w:vAlign w:val="center"/>
          </w:tcPr>
          <w:p w14:paraId="30C4BCCA">
            <w:pPr>
              <w:keepNext w:val="0"/>
              <w:keepLines w:val="0"/>
              <w:pageBreakBefore w:val="0"/>
              <w:widowControl w:val="0"/>
              <w:numPr>
                <w:ilvl w:val="0"/>
                <w:numId w:val="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删除公司组织机构中设备动力副总监一职；</w:t>
            </w:r>
          </w:p>
          <w:p w14:paraId="3A389297">
            <w:pPr>
              <w:keepNext w:val="0"/>
              <w:keepLines w:val="0"/>
              <w:pageBreakBefore w:val="0"/>
              <w:widowControl w:val="0"/>
              <w:numPr>
                <w:ilvl w:val="0"/>
                <w:numId w:val="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设备动力部负责人由曹利军变更为林宗伟</w:t>
            </w:r>
          </w:p>
          <w:p w14:paraId="7229020D">
            <w:pPr>
              <w:keepNext w:val="0"/>
              <w:keepLines w:val="0"/>
              <w:pageBreakBefore w:val="0"/>
              <w:widowControl w:val="0"/>
              <w:numPr>
                <w:ilvl w:val="0"/>
                <w:numId w:val="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设备工程部负责人由张占臣变更为张超</w:t>
            </w:r>
          </w:p>
        </w:tc>
        <w:tc>
          <w:tcPr>
            <w:tcW w:w="1487" w:type="dxa"/>
            <w:vAlign w:val="center"/>
          </w:tcPr>
          <w:p w14:paraId="30054D5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6B512F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2025.11.26</w:t>
            </w:r>
          </w:p>
        </w:tc>
        <w:tc>
          <w:tcPr>
            <w:tcW w:w="1514" w:type="dxa"/>
            <w:vAlign w:val="center"/>
          </w:tcPr>
          <w:p w14:paraId="0A8583F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2025.12.04</w:t>
            </w:r>
          </w:p>
        </w:tc>
        <w:tc>
          <w:tcPr>
            <w:tcW w:w="1391" w:type="dxa"/>
            <w:vAlign w:val="center"/>
          </w:tcPr>
          <w:p w14:paraId="5DA13CF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7EA3DE3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r>
      <w:tr w14:paraId="61AD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7D0FF0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0ED597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BG-2511012</w:t>
            </w:r>
          </w:p>
        </w:tc>
        <w:tc>
          <w:tcPr>
            <w:tcW w:w="1377" w:type="dxa"/>
            <w:vAlign w:val="center"/>
          </w:tcPr>
          <w:p w14:paraId="4F969E9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203车间</w:t>
            </w:r>
          </w:p>
        </w:tc>
        <w:tc>
          <w:tcPr>
            <w:tcW w:w="2395" w:type="dxa"/>
            <w:vAlign w:val="center"/>
          </w:tcPr>
          <w:p w14:paraId="2B440D14">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在203车间一楼卫生间与生产区域之间增加二道门；拆除203车间一楼之外的卫生间及清洁间，并增加二道门</w:t>
            </w:r>
          </w:p>
        </w:tc>
        <w:tc>
          <w:tcPr>
            <w:tcW w:w="2959" w:type="dxa"/>
            <w:vAlign w:val="center"/>
          </w:tcPr>
          <w:p w14:paraId="5FF7A86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在203车间一楼卫生间与生产区域之间增加二道门；拆除203车间一楼之外的卫生间及清洁间，并增加二道门</w:t>
            </w:r>
          </w:p>
        </w:tc>
        <w:tc>
          <w:tcPr>
            <w:tcW w:w="1487" w:type="dxa"/>
            <w:vAlign w:val="center"/>
          </w:tcPr>
          <w:p w14:paraId="2169503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C15F11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2025.11.28</w:t>
            </w:r>
          </w:p>
        </w:tc>
        <w:tc>
          <w:tcPr>
            <w:tcW w:w="1514" w:type="dxa"/>
            <w:vAlign w:val="center"/>
          </w:tcPr>
          <w:p w14:paraId="072897F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2025.12.15</w:t>
            </w:r>
          </w:p>
        </w:tc>
        <w:tc>
          <w:tcPr>
            <w:tcW w:w="1391" w:type="dxa"/>
            <w:vAlign w:val="center"/>
          </w:tcPr>
          <w:p w14:paraId="6902D7C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2026.01.10</w:t>
            </w:r>
          </w:p>
        </w:tc>
        <w:tc>
          <w:tcPr>
            <w:tcW w:w="1268" w:type="dxa"/>
            <w:vAlign w:val="center"/>
          </w:tcPr>
          <w:p w14:paraId="639F75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2026.01.12     </w:t>
            </w:r>
          </w:p>
        </w:tc>
      </w:tr>
      <w:tr w14:paraId="4775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08703B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2DA879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BG-2511014</w:t>
            </w:r>
          </w:p>
        </w:tc>
        <w:tc>
          <w:tcPr>
            <w:tcW w:w="1377" w:type="dxa"/>
            <w:vAlign w:val="center"/>
          </w:tcPr>
          <w:p w14:paraId="6918C1D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5A4634DC">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关于霉酚酸批记录中增加干粉粉碎后的称重操作和方锥混合机投料量范围的变更</w:t>
            </w:r>
          </w:p>
        </w:tc>
        <w:tc>
          <w:tcPr>
            <w:tcW w:w="2959" w:type="dxa"/>
            <w:vAlign w:val="center"/>
          </w:tcPr>
          <w:p w14:paraId="3987B6A8">
            <w:pPr>
              <w:keepNext w:val="0"/>
              <w:keepLines w:val="0"/>
              <w:pageBreakBefore w:val="0"/>
              <w:widowControl w:val="0"/>
              <w:numPr>
                <w:ilvl w:val="0"/>
                <w:numId w:val="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在霉酚酸批记录中增加干粉粉碎后的称重操作</w:t>
            </w:r>
          </w:p>
          <w:p w14:paraId="4DC7FFDE">
            <w:pPr>
              <w:keepNext w:val="0"/>
              <w:keepLines w:val="0"/>
              <w:pageBreakBefore w:val="0"/>
              <w:widowControl w:val="0"/>
              <w:numPr>
                <w:ilvl w:val="0"/>
                <w:numId w:val="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根据岗位SOP中的相关规定，完善批记录中方锥混合机投料范围</w:t>
            </w:r>
          </w:p>
        </w:tc>
        <w:tc>
          <w:tcPr>
            <w:tcW w:w="1487" w:type="dxa"/>
            <w:vAlign w:val="center"/>
          </w:tcPr>
          <w:p w14:paraId="0CB2F7B0">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128779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 xml:space="preserve">2025.11.30 </w:t>
            </w:r>
          </w:p>
        </w:tc>
        <w:tc>
          <w:tcPr>
            <w:tcW w:w="1514" w:type="dxa"/>
            <w:vAlign w:val="center"/>
          </w:tcPr>
          <w:p w14:paraId="367A723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2025.11.30</w:t>
            </w:r>
          </w:p>
        </w:tc>
        <w:tc>
          <w:tcPr>
            <w:tcW w:w="1391" w:type="dxa"/>
            <w:vAlign w:val="center"/>
          </w:tcPr>
          <w:p w14:paraId="6DF0E39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2025.12.20</w:t>
            </w:r>
          </w:p>
        </w:tc>
        <w:tc>
          <w:tcPr>
            <w:tcW w:w="1268" w:type="dxa"/>
            <w:vAlign w:val="center"/>
          </w:tcPr>
          <w:p w14:paraId="14981E2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2026.01.03</w:t>
            </w:r>
          </w:p>
        </w:tc>
      </w:tr>
      <w:tr w14:paraId="3292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E62282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94FC73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BG-2512001</w:t>
            </w:r>
          </w:p>
        </w:tc>
        <w:tc>
          <w:tcPr>
            <w:tcW w:w="1377" w:type="dxa"/>
            <w:vAlign w:val="center"/>
          </w:tcPr>
          <w:p w14:paraId="3A453CE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1E4D1D3B">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关于“完善美伐他汀、洛伐他汀二次精品湿粉投入双锥干燥器操作及修订工艺规程”的变更</w:t>
            </w:r>
          </w:p>
        </w:tc>
        <w:tc>
          <w:tcPr>
            <w:tcW w:w="2959" w:type="dxa"/>
            <w:vAlign w:val="center"/>
          </w:tcPr>
          <w:p w14:paraId="77DEEEAB">
            <w:pPr>
              <w:keepNext w:val="0"/>
              <w:keepLines w:val="0"/>
              <w:pageBreakBefore w:val="0"/>
              <w:widowControl w:val="0"/>
              <w:numPr>
                <w:ilvl w:val="0"/>
                <w:numId w:val="1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统一部分描述</w:t>
            </w:r>
          </w:p>
          <w:p w14:paraId="194C6584">
            <w:pPr>
              <w:keepNext w:val="0"/>
              <w:keepLines w:val="0"/>
              <w:pageBreakBefore w:val="0"/>
              <w:widowControl w:val="0"/>
              <w:numPr>
                <w:ilvl w:val="0"/>
                <w:numId w:val="1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完善工艺规程正文及批记录的中间体检测项目及标准</w:t>
            </w:r>
          </w:p>
          <w:p w14:paraId="6AEE55C1">
            <w:pPr>
              <w:keepNext w:val="0"/>
              <w:keepLines w:val="0"/>
              <w:pageBreakBefore w:val="0"/>
              <w:widowControl w:val="0"/>
              <w:numPr>
                <w:ilvl w:val="0"/>
                <w:numId w:val="1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细化洛伐他汀二次精品湿粉进入双锥干燥器进料操作，增加二次精品湿粉称重的规定、双锥干燥器投入二次精品湿粉量的记录</w:t>
            </w:r>
          </w:p>
          <w:p w14:paraId="7DC8BA09">
            <w:pPr>
              <w:keepNext w:val="0"/>
              <w:keepLines w:val="0"/>
              <w:pageBreakBefore w:val="0"/>
              <w:widowControl w:val="0"/>
              <w:numPr>
                <w:ilvl w:val="0"/>
                <w:numId w:val="1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细化美伐他汀二次精品湿粉进入双锥干燥器进料操作，增加双锥干燥器投入二次精品湿粉量的记录</w:t>
            </w:r>
          </w:p>
        </w:tc>
        <w:tc>
          <w:tcPr>
            <w:tcW w:w="1487" w:type="dxa"/>
            <w:vAlign w:val="center"/>
          </w:tcPr>
          <w:p w14:paraId="480EF360">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E3D03C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2025.12.03</w:t>
            </w:r>
          </w:p>
        </w:tc>
        <w:tc>
          <w:tcPr>
            <w:tcW w:w="1514" w:type="dxa"/>
            <w:vAlign w:val="center"/>
          </w:tcPr>
          <w:p w14:paraId="0C98035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2025.12.04</w:t>
            </w:r>
          </w:p>
        </w:tc>
        <w:tc>
          <w:tcPr>
            <w:tcW w:w="1391" w:type="dxa"/>
            <w:vAlign w:val="center"/>
          </w:tcPr>
          <w:p w14:paraId="14C7E3C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4C25941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2026.01.10</w:t>
            </w:r>
          </w:p>
        </w:tc>
      </w:tr>
      <w:tr w14:paraId="2EDF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2A5FDE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2FFF26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BG-2512002</w:t>
            </w:r>
          </w:p>
        </w:tc>
        <w:tc>
          <w:tcPr>
            <w:tcW w:w="1377" w:type="dxa"/>
            <w:vAlign w:val="center"/>
          </w:tcPr>
          <w:p w14:paraId="041E802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ED4BD38">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修订《Empower3信息中心内容》APP3-SOP-QC-026/10（xxzx-001）</w:t>
            </w:r>
          </w:p>
        </w:tc>
        <w:tc>
          <w:tcPr>
            <w:tcW w:w="2959" w:type="dxa"/>
            <w:vAlign w:val="center"/>
          </w:tcPr>
          <w:p w14:paraId="5465B87A">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更新新增报错的内容更新在文件中</w:t>
            </w:r>
          </w:p>
        </w:tc>
        <w:tc>
          <w:tcPr>
            <w:tcW w:w="1487" w:type="dxa"/>
            <w:vAlign w:val="center"/>
          </w:tcPr>
          <w:p w14:paraId="3E52579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3A89A8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2025.12.10</w:t>
            </w:r>
          </w:p>
        </w:tc>
        <w:tc>
          <w:tcPr>
            <w:tcW w:w="1514" w:type="dxa"/>
            <w:vAlign w:val="center"/>
          </w:tcPr>
          <w:p w14:paraId="0C16C72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2025.12.11</w:t>
            </w:r>
          </w:p>
        </w:tc>
        <w:tc>
          <w:tcPr>
            <w:tcW w:w="1391" w:type="dxa"/>
            <w:vAlign w:val="center"/>
          </w:tcPr>
          <w:p w14:paraId="468963D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02F6F78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2026.01.04</w:t>
            </w:r>
          </w:p>
        </w:tc>
      </w:tr>
      <w:tr w14:paraId="5FBA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9945E8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C5E663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BG-2512003</w:t>
            </w:r>
          </w:p>
        </w:tc>
        <w:tc>
          <w:tcPr>
            <w:tcW w:w="1377" w:type="dxa"/>
            <w:vAlign w:val="center"/>
          </w:tcPr>
          <w:p w14:paraId="70A97D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0E7BD27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《QC电子数据备份管理程序》SMP-QC-037/01</w:t>
            </w:r>
          </w:p>
        </w:tc>
        <w:tc>
          <w:tcPr>
            <w:tcW w:w="2959" w:type="dxa"/>
            <w:vAlign w:val="center"/>
          </w:tcPr>
          <w:p w14:paraId="36BCA468">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优化部分文件描述</w:t>
            </w:r>
          </w:p>
          <w:p w14:paraId="08F92AE5">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增加红外光谱仪QC-1-2-076、分光光度计QC-2-2-094“数据”形式的备份及检查方法</w:t>
            </w:r>
          </w:p>
          <w:p w14:paraId="7EF9A1A1">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将移动硬盘的需标注“用途”变更“有效期”</w:t>
            </w:r>
          </w:p>
          <w:p w14:paraId="1FF1AC5F">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增加“移动硬盘备份的数据检查优先选取全量备份数据，用于周期性检查的数据不可删除”</w:t>
            </w:r>
          </w:p>
          <w:p w14:paraId="2A7FF4A0">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增加“若仪器、工作站或系统无法支持数据检查、或将数据还原/导入后对自身数据造成不良影响的，则不进行检查”</w:t>
            </w:r>
          </w:p>
          <w:p w14:paraId="246A6B8D">
            <w:pPr>
              <w:keepNext w:val="0"/>
              <w:keepLines w:val="0"/>
              <w:pageBreakBefore w:val="0"/>
              <w:widowControl w:val="0"/>
              <w:numPr>
                <w:ilvl w:val="0"/>
                <w:numId w:val="1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每年12月全量备份并按照“备份数据的周期性检查”检查档次备份数据的完整性及可读性无异常后，可申请删除当年1~11月所备份的数据，经QA负责人及清楚负责人批准后进行删除，删除操作应由QA人员确认并记录在《QC移动硬盘备份数据删除申请及记录》上。电脑操作系统、工作站软件升级前的备份内容及当备份数据用于周期性检查时，应保留、不得删除。</w:t>
            </w:r>
          </w:p>
        </w:tc>
        <w:tc>
          <w:tcPr>
            <w:tcW w:w="1487" w:type="dxa"/>
            <w:vAlign w:val="center"/>
          </w:tcPr>
          <w:p w14:paraId="6226EA9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1C8B02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2025.12.10</w:t>
            </w:r>
          </w:p>
        </w:tc>
        <w:tc>
          <w:tcPr>
            <w:tcW w:w="1514" w:type="dxa"/>
            <w:vAlign w:val="center"/>
          </w:tcPr>
          <w:p w14:paraId="4432D92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2025.12.11</w:t>
            </w:r>
          </w:p>
        </w:tc>
        <w:tc>
          <w:tcPr>
            <w:tcW w:w="1391" w:type="dxa"/>
            <w:vAlign w:val="center"/>
          </w:tcPr>
          <w:p w14:paraId="2150B2A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2025.12.25</w:t>
            </w:r>
          </w:p>
        </w:tc>
        <w:tc>
          <w:tcPr>
            <w:tcW w:w="1268" w:type="dxa"/>
            <w:vAlign w:val="center"/>
          </w:tcPr>
          <w:p w14:paraId="0C7E45B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2026.01.05   </w:t>
            </w:r>
          </w:p>
        </w:tc>
      </w:tr>
      <w:tr w14:paraId="3BD8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0B741A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E0C365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BG-2512005</w:t>
            </w:r>
          </w:p>
        </w:tc>
        <w:tc>
          <w:tcPr>
            <w:tcW w:w="1377" w:type="dxa"/>
            <w:vAlign w:val="center"/>
          </w:tcPr>
          <w:p w14:paraId="6401E2A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64FCCA84">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QC新增2台水浴锅</w:t>
            </w:r>
          </w:p>
        </w:tc>
        <w:tc>
          <w:tcPr>
            <w:tcW w:w="2959" w:type="dxa"/>
            <w:vAlign w:val="center"/>
          </w:tcPr>
          <w:p w14:paraId="01C0611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QC新增2台水浴锅</w:t>
            </w:r>
          </w:p>
        </w:tc>
        <w:tc>
          <w:tcPr>
            <w:tcW w:w="1487" w:type="dxa"/>
            <w:vAlign w:val="center"/>
          </w:tcPr>
          <w:p w14:paraId="4F32B6C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FA1EA5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2025.12.15</w:t>
            </w:r>
          </w:p>
        </w:tc>
        <w:tc>
          <w:tcPr>
            <w:tcW w:w="1514" w:type="dxa"/>
            <w:vAlign w:val="center"/>
          </w:tcPr>
          <w:p w14:paraId="17A78D5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2025.12.16</w:t>
            </w:r>
          </w:p>
        </w:tc>
        <w:tc>
          <w:tcPr>
            <w:tcW w:w="1391" w:type="dxa"/>
            <w:vAlign w:val="center"/>
          </w:tcPr>
          <w:p w14:paraId="113ED9A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c>
          <w:tcPr>
            <w:tcW w:w="1268" w:type="dxa"/>
            <w:vAlign w:val="center"/>
          </w:tcPr>
          <w:p w14:paraId="0D0E1C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2026.03.05</w:t>
            </w:r>
          </w:p>
        </w:tc>
      </w:tr>
      <w:tr w14:paraId="49A8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B4B900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502153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BG-2512010</w:t>
            </w:r>
          </w:p>
        </w:tc>
        <w:tc>
          <w:tcPr>
            <w:tcW w:w="1377" w:type="dxa"/>
            <w:vAlign w:val="center"/>
          </w:tcPr>
          <w:p w14:paraId="1F5B328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202车间</w:t>
            </w:r>
          </w:p>
        </w:tc>
        <w:tc>
          <w:tcPr>
            <w:tcW w:w="2395" w:type="dxa"/>
            <w:vAlign w:val="center"/>
          </w:tcPr>
          <w:p w14:paraId="3FD07433">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修订《202车间电子秤、台秤使用、维护、保养标准操作规程》SOP-XT3-036/07、《202车间电子秤、台秤清洁标准操作规程》SOP-XT3-235/04</w:t>
            </w:r>
          </w:p>
        </w:tc>
        <w:tc>
          <w:tcPr>
            <w:tcW w:w="2959" w:type="dxa"/>
            <w:vAlign w:val="center"/>
          </w:tcPr>
          <w:p w14:paraId="7432C2B8">
            <w:pPr>
              <w:keepNext w:val="0"/>
              <w:keepLines w:val="0"/>
              <w:pageBreakBefore w:val="0"/>
              <w:widowControl w:val="0"/>
              <w:numPr>
                <w:ilvl w:val="0"/>
                <w:numId w:val="1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增加电子秤预热15分钟的相关内容</w:t>
            </w:r>
          </w:p>
          <w:p w14:paraId="72AC1E95">
            <w:pPr>
              <w:keepNext w:val="0"/>
              <w:keepLines w:val="0"/>
              <w:pageBreakBefore w:val="0"/>
              <w:widowControl w:val="0"/>
              <w:numPr>
                <w:ilvl w:val="0"/>
                <w:numId w:val="1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删除文件中与机械台称的相关内容</w:t>
            </w:r>
          </w:p>
          <w:p w14:paraId="54FE9225">
            <w:pPr>
              <w:keepNext w:val="0"/>
              <w:keepLines w:val="0"/>
              <w:pageBreakBefore w:val="0"/>
              <w:widowControl w:val="0"/>
              <w:numPr>
                <w:ilvl w:val="0"/>
                <w:numId w:val="1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将“确认电子称托盘表面清洁”变更为“确认电子秤托盘表面无异物”</w:t>
            </w:r>
          </w:p>
          <w:p w14:paraId="19C1AE5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4、调整记录格式</w:t>
            </w:r>
          </w:p>
        </w:tc>
        <w:tc>
          <w:tcPr>
            <w:tcW w:w="1487" w:type="dxa"/>
            <w:vAlign w:val="center"/>
          </w:tcPr>
          <w:p w14:paraId="264E562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307A50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2025.12.17</w:t>
            </w:r>
          </w:p>
        </w:tc>
        <w:tc>
          <w:tcPr>
            <w:tcW w:w="1514" w:type="dxa"/>
            <w:vAlign w:val="center"/>
          </w:tcPr>
          <w:p w14:paraId="66931FC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2025.12.22</w:t>
            </w:r>
          </w:p>
        </w:tc>
        <w:tc>
          <w:tcPr>
            <w:tcW w:w="1391" w:type="dxa"/>
            <w:vAlign w:val="center"/>
          </w:tcPr>
          <w:p w14:paraId="309494F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52C9511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2026.01.04</w:t>
            </w:r>
          </w:p>
        </w:tc>
      </w:tr>
      <w:tr w14:paraId="5BC8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637D3F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237B5E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BG-2512011</w:t>
            </w:r>
          </w:p>
        </w:tc>
        <w:tc>
          <w:tcPr>
            <w:tcW w:w="1377" w:type="dxa"/>
            <w:vAlign w:val="center"/>
          </w:tcPr>
          <w:p w14:paraId="6378A84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202车间</w:t>
            </w:r>
          </w:p>
        </w:tc>
        <w:tc>
          <w:tcPr>
            <w:tcW w:w="2395" w:type="dxa"/>
            <w:vAlign w:val="center"/>
          </w:tcPr>
          <w:p w14:paraId="0F85E073">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修订《202车间洁净区容器具清洁标准操作规程》SOP-XT3-228/04</w:t>
            </w:r>
          </w:p>
        </w:tc>
        <w:tc>
          <w:tcPr>
            <w:tcW w:w="2959" w:type="dxa"/>
            <w:vAlign w:val="center"/>
          </w:tcPr>
          <w:p w14:paraId="7FBFD3A5">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增加生产器具编号原则</w:t>
            </w:r>
          </w:p>
          <w:p w14:paraId="461E2A29">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增加异常事件处理相关内容</w:t>
            </w:r>
          </w:p>
          <w:p w14:paraId="1E70C279">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增加生产器具登记台账</w:t>
            </w:r>
          </w:p>
          <w:p w14:paraId="1A40877D">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增加生产器具标签模板及相关规定</w:t>
            </w:r>
          </w:p>
          <w:p w14:paraId="4D9D93E7">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增加生产器具的定义</w:t>
            </w:r>
          </w:p>
          <w:p w14:paraId="3C2B2D22">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将文件名称由《202车间洁净区容器具清洁标准操作规程》变更为《202车间生产器具清洁标准操作规程》</w:t>
            </w:r>
          </w:p>
          <w:p w14:paraId="2BA7C7F1">
            <w:pPr>
              <w:keepNext w:val="0"/>
              <w:keepLines w:val="0"/>
              <w:pageBreakBefore w:val="0"/>
              <w:widowControl w:val="0"/>
              <w:numPr>
                <w:ilvl w:val="0"/>
                <w:numId w:val="1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完善清洁频次的相关规定</w:t>
            </w:r>
          </w:p>
        </w:tc>
        <w:tc>
          <w:tcPr>
            <w:tcW w:w="1487" w:type="dxa"/>
            <w:vAlign w:val="center"/>
          </w:tcPr>
          <w:p w14:paraId="2A5BA80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630BFB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2025.12.17</w:t>
            </w:r>
          </w:p>
        </w:tc>
        <w:tc>
          <w:tcPr>
            <w:tcW w:w="1514" w:type="dxa"/>
            <w:vAlign w:val="center"/>
          </w:tcPr>
          <w:p w14:paraId="6FF89B7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2025.12.22</w:t>
            </w:r>
          </w:p>
        </w:tc>
        <w:tc>
          <w:tcPr>
            <w:tcW w:w="1391" w:type="dxa"/>
            <w:vAlign w:val="center"/>
          </w:tcPr>
          <w:p w14:paraId="06AED2D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3155F62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r>
      <w:tr w14:paraId="53FA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811060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F89856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BG-2512012</w:t>
            </w:r>
          </w:p>
        </w:tc>
        <w:tc>
          <w:tcPr>
            <w:tcW w:w="1377" w:type="dxa"/>
            <w:vAlign w:val="center"/>
          </w:tcPr>
          <w:p w14:paraId="07EB9B1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6865E19F">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《洛伐他汀（CP）质量标准》STP-QS-LV-101/04</w:t>
            </w:r>
          </w:p>
        </w:tc>
        <w:tc>
          <w:tcPr>
            <w:tcW w:w="2959" w:type="dxa"/>
            <w:vAlign w:val="center"/>
          </w:tcPr>
          <w:p w14:paraId="19D0EA5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根据2025版药典删除性状项目中“在三氯甲烷中易溶”并更新标准依据</w:t>
            </w:r>
          </w:p>
        </w:tc>
        <w:tc>
          <w:tcPr>
            <w:tcW w:w="1487" w:type="dxa"/>
            <w:vAlign w:val="center"/>
          </w:tcPr>
          <w:p w14:paraId="139C8EE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B01F30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2025.12.18</w:t>
            </w:r>
          </w:p>
        </w:tc>
        <w:tc>
          <w:tcPr>
            <w:tcW w:w="1514" w:type="dxa"/>
            <w:vAlign w:val="center"/>
          </w:tcPr>
          <w:p w14:paraId="51493F1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202512.19</w:t>
            </w:r>
          </w:p>
        </w:tc>
        <w:tc>
          <w:tcPr>
            <w:tcW w:w="1391" w:type="dxa"/>
            <w:vAlign w:val="center"/>
          </w:tcPr>
          <w:p w14:paraId="3345A8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2025.03.30</w:t>
            </w:r>
          </w:p>
        </w:tc>
        <w:tc>
          <w:tcPr>
            <w:tcW w:w="1268" w:type="dxa"/>
            <w:vAlign w:val="center"/>
          </w:tcPr>
          <w:p w14:paraId="7864557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2025.03.30</w:t>
            </w:r>
          </w:p>
        </w:tc>
      </w:tr>
      <w:tr w14:paraId="76CD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CB61F8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1C497D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BG-2512013</w:t>
            </w:r>
          </w:p>
        </w:tc>
        <w:tc>
          <w:tcPr>
            <w:tcW w:w="1377" w:type="dxa"/>
            <w:vAlign w:val="center"/>
          </w:tcPr>
          <w:p w14:paraId="70DB715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2FDDEA1C">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优化霉酚酸精制工序的生产工艺文件，明确一次结晶湿粉投料量超出范围的处理措施</w:t>
            </w:r>
          </w:p>
        </w:tc>
        <w:tc>
          <w:tcPr>
            <w:tcW w:w="2959" w:type="dxa"/>
            <w:vAlign w:val="center"/>
          </w:tcPr>
          <w:p w14:paraId="538DE31C">
            <w:pPr>
              <w:keepNext w:val="0"/>
              <w:keepLines w:val="0"/>
              <w:pageBreakBefore w:val="0"/>
              <w:widowControl w:val="0"/>
              <w:numPr>
                <w:ilvl w:val="0"/>
                <w:numId w:val="1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在《霉酚酸（MC）精制岗位标准操作规程》中</w:t>
            </w:r>
          </w:p>
          <w:p w14:paraId="2CCFF87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（1）完善依据/相关文件（Basis/ related files）；</w:t>
            </w:r>
          </w:p>
          <w:p w14:paraId="3AD8C68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根据《提炼生产指令（霉酚酸二次精制至成品包装工序）》准备所要投料的一次结晶湿粉，确认好一次结晶湿粉的批号、重量、产品量、合格状态等信息与《提炼生产指令（霉酚酸二次精制至成品包装工序）》均一致。”</w:t>
            </w:r>
          </w:p>
          <w:p w14:paraId="5738BD3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（2）增加若第1个批次一次结晶湿粉产品量超出1740kg~2060kg区间，第1个成品批仅投入该批次中1740kg~2060kg范围内的一次结晶湿粉；超出部分在生产第2个成品批的时候优先投入到第2个成品批</w:t>
            </w:r>
            <w:r>
              <w:rPr>
                <w:rFonts w:hint="eastAsia" w:ascii="Times New Roman" w:hAnsi="Times New Roman" w:eastAsia="宋体" w:cs="Times New Roman"/>
                <w:bCs/>
                <w:color w:val="auto"/>
                <w:kern w:val="0"/>
                <w:szCs w:val="21"/>
                <w:lang w:val="en-US" w:eastAsia="zh-CN"/>
              </w:rPr>
              <w:t>……</w:t>
            </w:r>
            <w:r>
              <w:rPr>
                <w:rFonts w:hint="eastAsia" w:ascii="Times New Roman" w:hAnsi="Times New Roman" w:eastAsia="宋体" w:cs="Times New Roman"/>
                <w:sz w:val="21"/>
                <w:szCs w:val="15"/>
                <w:highlight w:val="none"/>
                <w:lang w:val="en-US" w:eastAsia="zh-CN"/>
              </w:rPr>
              <w:t>以此类推，直至剩余的一次结晶湿粉产品量在1740kg~2060kg范围内，足够生产一个完整批次时，将其整批投料生产为一批霉酚酸成品。</w:t>
            </w:r>
          </w:p>
          <w:p w14:paraId="486276A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2、霉酚酸提炼工段生产批记录（二次精制）与霉酚酸重结晶工段生产批记录的记录中增加封面</w:t>
            </w:r>
          </w:p>
          <w:p w14:paraId="7510527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3、在霉酚酸工艺规程中增加增加二次精制一次湿粉的投料量为1740kg~2060kg</w:t>
            </w:r>
          </w:p>
          <w:p w14:paraId="2712062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15"/>
                <w:highlight w:val="none"/>
                <w:lang w:val="en-US" w:eastAsia="zh-CN"/>
              </w:rPr>
              <w:t>4、将霉酚酸工艺规程中</w:t>
            </w:r>
            <w:r>
              <w:rPr>
                <w:rFonts w:hint="default" w:ascii="Times New Roman" w:hAnsi="Times New Roman" w:eastAsia="宋体" w:cs="Times New Roman"/>
                <w:sz w:val="21"/>
                <w:szCs w:val="21"/>
                <w:lang w:val="en-US" w:eastAsia="zh-CN"/>
              </w:rPr>
              <w:t>“精制、烘包收率（85~95%）=成品量÷（萃取滤液体积×萃取滤液含量）×100%”变更为“一次精制收率（93~98%）=一次湿粉重量×一次湿粉折干含量×（1-一次湿粉干燥失重）÷（萃取滤液体积×萃取滤液含量）×100%）、提纯、烘包收率（93~98%）=成品量÷一次湿粉重量×一次湿粉折干含量×（1-一次湿粉干燥失重）×100%”</w:t>
            </w:r>
          </w:p>
          <w:p w14:paraId="5B2BC9D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5、在《霉酚酸生产指令管理程序》中增加提炼二次精制至成品包装工序生产指令的编制原则的内容；将《提炼生产指令》名称变更为《提炼生产指令(霉酚酸钠化至次精制工序)》；</w:t>
            </w:r>
          </w:p>
          <w:p w14:paraId="127FA2C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增加《提炼生产指令(霉酚酸二次精制至成品包装工序)》</w:t>
            </w:r>
          </w:p>
          <w:p w14:paraId="30BB794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6、将《产品批号编制管理程序》中</w:t>
            </w:r>
          </w:p>
          <w:p w14:paraId="4BDEFC43">
            <w:pPr>
              <w:keepNext w:val="0"/>
              <w:keepLines w:val="0"/>
              <w:pageBreakBefore w:val="0"/>
              <w:widowControl w:val="0"/>
              <w:numPr>
                <w:ilvl w:val="0"/>
                <w:numId w:val="15"/>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将菌种摇瓶培养和发酵批号编制原则变更为“产品代码—两位年份+两位月份+三位月流水号+K”；</w:t>
            </w:r>
          </w:p>
          <w:p w14:paraId="3A020607">
            <w:pPr>
              <w:keepNext w:val="0"/>
              <w:keepLines w:val="0"/>
              <w:pageBreakBefore w:val="0"/>
              <w:widowControl w:val="0"/>
              <w:numPr>
                <w:ilvl w:val="0"/>
                <w:numId w:val="15"/>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将“菌种摇瓶培养批号和发酵批号均使用同一批号并沿用至提炼工段”变更为“菌种摇瓶培养批号和发酵批号均使用同一批号并沿用至提炼工段一次精制工序”；</w:t>
            </w:r>
          </w:p>
          <w:p w14:paraId="0B279ED2">
            <w:pPr>
              <w:keepNext w:val="0"/>
              <w:keepLines w:val="0"/>
              <w:pageBreakBefore w:val="0"/>
              <w:widowControl w:val="0"/>
              <w:numPr>
                <w:ilvl w:val="0"/>
                <w:numId w:val="15"/>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jc w:val="both"/>
              <w:textAlignment w:val="auto"/>
              <w:rPr>
                <w:rFonts w:hint="eastAsia"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21"/>
                <w:lang w:val="en-US" w:eastAsia="zh-CN"/>
              </w:rPr>
              <w:t>增加提炼批号（二次精制工序至成品包装工序）的</w:t>
            </w:r>
            <w:r>
              <w:rPr>
                <w:rFonts w:hint="eastAsia" w:ascii="Times New Roman" w:hAnsi="Times New Roman" w:eastAsia="宋体" w:cs="Times New Roman"/>
                <w:sz w:val="21"/>
                <w:szCs w:val="21"/>
                <w:lang w:val="en-US" w:eastAsia="zh-CN"/>
              </w:rPr>
              <w:t>相关</w:t>
            </w:r>
            <w:r>
              <w:rPr>
                <w:rFonts w:hint="default" w:ascii="Times New Roman" w:hAnsi="Times New Roman" w:eastAsia="宋体" w:cs="Times New Roman"/>
                <w:sz w:val="21"/>
                <w:szCs w:val="21"/>
                <w:lang w:val="en-US" w:eastAsia="zh-CN"/>
              </w:rPr>
              <w:t>内容</w:t>
            </w:r>
          </w:p>
        </w:tc>
        <w:tc>
          <w:tcPr>
            <w:tcW w:w="1487" w:type="dxa"/>
            <w:vAlign w:val="center"/>
          </w:tcPr>
          <w:p w14:paraId="51CDA698">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34C803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2025.12.18</w:t>
            </w:r>
          </w:p>
        </w:tc>
        <w:tc>
          <w:tcPr>
            <w:tcW w:w="1514" w:type="dxa"/>
            <w:vAlign w:val="center"/>
          </w:tcPr>
          <w:p w14:paraId="5B11605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2025.12.18</w:t>
            </w:r>
          </w:p>
        </w:tc>
        <w:tc>
          <w:tcPr>
            <w:tcW w:w="1391" w:type="dxa"/>
            <w:vAlign w:val="center"/>
          </w:tcPr>
          <w:p w14:paraId="3C558CA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11B1AAB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2026.02.11</w:t>
            </w:r>
          </w:p>
        </w:tc>
      </w:tr>
      <w:tr w14:paraId="4481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275C50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98A732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BG-2512014</w:t>
            </w:r>
          </w:p>
        </w:tc>
        <w:tc>
          <w:tcPr>
            <w:tcW w:w="1377" w:type="dxa"/>
            <w:vAlign w:val="center"/>
          </w:tcPr>
          <w:p w14:paraId="0E3BC89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2CBDA79B">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修订《产品销售与发运管理程序》SMP-PM-012/12、起草《承运商资质确认、维护管理程序》</w:t>
            </w:r>
          </w:p>
        </w:tc>
        <w:tc>
          <w:tcPr>
            <w:tcW w:w="2959" w:type="dxa"/>
            <w:vAlign w:val="center"/>
          </w:tcPr>
          <w:p w14:paraId="46C9433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将《产品销售与发运管理程序》中与承运商资质确认、维护相关内容调整至新起草的《承运商资质确认、维护管理程序》中</w:t>
            </w:r>
          </w:p>
        </w:tc>
        <w:tc>
          <w:tcPr>
            <w:tcW w:w="1487" w:type="dxa"/>
            <w:vAlign w:val="center"/>
          </w:tcPr>
          <w:p w14:paraId="7F92756A">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9780AE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2025.12.22</w:t>
            </w:r>
          </w:p>
        </w:tc>
        <w:tc>
          <w:tcPr>
            <w:tcW w:w="1514" w:type="dxa"/>
            <w:vAlign w:val="center"/>
          </w:tcPr>
          <w:p w14:paraId="4D2CFC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2025.12.24</w:t>
            </w:r>
          </w:p>
        </w:tc>
        <w:tc>
          <w:tcPr>
            <w:tcW w:w="1391" w:type="dxa"/>
            <w:vAlign w:val="center"/>
          </w:tcPr>
          <w:p w14:paraId="583725D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2026.01.01</w:t>
            </w:r>
          </w:p>
        </w:tc>
        <w:tc>
          <w:tcPr>
            <w:tcW w:w="1268" w:type="dxa"/>
            <w:vAlign w:val="center"/>
          </w:tcPr>
          <w:p w14:paraId="130C98E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2026.01.01 </w:t>
            </w:r>
          </w:p>
        </w:tc>
      </w:tr>
      <w:tr w14:paraId="52A4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FD6153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19E61D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BG-2512017</w:t>
            </w:r>
          </w:p>
        </w:tc>
        <w:tc>
          <w:tcPr>
            <w:tcW w:w="1377" w:type="dxa"/>
            <w:vAlign w:val="center"/>
          </w:tcPr>
          <w:p w14:paraId="2282CE9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 xml:space="preserve">QC    </w:t>
            </w:r>
          </w:p>
        </w:tc>
        <w:tc>
          <w:tcPr>
            <w:tcW w:w="2395" w:type="dxa"/>
            <w:vAlign w:val="center"/>
          </w:tcPr>
          <w:p w14:paraId="524CFE1D">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变更盐酸林可霉素（兽药）有关物质、林可霉素B及含量测定的分析方法及含量测定的计算部分</w:t>
            </w:r>
          </w:p>
        </w:tc>
        <w:tc>
          <w:tcPr>
            <w:tcW w:w="2959" w:type="dxa"/>
            <w:vAlign w:val="center"/>
          </w:tcPr>
          <w:p w14:paraId="2601674B">
            <w:pPr>
              <w:keepNext w:val="0"/>
              <w:keepLines w:val="0"/>
              <w:pageBreakBefore w:val="0"/>
              <w:widowControl w:val="0"/>
              <w:numPr>
                <w:ilvl w:val="0"/>
                <w:numId w:val="1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在有关物质检测中增加空白及溶液稳定性，并将供试品溶液制备时“用适量流动相超声溶解，放至室温后定容”变更为“用适量流动相溶解，定容”</w:t>
            </w:r>
          </w:p>
          <w:p w14:paraId="6171BDD2">
            <w:pPr>
              <w:keepNext w:val="0"/>
              <w:keepLines w:val="0"/>
              <w:pageBreakBefore w:val="0"/>
              <w:widowControl w:val="0"/>
              <w:numPr>
                <w:ilvl w:val="0"/>
                <w:numId w:val="1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将林可霉素B中“色谱系统、供试品处理及进样参见“6.2.4含量”项”变更为“色谱条件、供试品处理及进样参见“6.2.4含量测定”项”</w:t>
            </w:r>
          </w:p>
          <w:p w14:paraId="034A8CB1">
            <w:pPr>
              <w:keepNext w:val="0"/>
              <w:keepLines w:val="0"/>
              <w:pageBreakBefore w:val="0"/>
              <w:widowControl w:val="0"/>
              <w:numPr>
                <w:ilvl w:val="0"/>
                <w:numId w:val="1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在含量测定色谱条件中色谱柱由“BDS Thermo Hypersil C18，250mm ×4.60mm，5μm”变更为“Welch，Ultimate® ODS-3 4.6×250mm，5μm”；将配置流动相时硼砂的使用量由“19.07g”变更为“19.069g”；增加空白、系统适应性中保留时间、对照品溶液7针响应因子的RSD要求；将含量计算时As定义由“对照品溶液连续5次进样的LN峰面积平均值”变更为“两份对照品溶液共7针响应因子的平均值×50”；溶液稳定性由“16h”变更为“98h”</w:t>
            </w:r>
          </w:p>
          <w:p w14:paraId="0EC1310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p>
        </w:tc>
        <w:tc>
          <w:tcPr>
            <w:tcW w:w="1487" w:type="dxa"/>
            <w:vAlign w:val="center"/>
          </w:tcPr>
          <w:p w14:paraId="2B94376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444E91B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2025.12.24</w:t>
            </w:r>
          </w:p>
        </w:tc>
        <w:tc>
          <w:tcPr>
            <w:tcW w:w="1514" w:type="dxa"/>
            <w:vAlign w:val="center"/>
          </w:tcPr>
          <w:p w14:paraId="6B70BF6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2025.12.24</w:t>
            </w:r>
          </w:p>
        </w:tc>
        <w:tc>
          <w:tcPr>
            <w:tcW w:w="1391" w:type="dxa"/>
            <w:vAlign w:val="center"/>
          </w:tcPr>
          <w:p w14:paraId="6CE4416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c>
          <w:tcPr>
            <w:tcW w:w="1268" w:type="dxa"/>
            <w:vAlign w:val="center"/>
          </w:tcPr>
          <w:p w14:paraId="43CE0F2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2026.02.24 </w:t>
            </w:r>
          </w:p>
        </w:tc>
      </w:tr>
      <w:tr w14:paraId="615D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EBEBCA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FF4C44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BG-2512018</w:t>
            </w:r>
          </w:p>
        </w:tc>
        <w:tc>
          <w:tcPr>
            <w:tcW w:w="1377" w:type="dxa"/>
            <w:vAlign w:val="center"/>
          </w:tcPr>
          <w:p w14:paraId="28D0B0C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4BBB0B3A">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201二车间二楼洁净区在干燥间（FT3-02-21）、混合间（FT3-02-20）、内包间（FT3-02-14）之间增加物料密闭输送分装系统</w:t>
            </w:r>
          </w:p>
        </w:tc>
        <w:tc>
          <w:tcPr>
            <w:tcW w:w="2959" w:type="dxa"/>
            <w:vAlign w:val="center"/>
          </w:tcPr>
          <w:p w14:paraId="723291D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201二车间二楼洁净区在干燥间（FT3-02-21）、混合间（FT3-02-20）、内包间（FT3-02-14）之间增加物料密闭输送分装系统</w:t>
            </w:r>
          </w:p>
        </w:tc>
        <w:tc>
          <w:tcPr>
            <w:tcW w:w="1487" w:type="dxa"/>
            <w:vAlign w:val="center"/>
          </w:tcPr>
          <w:p w14:paraId="75E762B3">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1FF065A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2025.12.31</w:t>
            </w:r>
          </w:p>
        </w:tc>
        <w:tc>
          <w:tcPr>
            <w:tcW w:w="1514" w:type="dxa"/>
            <w:vAlign w:val="center"/>
          </w:tcPr>
          <w:p w14:paraId="122888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2025.12.31</w:t>
            </w:r>
          </w:p>
        </w:tc>
        <w:tc>
          <w:tcPr>
            <w:tcW w:w="1391" w:type="dxa"/>
            <w:vAlign w:val="center"/>
          </w:tcPr>
          <w:p w14:paraId="1783080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0464A3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98F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51EAD8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5DA977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BG-2601001</w:t>
            </w:r>
          </w:p>
        </w:tc>
        <w:tc>
          <w:tcPr>
            <w:tcW w:w="1377" w:type="dxa"/>
            <w:vAlign w:val="center"/>
          </w:tcPr>
          <w:p w14:paraId="161AA45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39DA80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修订《微生物限度检查标准操作规程》SOP-QC-007/05</w:t>
            </w:r>
          </w:p>
        </w:tc>
        <w:tc>
          <w:tcPr>
            <w:tcW w:w="2959" w:type="dxa"/>
            <w:vAlign w:val="center"/>
          </w:tcPr>
          <w:p w14:paraId="0AC342F5">
            <w:pPr>
              <w:keepNext w:val="0"/>
              <w:keepLines w:val="0"/>
              <w:pageBreakBefore w:val="0"/>
              <w:widowControl w:val="0"/>
              <w:numPr>
                <w:ilvl w:val="0"/>
                <w:numId w:val="1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完善微生物限度检查法组成、适用范围</w:t>
            </w:r>
          </w:p>
          <w:p w14:paraId="61E2C077">
            <w:pPr>
              <w:keepNext w:val="0"/>
              <w:keepLines w:val="0"/>
              <w:pageBreakBefore w:val="0"/>
              <w:widowControl w:val="0"/>
              <w:numPr>
                <w:ilvl w:val="0"/>
                <w:numId w:val="1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删除重复内容</w:t>
            </w:r>
          </w:p>
          <w:p w14:paraId="4D44459B">
            <w:pPr>
              <w:keepNext w:val="0"/>
              <w:keepLines w:val="0"/>
              <w:pageBreakBefore w:val="0"/>
              <w:widowControl w:val="0"/>
              <w:numPr>
                <w:ilvl w:val="0"/>
                <w:numId w:val="1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完善菌液制备及培养基制备和适用性的参考文件</w:t>
            </w:r>
          </w:p>
          <w:p w14:paraId="1B1463AD">
            <w:pPr>
              <w:keepNext w:val="0"/>
              <w:keepLines w:val="0"/>
              <w:pageBreakBefore w:val="0"/>
              <w:widowControl w:val="0"/>
              <w:numPr>
                <w:ilvl w:val="0"/>
                <w:numId w:val="1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细化所有控制菌检查步骤，以及相关方法原理及判断标准</w:t>
            </w:r>
          </w:p>
          <w:p w14:paraId="61B8ACCB">
            <w:pPr>
              <w:keepNext w:val="0"/>
              <w:keepLines w:val="0"/>
              <w:pageBreakBefore w:val="0"/>
              <w:widowControl w:val="0"/>
              <w:numPr>
                <w:ilvl w:val="0"/>
                <w:numId w:val="1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根据2025版药典最新修订的内容，调整部分描述；增加控制菌检出后的调查评估要求，完善控制菌鉴定的分类及方法</w:t>
            </w:r>
          </w:p>
        </w:tc>
        <w:tc>
          <w:tcPr>
            <w:tcW w:w="1487" w:type="dxa"/>
            <w:vAlign w:val="center"/>
          </w:tcPr>
          <w:p w14:paraId="24FB0E5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72C3C8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2026.01.05</w:t>
            </w:r>
          </w:p>
        </w:tc>
        <w:tc>
          <w:tcPr>
            <w:tcW w:w="1514" w:type="dxa"/>
            <w:vAlign w:val="center"/>
          </w:tcPr>
          <w:p w14:paraId="44F6A19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2026.01.13</w:t>
            </w:r>
          </w:p>
        </w:tc>
        <w:tc>
          <w:tcPr>
            <w:tcW w:w="1391" w:type="dxa"/>
            <w:vAlign w:val="center"/>
          </w:tcPr>
          <w:p w14:paraId="1DF62F8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2026.02.10</w:t>
            </w:r>
          </w:p>
        </w:tc>
        <w:tc>
          <w:tcPr>
            <w:tcW w:w="1268" w:type="dxa"/>
            <w:vAlign w:val="center"/>
          </w:tcPr>
          <w:p w14:paraId="080400D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2026.02.10                                                                                                                                                                                                                                                                                                                                                                                                                                                                                                       </w:t>
            </w:r>
          </w:p>
        </w:tc>
      </w:tr>
      <w:tr w14:paraId="47B7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39630A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FC53BF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BG-2601002</w:t>
            </w:r>
          </w:p>
        </w:tc>
        <w:tc>
          <w:tcPr>
            <w:tcW w:w="1377" w:type="dxa"/>
            <w:vAlign w:val="center"/>
          </w:tcPr>
          <w:p w14:paraId="4D324C4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571D2C4">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QC中控中心增加一台生物显微镜（TL4001）并将显微镜（QC-3-2-085）退役</w:t>
            </w:r>
          </w:p>
        </w:tc>
        <w:tc>
          <w:tcPr>
            <w:tcW w:w="2959" w:type="dxa"/>
            <w:vAlign w:val="center"/>
          </w:tcPr>
          <w:p w14:paraId="51F3812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QC中控中心增加一台生物显微镜（TL4001）并将显微镜（QC-3-2-085）退役</w:t>
            </w:r>
          </w:p>
        </w:tc>
        <w:tc>
          <w:tcPr>
            <w:tcW w:w="1487" w:type="dxa"/>
            <w:vAlign w:val="center"/>
          </w:tcPr>
          <w:p w14:paraId="0C7B020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DF5BEF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2026.01.08</w:t>
            </w:r>
          </w:p>
        </w:tc>
        <w:tc>
          <w:tcPr>
            <w:tcW w:w="1514" w:type="dxa"/>
            <w:vAlign w:val="center"/>
          </w:tcPr>
          <w:p w14:paraId="448E54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2026.01.13</w:t>
            </w:r>
          </w:p>
        </w:tc>
        <w:tc>
          <w:tcPr>
            <w:tcW w:w="1391" w:type="dxa"/>
            <w:vAlign w:val="center"/>
          </w:tcPr>
          <w:p w14:paraId="63B2D46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2026.02.01</w:t>
            </w:r>
          </w:p>
        </w:tc>
        <w:tc>
          <w:tcPr>
            <w:tcW w:w="1268" w:type="dxa"/>
            <w:vAlign w:val="center"/>
          </w:tcPr>
          <w:p w14:paraId="40D8AF8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2026.03.04</w:t>
            </w:r>
          </w:p>
        </w:tc>
      </w:tr>
      <w:tr w14:paraId="7775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CCE9EA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EEBFCB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BG-2601003</w:t>
            </w:r>
          </w:p>
        </w:tc>
        <w:tc>
          <w:tcPr>
            <w:tcW w:w="1377" w:type="dxa"/>
            <w:vAlign w:val="center"/>
          </w:tcPr>
          <w:p w14:paraId="106A35D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26680DE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修订《自动旋光仪校验标准操作规程》SOP-QC-109/05</w:t>
            </w:r>
          </w:p>
        </w:tc>
        <w:tc>
          <w:tcPr>
            <w:tcW w:w="2959" w:type="dxa"/>
            <w:vAlign w:val="center"/>
          </w:tcPr>
          <w:p w14:paraId="0A8ACD55">
            <w:pPr>
              <w:keepNext w:val="0"/>
              <w:keepLines w:val="0"/>
              <w:pageBreakBefore w:val="0"/>
              <w:widowControl w:val="0"/>
              <w:numPr>
                <w:ilvl w:val="0"/>
                <w:numId w:val="1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删除已退役的自动旋光仪（AUTOPOL I）相关操作内容</w:t>
            </w:r>
          </w:p>
          <w:p w14:paraId="425A1705">
            <w:pPr>
              <w:keepNext w:val="0"/>
              <w:keepLines w:val="0"/>
              <w:pageBreakBefore w:val="0"/>
              <w:widowControl w:val="0"/>
              <w:numPr>
                <w:ilvl w:val="0"/>
                <w:numId w:val="1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根据《旋光仪及旋光糖量计检定规程》JJG536-2015增加自动旋光仪（SGW-531）仪器的校验及相关记录</w:t>
            </w:r>
          </w:p>
        </w:tc>
        <w:tc>
          <w:tcPr>
            <w:tcW w:w="1487" w:type="dxa"/>
            <w:vAlign w:val="center"/>
          </w:tcPr>
          <w:p w14:paraId="42585BDC">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DAC6E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2026.01.09</w:t>
            </w:r>
          </w:p>
        </w:tc>
        <w:tc>
          <w:tcPr>
            <w:tcW w:w="1514" w:type="dxa"/>
            <w:vAlign w:val="center"/>
          </w:tcPr>
          <w:p w14:paraId="65DD30B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2026.01.13</w:t>
            </w:r>
          </w:p>
        </w:tc>
        <w:tc>
          <w:tcPr>
            <w:tcW w:w="1391" w:type="dxa"/>
            <w:vAlign w:val="center"/>
          </w:tcPr>
          <w:p w14:paraId="5E13CD9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2026.02.01</w:t>
            </w:r>
          </w:p>
        </w:tc>
        <w:tc>
          <w:tcPr>
            <w:tcW w:w="1268" w:type="dxa"/>
            <w:vAlign w:val="center"/>
          </w:tcPr>
          <w:p w14:paraId="55C922B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2026.02.06</w:t>
            </w:r>
          </w:p>
        </w:tc>
      </w:tr>
      <w:tr w14:paraId="510B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637" w:type="dxa"/>
            <w:vAlign w:val="center"/>
          </w:tcPr>
          <w:p w14:paraId="003F153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BE7F10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BG-2601004</w:t>
            </w:r>
          </w:p>
        </w:tc>
        <w:tc>
          <w:tcPr>
            <w:tcW w:w="1377" w:type="dxa"/>
            <w:vAlign w:val="center"/>
          </w:tcPr>
          <w:p w14:paraId="5C0ED15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08B399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修订《盐酸林可霉素成品检验标准操作规程（兽药）》SOP-QC(LN)-101/15</w:t>
            </w:r>
          </w:p>
        </w:tc>
        <w:tc>
          <w:tcPr>
            <w:tcW w:w="2959" w:type="dxa"/>
            <w:vAlign w:val="center"/>
          </w:tcPr>
          <w:p w14:paraId="5C260FD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残留溶剂项目GC循环时间由7.0min变更为10.0min </w:t>
            </w:r>
          </w:p>
        </w:tc>
        <w:tc>
          <w:tcPr>
            <w:tcW w:w="1487" w:type="dxa"/>
            <w:vAlign w:val="center"/>
          </w:tcPr>
          <w:p w14:paraId="1B6BF938">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961D856">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2026.01.12</w:t>
            </w:r>
          </w:p>
        </w:tc>
        <w:tc>
          <w:tcPr>
            <w:tcW w:w="1514" w:type="dxa"/>
            <w:vAlign w:val="center"/>
          </w:tcPr>
          <w:p w14:paraId="3DAC586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2026.01.13</w:t>
            </w:r>
          </w:p>
        </w:tc>
        <w:tc>
          <w:tcPr>
            <w:tcW w:w="1391" w:type="dxa"/>
            <w:vAlign w:val="center"/>
          </w:tcPr>
          <w:p w14:paraId="03CB197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c>
          <w:tcPr>
            <w:tcW w:w="1268" w:type="dxa"/>
            <w:vAlign w:val="center"/>
          </w:tcPr>
          <w:p w14:paraId="17DB011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2026.03.12</w:t>
            </w:r>
          </w:p>
        </w:tc>
      </w:tr>
      <w:tr w14:paraId="5488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3C7E16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A2473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BG-2601005</w:t>
            </w:r>
          </w:p>
        </w:tc>
        <w:tc>
          <w:tcPr>
            <w:tcW w:w="1377" w:type="dxa"/>
            <w:vAlign w:val="center"/>
          </w:tcPr>
          <w:p w14:paraId="2664550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EB8B9E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修订《高效液相色谱仪（ACQUITY Arc）标准操作规程》SOP-QC-401/03、《Waters Empower3企业版软件使用操作规程》SOP-QC-024/12</w:t>
            </w:r>
          </w:p>
        </w:tc>
        <w:tc>
          <w:tcPr>
            <w:tcW w:w="2959" w:type="dxa"/>
            <w:vAlign w:val="center"/>
          </w:tcPr>
          <w:p w14:paraId="22D29F77">
            <w:pPr>
              <w:keepNext w:val="0"/>
              <w:keepLines w:val="0"/>
              <w:pageBreakBefore w:val="0"/>
              <w:widowControl w:val="0"/>
              <w:numPr>
                <w:ilvl w:val="0"/>
                <w:numId w:val="1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增加PDA检测器仪器方法新建的相关内容</w:t>
            </w:r>
          </w:p>
          <w:p w14:paraId="7F189376">
            <w:pPr>
              <w:keepNext w:val="0"/>
              <w:keepLines w:val="0"/>
              <w:pageBreakBefore w:val="0"/>
              <w:widowControl w:val="0"/>
              <w:numPr>
                <w:ilvl w:val="0"/>
                <w:numId w:val="1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完善高效液相色谱仪操作规程中样品组编辑、保存内容</w:t>
            </w:r>
          </w:p>
        </w:tc>
        <w:tc>
          <w:tcPr>
            <w:tcW w:w="1487" w:type="dxa"/>
            <w:vAlign w:val="center"/>
          </w:tcPr>
          <w:p w14:paraId="3A75DF82">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09F3C37">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2026.01.12</w:t>
            </w:r>
          </w:p>
        </w:tc>
        <w:tc>
          <w:tcPr>
            <w:tcW w:w="1514" w:type="dxa"/>
            <w:vAlign w:val="center"/>
          </w:tcPr>
          <w:p w14:paraId="7092DF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2026.01.13</w:t>
            </w:r>
          </w:p>
        </w:tc>
        <w:tc>
          <w:tcPr>
            <w:tcW w:w="1391" w:type="dxa"/>
            <w:vAlign w:val="center"/>
          </w:tcPr>
          <w:p w14:paraId="086F590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2026.01.26</w:t>
            </w:r>
          </w:p>
        </w:tc>
        <w:tc>
          <w:tcPr>
            <w:tcW w:w="1268" w:type="dxa"/>
            <w:vAlign w:val="center"/>
          </w:tcPr>
          <w:p w14:paraId="5DD8561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2026.01.26</w:t>
            </w:r>
          </w:p>
        </w:tc>
      </w:tr>
      <w:tr w14:paraId="4311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39B954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A98395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BG-2601006</w:t>
            </w:r>
          </w:p>
        </w:tc>
        <w:tc>
          <w:tcPr>
            <w:tcW w:w="1377" w:type="dxa"/>
            <w:vAlign w:val="center"/>
          </w:tcPr>
          <w:p w14:paraId="34E0662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6AEF080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修订《BHT检验标准操作规程》SOP-QC(YS)-513/05</w:t>
            </w:r>
          </w:p>
        </w:tc>
        <w:tc>
          <w:tcPr>
            <w:tcW w:w="2959" w:type="dxa"/>
            <w:vAlign w:val="center"/>
          </w:tcPr>
          <w:p w14:paraId="580A741E">
            <w:pPr>
              <w:keepNext w:val="0"/>
              <w:keepLines w:val="0"/>
              <w:pageBreakBefore w:val="0"/>
              <w:widowControl w:val="0"/>
              <w:numPr>
                <w:ilvl w:val="0"/>
                <w:numId w:val="2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性状检测时增加置于白纸上观察的要求</w:t>
            </w:r>
          </w:p>
          <w:p w14:paraId="626F9D49">
            <w:pPr>
              <w:keepNext w:val="0"/>
              <w:keepLines w:val="0"/>
              <w:pageBreakBefore w:val="0"/>
              <w:widowControl w:val="0"/>
              <w:numPr>
                <w:ilvl w:val="0"/>
                <w:numId w:val="2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根据已完成的BHT鉴别、含量分析方法确认变更含量检测时使用的色谱柱、对照品溶液配制、结果计算、系统适用性要求；增加计算信噪比时应勾选空白内容；删除对照品溶液回针面积回收率；</w:t>
            </w:r>
          </w:p>
          <w:p w14:paraId="6F4BBBC3">
            <w:pPr>
              <w:keepNext w:val="0"/>
              <w:keepLines w:val="0"/>
              <w:pageBreakBefore w:val="0"/>
              <w:widowControl w:val="0"/>
              <w:numPr>
                <w:ilvl w:val="0"/>
                <w:numId w:val="2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根据已完成的BHT有关物质分析方法确认变更有关物质检测时对照品溶液和样品溶液的制备、系统适用性、结果计算；增加溶液稳定性的相关规定</w:t>
            </w:r>
          </w:p>
          <w:p w14:paraId="78676A7B">
            <w:pPr>
              <w:keepNext w:val="0"/>
              <w:keepLines w:val="0"/>
              <w:pageBreakBefore w:val="0"/>
              <w:widowControl w:val="0"/>
              <w:numPr>
                <w:ilvl w:val="0"/>
                <w:numId w:val="2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统一仪器、溶液名称</w:t>
            </w:r>
          </w:p>
        </w:tc>
        <w:tc>
          <w:tcPr>
            <w:tcW w:w="1487" w:type="dxa"/>
            <w:vAlign w:val="center"/>
          </w:tcPr>
          <w:p w14:paraId="371366A1">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F2D3CE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2026.01.12</w:t>
            </w:r>
          </w:p>
        </w:tc>
        <w:tc>
          <w:tcPr>
            <w:tcW w:w="1514" w:type="dxa"/>
            <w:vAlign w:val="center"/>
          </w:tcPr>
          <w:p w14:paraId="53DF318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2026.01.28</w:t>
            </w:r>
          </w:p>
        </w:tc>
        <w:tc>
          <w:tcPr>
            <w:tcW w:w="1391" w:type="dxa"/>
            <w:vAlign w:val="center"/>
          </w:tcPr>
          <w:p w14:paraId="127B6B5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2026.05.15</w:t>
            </w:r>
          </w:p>
        </w:tc>
        <w:tc>
          <w:tcPr>
            <w:tcW w:w="1268" w:type="dxa"/>
            <w:vAlign w:val="center"/>
          </w:tcPr>
          <w:p w14:paraId="5C3C837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B37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44490E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1765C7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BG-2601007</w:t>
            </w:r>
          </w:p>
        </w:tc>
        <w:tc>
          <w:tcPr>
            <w:tcW w:w="1377" w:type="dxa"/>
            <w:vAlign w:val="center"/>
          </w:tcPr>
          <w:p w14:paraId="468C6F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9CC365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修订试剂及试液配制方法一览表</w:t>
            </w:r>
          </w:p>
        </w:tc>
        <w:tc>
          <w:tcPr>
            <w:tcW w:w="2959" w:type="dxa"/>
            <w:vAlign w:val="center"/>
          </w:tcPr>
          <w:p w14:paraId="0372CC31">
            <w:pPr>
              <w:keepNext w:val="0"/>
              <w:keepLines w:val="0"/>
              <w:pageBreakBefore w:val="0"/>
              <w:widowControl w:val="0"/>
              <w:numPr>
                <w:ilvl w:val="0"/>
                <w:numId w:val="2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删除重复的内容</w:t>
            </w:r>
          </w:p>
          <w:p w14:paraId="6B0D346F">
            <w:pPr>
              <w:keepNext w:val="0"/>
              <w:keepLines w:val="0"/>
              <w:pageBreakBefore w:val="0"/>
              <w:widowControl w:val="0"/>
              <w:numPr>
                <w:ilvl w:val="0"/>
                <w:numId w:val="2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根据2025版中国药典调整部分描述，并增加二甲酚橙指示液、结晶紫指示液、溴麝香草酚蓝指示液、酚酞指示液增加灵敏度试验</w:t>
            </w:r>
          </w:p>
        </w:tc>
        <w:tc>
          <w:tcPr>
            <w:tcW w:w="1487" w:type="dxa"/>
            <w:vAlign w:val="center"/>
          </w:tcPr>
          <w:p w14:paraId="7C4AF54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8A001C5">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2026.01.15</w:t>
            </w:r>
          </w:p>
        </w:tc>
        <w:tc>
          <w:tcPr>
            <w:tcW w:w="1514" w:type="dxa"/>
            <w:vAlign w:val="center"/>
          </w:tcPr>
          <w:p w14:paraId="63E441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2026.01.16</w:t>
            </w:r>
          </w:p>
        </w:tc>
        <w:tc>
          <w:tcPr>
            <w:tcW w:w="1391" w:type="dxa"/>
            <w:vAlign w:val="center"/>
          </w:tcPr>
          <w:p w14:paraId="5A88DFF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c>
          <w:tcPr>
            <w:tcW w:w="1268" w:type="dxa"/>
            <w:vAlign w:val="center"/>
          </w:tcPr>
          <w:p w14:paraId="106198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r>
      <w:tr w14:paraId="4B9B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B72659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3DEBDB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BG-2601008</w:t>
            </w:r>
          </w:p>
        </w:tc>
        <w:tc>
          <w:tcPr>
            <w:tcW w:w="1377" w:type="dxa"/>
            <w:vAlign w:val="center"/>
          </w:tcPr>
          <w:p w14:paraId="5E39F4C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0A8554A">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QC理化组新增一台节能箱式电炉，并将马弗炉（QC-2-2-007）退役</w:t>
            </w:r>
          </w:p>
        </w:tc>
        <w:tc>
          <w:tcPr>
            <w:tcW w:w="2959" w:type="dxa"/>
            <w:vAlign w:val="center"/>
          </w:tcPr>
          <w:p w14:paraId="0C82C05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QC理化组新增一台节能箱式电炉，并将马弗炉（QC-2-2-007）退役</w:t>
            </w:r>
          </w:p>
        </w:tc>
        <w:tc>
          <w:tcPr>
            <w:tcW w:w="1487" w:type="dxa"/>
            <w:vAlign w:val="center"/>
          </w:tcPr>
          <w:p w14:paraId="37C28F3F">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B5C0D8B">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2026.01.15</w:t>
            </w:r>
          </w:p>
        </w:tc>
        <w:tc>
          <w:tcPr>
            <w:tcW w:w="1514" w:type="dxa"/>
            <w:vAlign w:val="center"/>
          </w:tcPr>
          <w:p w14:paraId="1BB78E6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2026.01.15</w:t>
            </w:r>
          </w:p>
        </w:tc>
        <w:tc>
          <w:tcPr>
            <w:tcW w:w="1391" w:type="dxa"/>
            <w:vAlign w:val="center"/>
          </w:tcPr>
          <w:p w14:paraId="7EEA6E8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268" w:type="dxa"/>
            <w:vAlign w:val="center"/>
          </w:tcPr>
          <w:p w14:paraId="4302D09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r>
      <w:tr w14:paraId="6BE0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DB5DC9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090E97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BG-2601009</w:t>
            </w:r>
          </w:p>
        </w:tc>
        <w:tc>
          <w:tcPr>
            <w:tcW w:w="1377" w:type="dxa"/>
            <w:vAlign w:val="center"/>
          </w:tcPr>
          <w:p w14:paraId="2CA85A1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202车间</w:t>
            </w:r>
          </w:p>
        </w:tc>
        <w:tc>
          <w:tcPr>
            <w:tcW w:w="2395" w:type="dxa"/>
            <w:vAlign w:val="center"/>
          </w:tcPr>
          <w:p w14:paraId="7D940E7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关于“拆除一套再生贫有（仲辛醇）系统”的变更</w:t>
            </w:r>
          </w:p>
        </w:tc>
        <w:tc>
          <w:tcPr>
            <w:tcW w:w="2959" w:type="dxa"/>
            <w:vAlign w:val="center"/>
          </w:tcPr>
          <w:p w14:paraId="65DAE4C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拆除设备分水槽XT3-2-1-105、分水柱XT3-2-1-104、再生槽XT3-2-1-126、反贫有储罐XT3-2-1-107、洗水储罐XT3-2-1-110,</w:t>
            </w:r>
          </w:p>
        </w:tc>
        <w:tc>
          <w:tcPr>
            <w:tcW w:w="1487" w:type="dxa"/>
            <w:vAlign w:val="center"/>
          </w:tcPr>
          <w:p w14:paraId="779ED283">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E78A1E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2026.01.15</w:t>
            </w:r>
          </w:p>
        </w:tc>
        <w:tc>
          <w:tcPr>
            <w:tcW w:w="1514" w:type="dxa"/>
            <w:vAlign w:val="center"/>
          </w:tcPr>
          <w:p w14:paraId="4E653C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2026.01.22</w:t>
            </w:r>
          </w:p>
        </w:tc>
        <w:tc>
          <w:tcPr>
            <w:tcW w:w="1391" w:type="dxa"/>
            <w:vAlign w:val="center"/>
          </w:tcPr>
          <w:p w14:paraId="1BCB90F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eastAsia="zh-CN"/>
              </w:rPr>
              <w:t>2026.02.22</w:t>
            </w:r>
          </w:p>
        </w:tc>
        <w:tc>
          <w:tcPr>
            <w:tcW w:w="1268" w:type="dxa"/>
            <w:vAlign w:val="center"/>
          </w:tcPr>
          <w:p w14:paraId="3F92DB5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2026.05.06</w:t>
            </w:r>
          </w:p>
        </w:tc>
      </w:tr>
      <w:tr w14:paraId="2B48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469888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7D5C59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BG-2601010</w:t>
            </w:r>
          </w:p>
        </w:tc>
        <w:tc>
          <w:tcPr>
            <w:tcW w:w="1377" w:type="dxa"/>
            <w:vAlign w:val="center"/>
          </w:tcPr>
          <w:p w14:paraId="0BFA2D3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6972C46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《霉酚酸客户（FIS）标准一览表》MC-K15/02</w:t>
            </w:r>
          </w:p>
        </w:tc>
        <w:tc>
          <w:tcPr>
            <w:tcW w:w="2959" w:type="dxa"/>
            <w:vAlign w:val="center"/>
          </w:tcPr>
          <w:p w14:paraId="0E873D6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1、将0.1N NaOH 滴定含量的标准由“≥85.0%”修订为“≥90.0%”；</w:t>
            </w:r>
          </w:p>
          <w:p w14:paraId="6E38136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2、将HPLC含量 (w/w)的标准由“≥85.0%”修订为“≥90.0%”；</w:t>
            </w:r>
          </w:p>
          <w:p w14:paraId="121E2B4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3、将HPLC总杂的标准由“≤5.0%”修订为“≤3.0%”</w:t>
            </w:r>
          </w:p>
        </w:tc>
        <w:tc>
          <w:tcPr>
            <w:tcW w:w="1487" w:type="dxa"/>
            <w:vAlign w:val="center"/>
          </w:tcPr>
          <w:p w14:paraId="36D6552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E7D688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2026.01.19</w:t>
            </w:r>
          </w:p>
        </w:tc>
        <w:tc>
          <w:tcPr>
            <w:tcW w:w="1514" w:type="dxa"/>
            <w:vAlign w:val="center"/>
          </w:tcPr>
          <w:p w14:paraId="478CBC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391" w:type="dxa"/>
            <w:vAlign w:val="center"/>
          </w:tcPr>
          <w:p w14:paraId="5D3279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2026.01.26</w:t>
            </w:r>
          </w:p>
        </w:tc>
        <w:tc>
          <w:tcPr>
            <w:tcW w:w="1268" w:type="dxa"/>
            <w:vAlign w:val="center"/>
          </w:tcPr>
          <w:p w14:paraId="1BAFB3E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2026.01.28</w:t>
            </w:r>
          </w:p>
        </w:tc>
      </w:tr>
      <w:tr w14:paraId="3953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D3A39E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591D3F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BG-2601011</w:t>
            </w:r>
          </w:p>
        </w:tc>
        <w:tc>
          <w:tcPr>
            <w:tcW w:w="1377" w:type="dxa"/>
            <w:vAlign w:val="center"/>
          </w:tcPr>
          <w:p w14:paraId="0C26C83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416FD50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《环境监测管理程序》SMP-QA-029/11</w:t>
            </w:r>
          </w:p>
        </w:tc>
        <w:tc>
          <w:tcPr>
            <w:tcW w:w="2959" w:type="dxa"/>
            <w:vAlign w:val="center"/>
          </w:tcPr>
          <w:p w14:paraId="4ECF158E">
            <w:pPr>
              <w:keepNext w:val="0"/>
              <w:keepLines w:val="0"/>
              <w:pageBreakBefore w:val="0"/>
              <w:widowControl w:val="0"/>
              <w:numPr>
                <w:ilvl w:val="0"/>
                <w:numId w:val="2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增加噪声项目、标准、测定频次及检测方法</w:t>
            </w:r>
          </w:p>
          <w:p w14:paraId="7F3ECE36">
            <w:pPr>
              <w:keepNext w:val="0"/>
              <w:keepLines w:val="0"/>
              <w:pageBreakBefore w:val="0"/>
              <w:widowControl w:val="0"/>
              <w:numPr>
                <w:ilvl w:val="0"/>
                <w:numId w:val="2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增加污染率定义</w:t>
            </w:r>
          </w:p>
          <w:p w14:paraId="3DA2B98E">
            <w:pPr>
              <w:keepNext w:val="0"/>
              <w:keepLines w:val="0"/>
              <w:pageBreakBefore w:val="0"/>
              <w:widowControl w:val="0"/>
              <w:numPr>
                <w:ilvl w:val="0"/>
                <w:numId w:val="2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增加每年趋势分析时要进行A级区域微生物污染率计算的相关规定</w:t>
            </w:r>
          </w:p>
          <w:p w14:paraId="44D78B5C">
            <w:pPr>
              <w:keepNext w:val="0"/>
              <w:keepLines w:val="0"/>
              <w:pageBreakBefore w:val="0"/>
              <w:widowControl w:val="0"/>
              <w:numPr>
                <w:ilvl w:val="0"/>
                <w:numId w:val="2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增加监测结果表明已超出标准规定时的处理方法</w:t>
            </w:r>
          </w:p>
        </w:tc>
        <w:tc>
          <w:tcPr>
            <w:tcW w:w="1487" w:type="dxa"/>
            <w:vAlign w:val="center"/>
          </w:tcPr>
          <w:p w14:paraId="7A2D1BFE">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132706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2026.01.20</w:t>
            </w:r>
          </w:p>
        </w:tc>
        <w:tc>
          <w:tcPr>
            <w:tcW w:w="1514" w:type="dxa"/>
            <w:vAlign w:val="center"/>
          </w:tcPr>
          <w:p w14:paraId="1EF3E88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391" w:type="dxa"/>
            <w:vAlign w:val="center"/>
          </w:tcPr>
          <w:p w14:paraId="767CEE9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01006B4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077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FEC08A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FA1A30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BG-2601012</w:t>
            </w:r>
          </w:p>
        </w:tc>
        <w:tc>
          <w:tcPr>
            <w:tcW w:w="1377" w:type="dxa"/>
            <w:vAlign w:val="center"/>
          </w:tcPr>
          <w:p w14:paraId="25C65A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37705BD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《102二车间兽药制剂生产线吨袋投料系统清洁标准操作规程》SOP-XT2-301/03DENG 5份文件</w:t>
            </w:r>
          </w:p>
        </w:tc>
        <w:tc>
          <w:tcPr>
            <w:tcW w:w="2959" w:type="dxa"/>
            <w:vAlign w:val="center"/>
          </w:tcPr>
          <w:p w14:paraId="7FBD4A9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将清洁频次及条件中连续生产2批后清洁变更为连续生产9批后清洁</w:t>
            </w:r>
          </w:p>
        </w:tc>
        <w:tc>
          <w:tcPr>
            <w:tcW w:w="1487" w:type="dxa"/>
            <w:vAlign w:val="center"/>
          </w:tcPr>
          <w:p w14:paraId="0F59AEE5">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14A1CCB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2026.01.20</w:t>
            </w:r>
          </w:p>
        </w:tc>
        <w:tc>
          <w:tcPr>
            <w:tcW w:w="1514" w:type="dxa"/>
            <w:vAlign w:val="center"/>
          </w:tcPr>
          <w:p w14:paraId="39DA48C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2026.01.26</w:t>
            </w:r>
          </w:p>
        </w:tc>
        <w:tc>
          <w:tcPr>
            <w:tcW w:w="1391" w:type="dxa"/>
            <w:vAlign w:val="center"/>
          </w:tcPr>
          <w:p w14:paraId="6EB636B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2026.03.06</w:t>
            </w:r>
          </w:p>
        </w:tc>
        <w:tc>
          <w:tcPr>
            <w:tcW w:w="1268" w:type="dxa"/>
            <w:vAlign w:val="center"/>
          </w:tcPr>
          <w:p w14:paraId="2C10DC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2026.03.24</w:t>
            </w:r>
          </w:p>
        </w:tc>
      </w:tr>
      <w:tr w14:paraId="3052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73D5541">
            <w:pPr>
              <w:numPr>
                <w:ilvl w:val="0"/>
                <w:numId w:val="1"/>
              </w:numPr>
              <w:ind w:left="-420" w:leftChars="0" w:firstLine="420" w:firstLineChars="0"/>
              <w:jc w:val="center"/>
              <w:rPr>
                <w:rFonts w:hint="default" w:ascii="Times New Roman" w:hAnsi="Times New Roman" w:eastAsia="宋体" w:cs="Times New Roman"/>
                <w:sz w:val="21"/>
                <w:szCs w:val="21"/>
                <w:highlight w:val="none"/>
              </w:rPr>
            </w:pPr>
          </w:p>
        </w:tc>
        <w:tc>
          <w:tcPr>
            <w:tcW w:w="1095" w:type="dxa"/>
            <w:vAlign w:val="center"/>
          </w:tcPr>
          <w:p w14:paraId="1180A59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BG-2601013</w:t>
            </w:r>
          </w:p>
        </w:tc>
        <w:tc>
          <w:tcPr>
            <w:tcW w:w="1377" w:type="dxa"/>
            <w:vAlign w:val="center"/>
          </w:tcPr>
          <w:p w14:paraId="21DFCBB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201一车间</w:t>
            </w:r>
          </w:p>
        </w:tc>
        <w:tc>
          <w:tcPr>
            <w:tcW w:w="2395" w:type="dxa"/>
            <w:vAlign w:val="center"/>
          </w:tcPr>
          <w:p w14:paraId="3F84810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美伐他汀萃取滤液、粗品干粉、一次精品储存有效期及二次母液套用规定</w:t>
            </w:r>
          </w:p>
        </w:tc>
        <w:tc>
          <w:tcPr>
            <w:tcW w:w="2959" w:type="dxa"/>
            <w:vAlign w:val="center"/>
          </w:tcPr>
          <w:p w14:paraId="230FE55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1、增加分水后的萃取滤液，需在72小时以内进入萃取浓缩工序</w:t>
            </w:r>
          </w:p>
          <w:p w14:paraId="25C6342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2、干燥完的粗品干粉进入精制工序时间由“11小时以内”变更为“6天（144小时）以内”</w:t>
            </w:r>
          </w:p>
          <w:p w14:paraId="1A9034E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3、一次精品进入二次精制工序的时间由“35小时”变更为“6天（144小时）”</w:t>
            </w:r>
          </w:p>
          <w:p w14:paraId="668EF01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4、增加二次母液套用规定</w:t>
            </w:r>
          </w:p>
        </w:tc>
        <w:tc>
          <w:tcPr>
            <w:tcW w:w="1487" w:type="dxa"/>
            <w:vAlign w:val="center"/>
          </w:tcPr>
          <w:p w14:paraId="0ED64CB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 xml:space="preserve">轻微变更 </w:t>
            </w:r>
          </w:p>
        </w:tc>
        <w:tc>
          <w:tcPr>
            <w:tcW w:w="1431" w:type="dxa"/>
            <w:vAlign w:val="center"/>
          </w:tcPr>
          <w:p w14:paraId="26B71C3D">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2026.01.21</w:t>
            </w:r>
          </w:p>
        </w:tc>
        <w:tc>
          <w:tcPr>
            <w:tcW w:w="1514" w:type="dxa"/>
            <w:vAlign w:val="center"/>
          </w:tcPr>
          <w:p w14:paraId="795CA0D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391" w:type="dxa"/>
            <w:vAlign w:val="center"/>
          </w:tcPr>
          <w:p w14:paraId="6BD6A82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268" w:type="dxa"/>
            <w:vAlign w:val="center"/>
          </w:tcPr>
          <w:p w14:paraId="5491B0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2026.04.15</w:t>
            </w:r>
          </w:p>
        </w:tc>
      </w:tr>
      <w:tr w14:paraId="3EC9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06E959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D9C7BB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BG-2601014</w:t>
            </w:r>
          </w:p>
        </w:tc>
        <w:tc>
          <w:tcPr>
            <w:tcW w:w="1377" w:type="dxa"/>
            <w:vAlign w:val="center"/>
          </w:tcPr>
          <w:p w14:paraId="6451D8A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3267AEF9">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《2%氟苯尼考预混剂用复合包装袋质量标准》STP-QS-BI-612/02和《纸箱质量标准》STP-QS-BO-706/01</w:t>
            </w:r>
          </w:p>
        </w:tc>
        <w:tc>
          <w:tcPr>
            <w:tcW w:w="2959" w:type="dxa"/>
            <w:vAlign w:val="center"/>
          </w:tcPr>
          <w:p w14:paraId="688E0AC7">
            <w:pPr>
              <w:keepNext w:val="0"/>
              <w:keepLines w:val="0"/>
              <w:pageBreakBefore w:val="0"/>
              <w:widowControl w:val="0"/>
              <w:numPr>
                <w:ilvl w:val="0"/>
                <w:numId w:val="2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增加复合包装袋、纸箱样稿示意图</w:t>
            </w:r>
          </w:p>
          <w:p w14:paraId="1EBA5360">
            <w:pPr>
              <w:keepNext w:val="0"/>
              <w:keepLines w:val="0"/>
              <w:pageBreakBefore w:val="0"/>
              <w:widowControl w:val="0"/>
              <w:numPr>
                <w:ilvl w:val="0"/>
                <w:numId w:val="23"/>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在纸箱外观检测项目质量标准中增加“字迹清晰，外观与样稿一致”</w:t>
            </w:r>
          </w:p>
          <w:p w14:paraId="268BD975">
            <w:pPr>
              <w:keepNext w:val="0"/>
              <w:keepLines w:val="0"/>
              <w:pageBreakBefore w:val="0"/>
              <w:widowControl w:val="0"/>
              <w:numPr>
                <w:ilvl w:val="0"/>
                <w:numId w:val="23"/>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外层围板重量质量标准由430±30g变更为430±50g，外层围板重量质量标准由240±30g变更为240±50g，空箱重量质量标准由1350±30g变更为1350±50g，整体重量质量标准由2000±90g变更为2000±100g</w:t>
            </w:r>
          </w:p>
        </w:tc>
        <w:tc>
          <w:tcPr>
            <w:tcW w:w="1487" w:type="dxa"/>
            <w:vAlign w:val="center"/>
          </w:tcPr>
          <w:p w14:paraId="42D2C481">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 xml:space="preserve">  轻微变更   </w:t>
            </w:r>
          </w:p>
        </w:tc>
        <w:tc>
          <w:tcPr>
            <w:tcW w:w="1431" w:type="dxa"/>
            <w:vAlign w:val="center"/>
          </w:tcPr>
          <w:p w14:paraId="1BE890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2026.01.21</w:t>
            </w:r>
          </w:p>
        </w:tc>
        <w:tc>
          <w:tcPr>
            <w:tcW w:w="1514" w:type="dxa"/>
            <w:vAlign w:val="center"/>
          </w:tcPr>
          <w:p w14:paraId="0D829CB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391" w:type="dxa"/>
            <w:vAlign w:val="center"/>
          </w:tcPr>
          <w:p w14:paraId="0B17B9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2026.02.01</w:t>
            </w:r>
          </w:p>
        </w:tc>
        <w:tc>
          <w:tcPr>
            <w:tcW w:w="1268" w:type="dxa"/>
            <w:vAlign w:val="center"/>
          </w:tcPr>
          <w:p w14:paraId="7534E1D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2026.03.11</w:t>
            </w:r>
          </w:p>
        </w:tc>
      </w:tr>
      <w:tr w14:paraId="788A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6A2BE9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616CFF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BG-2601015</w:t>
            </w:r>
          </w:p>
        </w:tc>
        <w:tc>
          <w:tcPr>
            <w:tcW w:w="1377" w:type="dxa"/>
            <w:vAlign w:val="center"/>
          </w:tcPr>
          <w:p w14:paraId="335FB23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2CD84FA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《微生物检验用的培养基管理程序》SMP-QC-023/06</w:t>
            </w:r>
          </w:p>
        </w:tc>
        <w:tc>
          <w:tcPr>
            <w:tcW w:w="2959" w:type="dxa"/>
            <w:vAlign w:val="center"/>
          </w:tcPr>
          <w:p w14:paraId="021A563F">
            <w:pPr>
              <w:keepNext w:val="0"/>
              <w:keepLines w:val="0"/>
              <w:pageBreakBefore w:val="0"/>
              <w:widowControl w:val="0"/>
              <w:numPr>
                <w:ilvl w:val="0"/>
                <w:numId w:val="2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根据2025版《中国药典》增加菌液制备过程中可选择的稀释用溶剂、变更聚山梨酯80的单位；变更控制菌检查用培养基指示特性检查的培养时间；删除培养基抑制能力检查中对照培养基的抑制能力检查</w:t>
            </w:r>
          </w:p>
          <w:p w14:paraId="204EA570">
            <w:pPr>
              <w:keepNext w:val="0"/>
              <w:keepLines w:val="0"/>
              <w:pageBreakBefore w:val="0"/>
              <w:widowControl w:val="0"/>
              <w:numPr>
                <w:ilvl w:val="0"/>
                <w:numId w:val="2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新增控制菌检查用培养基适用性检查相关内容</w:t>
            </w:r>
          </w:p>
          <w:p w14:paraId="2A2E5C26">
            <w:pPr>
              <w:keepNext w:val="0"/>
              <w:keepLines w:val="0"/>
              <w:pageBreakBefore w:val="0"/>
              <w:widowControl w:val="0"/>
              <w:numPr>
                <w:ilvl w:val="0"/>
                <w:numId w:val="2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增加使用巴西曲霉菌液制的相关内容             </w:t>
            </w:r>
          </w:p>
        </w:tc>
        <w:tc>
          <w:tcPr>
            <w:tcW w:w="1487" w:type="dxa"/>
            <w:vAlign w:val="center"/>
          </w:tcPr>
          <w:p w14:paraId="2B7DAD9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 xml:space="preserve">  轻微变更 </w:t>
            </w:r>
          </w:p>
        </w:tc>
        <w:tc>
          <w:tcPr>
            <w:tcW w:w="1431" w:type="dxa"/>
            <w:vAlign w:val="center"/>
          </w:tcPr>
          <w:p w14:paraId="472E84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2026.01.21</w:t>
            </w:r>
          </w:p>
        </w:tc>
        <w:tc>
          <w:tcPr>
            <w:tcW w:w="1514" w:type="dxa"/>
            <w:vAlign w:val="center"/>
          </w:tcPr>
          <w:p w14:paraId="7F5D61C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2026.01.22</w:t>
            </w:r>
          </w:p>
        </w:tc>
        <w:tc>
          <w:tcPr>
            <w:tcW w:w="1391" w:type="dxa"/>
            <w:vAlign w:val="center"/>
          </w:tcPr>
          <w:p w14:paraId="70CCEC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2026.02.10</w:t>
            </w:r>
          </w:p>
        </w:tc>
        <w:tc>
          <w:tcPr>
            <w:tcW w:w="1268" w:type="dxa"/>
            <w:vAlign w:val="center"/>
          </w:tcPr>
          <w:p w14:paraId="5D360A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2026.02.10</w:t>
            </w:r>
          </w:p>
        </w:tc>
      </w:tr>
      <w:tr w14:paraId="49E5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F19ECC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223F20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BG-2601016</w:t>
            </w:r>
          </w:p>
        </w:tc>
        <w:tc>
          <w:tcPr>
            <w:tcW w:w="1377" w:type="dxa"/>
            <w:vAlign w:val="center"/>
          </w:tcPr>
          <w:p w14:paraId="5000F9A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3E5BB05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新制定《作业区环境监测管理程序》</w:t>
            </w:r>
          </w:p>
        </w:tc>
        <w:tc>
          <w:tcPr>
            <w:tcW w:w="2959" w:type="dxa"/>
            <w:vAlign w:val="center"/>
          </w:tcPr>
          <w:p w14:paraId="319E3D4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依据GB14881-2025《食品生产通用卫生规范》新制定《作业区环境监测管理程序》</w:t>
            </w:r>
          </w:p>
        </w:tc>
        <w:tc>
          <w:tcPr>
            <w:tcW w:w="1487" w:type="dxa"/>
            <w:vAlign w:val="center"/>
          </w:tcPr>
          <w:p w14:paraId="56AA9E38">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7F7E72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2026.01.23</w:t>
            </w:r>
          </w:p>
        </w:tc>
        <w:tc>
          <w:tcPr>
            <w:tcW w:w="1514" w:type="dxa"/>
            <w:vAlign w:val="center"/>
          </w:tcPr>
          <w:p w14:paraId="3DE288B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2026.01.28</w:t>
            </w:r>
          </w:p>
        </w:tc>
        <w:tc>
          <w:tcPr>
            <w:tcW w:w="1391" w:type="dxa"/>
            <w:vAlign w:val="center"/>
          </w:tcPr>
          <w:p w14:paraId="3D29EBA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2026.03.10</w:t>
            </w:r>
          </w:p>
        </w:tc>
        <w:tc>
          <w:tcPr>
            <w:tcW w:w="1268" w:type="dxa"/>
            <w:vAlign w:val="center"/>
          </w:tcPr>
          <w:p w14:paraId="3CA0592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2026.03.11</w:t>
            </w:r>
          </w:p>
        </w:tc>
      </w:tr>
      <w:tr w14:paraId="3D01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405F8C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8B461A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BG-2601017</w:t>
            </w:r>
          </w:p>
        </w:tc>
        <w:tc>
          <w:tcPr>
            <w:tcW w:w="1377" w:type="dxa"/>
            <w:vAlign w:val="center"/>
          </w:tcPr>
          <w:p w14:paraId="4F27469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40B1978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兽药制剂生产线改造</w:t>
            </w:r>
          </w:p>
        </w:tc>
        <w:tc>
          <w:tcPr>
            <w:tcW w:w="2959" w:type="dxa"/>
            <w:vAlign w:val="center"/>
          </w:tcPr>
          <w:p w14:paraId="73049DA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兽药制剂生产线改造</w:t>
            </w:r>
          </w:p>
        </w:tc>
        <w:tc>
          <w:tcPr>
            <w:tcW w:w="1487" w:type="dxa"/>
            <w:vAlign w:val="center"/>
          </w:tcPr>
          <w:p w14:paraId="4D9195D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2A7790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2026.01.23</w:t>
            </w:r>
          </w:p>
        </w:tc>
        <w:tc>
          <w:tcPr>
            <w:tcW w:w="1514" w:type="dxa"/>
            <w:vAlign w:val="center"/>
          </w:tcPr>
          <w:p w14:paraId="7FCED81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2026.01.23</w:t>
            </w:r>
          </w:p>
        </w:tc>
        <w:tc>
          <w:tcPr>
            <w:tcW w:w="1391" w:type="dxa"/>
            <w:vAlign w:val="center"/>
          </w:tcPr>
          <w:p w14:paraId="271C4ED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3734F8D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F8C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1DD6F5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8A2EB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BG-2601018</w:t>
            </w:r>
          </w:p>
        </w:tc>
        <w:tc>
          <w:tcPr>
            <w:tcW w:w="1377" w:type="dxa"/>
            <w:vAlign w:val="center"/>
          </w:tcPr>
          <w:p w14:paraId="68C76B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D8DB91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QC仪器组新增一台UPS电源并将UPS电源（QC-1-2-001）退役</w:t>
            </w:r>
          </w:p>
        </w:tc>
        <w:tc>
          <w:tcPr>
            <w:tcW w:w="2959" w:type="dxa"/>
            <w:vAlign w:val="center"/>
          </w:tcPr>
          <w:p w14:paraId="697B2AB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QC仪器组新增一台UPS电源并将UPS电源（QC-1-2-001）退役</w:t>
            </w:r>
          </w:p>
        </w:tc>
        <w:tc>
          <w:tcPr>
            <w:tcW w:w="1487" w:type="dxa"/>
            <w:vAlign w:val="center"/>
          </w:tcPr>
          <w:p w14:paraId="6923B93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CC5CD8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2026.01.23</w:t>
            </w:r>
          </w:p>
        </w:tc>
        <w:tc>
          <w:tcPr>
            <w:tcW w:w="1514" w:type="dxa"/>
            <w:vAlign w:val="center"/>
          </w:tcPr>
          <w:p w14:paraId="67C99B9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2026.01.27</w:t>
            </w:r>
          </w:p>
        </w:tc>
        <w:tc>
          <w:tcPr>
            <w:tcW w:w="1391" w:type="dxa"/>
            <w:vAlign w:val="center"/>
          </w:tcPr>
          <w:p w14:paraId="43FD7DA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c>
          <w:tcPr>
            <w:tcW w:w="1268" w:type="dxa"/>
            <w:vAlign w:val="center"/>
          </w:tcPr>
          <w:p w14:paraId="65426A8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2026.04.07</w:t>
            </w:r>
          </w:p>
        </w:tc>
      </w:tr>
      <w:tr w14:paraId="1858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D0534D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D3D7AA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BG-2601019</w:t>
            </w:r>
          </w:p>
        </w:tc>
        <w:tc>
          <w:tcPr>
            <w:tcW w:w="1377" w:type="dxa"/>
            <w:vAlign w:val="center"/>
          </w:tcPr>
          <w:p w14:paraId="3C95CA5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C1771E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QC氨基酸实验室新增一台节能箱式电炉</w:t>
            </w:r>
          </w:p>
        </w:tc>
        <w:tc>
          <w:tcPr>
            <w:tcW w:w="2959" w:type="dxa"/>
            <w:vAlign w:val="center"/>
          </w:tcPr>
          <w:p w14:paraId="7A23ED7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QC氨基酸实验室新增一台节能箱式电炉</w:t>
            </w:r>
          </w:p>
        </w:tc>
        <w:tc>
          <w:tcPr>
            <w:tcW w:w="1487" w:type="dxa"/>
            <w:vAlign w:val="center"/>
          </w:tcPr>
          <w:p w14:paraId="2D33192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39DF25D">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2026.01.27</w:t>
            </w:r>
          </w:p>
        </w:tc>
        <w:tc>
          <w:tcPr>
            <w:tcW w:w="1514" w:type="dxa"/>
            <w:vAlign w:val="center"/>
          </w:tcPr>
          <w:p w14:paraId="3F6AC71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2026.01.28</w:t>
            </w:r>
          </w:p>
        </w:tc>
        <w:tc>
          <w:tcPr>
            <w:tcW w:w="1391" w:type="dxa"/>
            <w:vAlign w:val="center"/>
          </w:tcPr>
          <w:p w14:paraId="581E38E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2026.03.03</w:t>
            </w:r>
          </w:p>
        </w:tc>
        <w:tc>
          <w:tcPr>
            <w:tcW w:w="1268" w:type="dxa"/>
            <w:vAlign w:val="center"/>
          </w:tcPr>
          <w:p w14:paraId="42DCCE4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2026.03.11</w:t>
            </w:r>
          </w:p>
        </w:tc>
      </w:tr>
      <w:tr w14:paraId="1D78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A6D26A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FF3406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BG-2601020</w:t>
            </w:r>
          </w:p>
        </w:tc>
        <w:tc>
          <w:tcPr>
            <w:tcW w:w="1377" w:type="dxa"/>
            <w:vAlign w:val="center"/>
          </w:tcPr>
          <w:p w14:paraId="7A3FB59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5A7900B">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《霉酚酸成品检验标准操作规程（内控）》SOP-QC(MC-001/13、《霉酚酸高规成品检验标准操作规程》SOP-QC(MC)-002/02、《霉酚酸成品检验标准操作规程（BF）》SOP-QC(MC)-003/09</w:t>
            </w:r>
          </w:p>
        </w:tc>
        <w:tc>
          <w:tcPr>
            <w:tcW w:w="2959" w:type="dxa"/>
            <w:vAlign w:val="center"/>
          </w:tcPr>
          <w:p w14:paraId="1213845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依据2025年《中国药典》，将文件中残留溶剂系统适应性   项目5针对照溶液中乙酸丁酯峰面积、回标峰面积RSD≤15.0%变更为RSD≤10.0%</w:t>
            </w:r>
          </w:p>
        </w:tc>
        <w:tc>
          <w:tcPr>
            <w:tcW w:w="1487" w:type="dxa"/>
            <w:vAlign w:val="center"/>
          </w:tcPr>
          <w:p w14:paraId="3E5CE07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01D3129">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2026.01.28</w:t>
            </w:r>
          </w:p>
        </w:tc>
        <w:tc>
          <w:tcPr>
            <w:tcW w:w="1514" w:type="dxa"/>
            <w:vAlign w:val="center"/>
          </w:tcPr>
          <w:p w14:paraId="3209012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2026.02.02</w:t>
            </w:r>
          </w:p>
        </w:tc>
        <w:tc>
          <w:tcPr>
            <w:tcW w:w="1391" w:type="dxa"/>
            <w:vAlign w:val="center"/>
          </w:tcPr>
          <w:p w14:paraId="71E125A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1C90BFA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734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19C38F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19F13B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BG-2601021</w:t>
            </w:r>
          </w:p>
        </w:tc>
        <w:tc>
          <w:tcPr>
            <w:tcW w:w="1377" w:type="dxa"/>
            <w:vAlign w:val="center"/>
          </w:tcPr>
          <w:p w14:paraId="56F00A6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2438450A">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新建氨基酸类产品留样室，当前留样室改建为休息室，当前休息室改建为仪器室（2）</w:t>
            </w:r>
          </w:p>
        </w:tc>
        <w:tc>
          <w:tcPr>
            <w:tcW w:w="2959" w:type="dxa"/>
            <w:vAlign w:val="center"/>
          </w:tcPr>
          <w:p w14:paraId="6D6F634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新建氨基酸类产品留样室，当前留样室改建为休息室，当前休息室改建为仪器室（2）</w:t>
            </w:r>
          </w:p>
        </w:tc>
        <w:tc>
          <w:tcPr>
            <w:tcW w:w="1487" w:type="dxa"/>
            <w:vAlign w:val="center"/>
          </w:tcPr>
          <w:p w14:paraId="560E3C23">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92F0BF8">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2026.01.29</w:t>
            </w:r>
          </w:p>
        </w:tc>
        <w:tc>
          <w:tcPr>
            <w:tcW w:w="1514" w:type="dxa"/>
            <w:vAlign w:val="center"/>
          </w:tcPr>
          <w:p w14:paraId="40038B3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c>
          <w:tcPr>
            <w:tcW w:w="1391" w:type="dxa"/>
            <w:vAlign w:val="center"/>
          </w:tcPr>
          <w:p w14:paraId="16AD15A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2026.03.23</w:t>
            </w:r>
          </w:p>
        </w:tc>
        <w:tc>
          <w:tcPr>
            <w:tcW w:w="1268" w:type="dxa"/>
            <w:vAlign w:val="center"/>
          </w:tcPr>
          <w:p w14:paraId="7E01CCC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2026.03.23   </w:t>
            </w:r>
          </w:p>
        </w:tc>
      </w:tr>
      <w:tr w14:paraId="233E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C10ACD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0D4D5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BG-2601022</w:t>
            </w:r>
          </w:p>
        </w:tc>
        <w:tc>
          <w:tcPr>
            <w:tcW w:w="1377" w:type="dxa"/>
            <w:vAlign w:val="center"/>
          </w:tcPr>
          <w:p w14:paraId="4A2E6CD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80942E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QC氨基酸实验室新增一台电位滴定仪（G20S）</w:t>
            </w:r>
          </w:p>
        </w:tc>
        <w:tc>
          <w:tcPr>
            <w:tcW w:w="2959" w:type="dxa"/>
            <w:vAlign w:val="center"/>
          </w:tcPr>
          <w:p w14:paraId="0A88E02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QC氨基酸实验室新增一台电位滴定仪（G20S）</w:t>
            </w:r>
          </w:p>
        </w:tc>
        <w:tc>
          <w:tcPr>
            <w:tcW w:w="1487" w:type="dxa"/>
            <w:vAlign w:val="center"/>
          </w:tcPr>
          <w:p w14:paraId="548ED68C">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BB96E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2026.01.29</w:t>
            </w:r>
          </w:p>
        </w:tc>
        <w:tc>
          <w:tcPr>
            <w:tcW w:w="1514" w:type="dxa"/>
            <w:vAlign w:val="center"/>
          </w:tcPr>
          <w:p w14:paraId="0553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2026.01.30</w:t>
            </w:r>
          </w:p>
        </w:tc>
        <w:tc>
          <w:tcPr>
            <w:tcW w:w="1391" w:type="dxa"/>
            <w:vAlign w:val="center"/>
          </w:tcPr>
          <w:p w14:paraId="5753DF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2026.03.03</w:t>
            </w:r>
          </w:p>
        </w:tc>
        <w:tc>
          <w:tcPr>
            <w:tcW w:w="1268" w:type="dxa"/>
            <w:vAlign w:val="center"/>
          </w:tcPr>
          <w:p w14:paraId="47005E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2026.03.11</w:t>
            </w:r>
          </w:p>
        </w:tc>
      </w:tr>
      <w:tr w14:paraId="1E69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6FE5FB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1B3317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BG-2601023</w:t>
            </w:r>
          </w:p>
        </w:tc>
        <w:tc>
          <w:tcPr>
            <w:tcW w:w="1377" w:type="dxa"/>
            <w:vAlign w:val="center"/>
          </w:tcPr>
          <w:p w14:paraId="626F80A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201一车间</w:t>
            </w:r>
          </w:p>
        </w:tc>
        <w:tc>
          <w:tcPr>
            <w:tcW w:w="2395" w:type="dxa"/>
            <w:vAlign w:val="center"/>
          </w:tcPr>
          <w:p w14:paraId="2F6E5AF1">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新增美伐他汀提炼二次母液纯度检测</w:t>
            </w:r>
          </w:p>
        </w:tc>
        <w:tc>
          <w:tcPr>
            <w:tcW w:w="2959" w:type="dxa"/>
            <w:vAlign w:val="center"/>
          </w:tcPr>
          <w:p w14:paraId="416F5FC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对套用周期内产生的第25批、停产换或更换产品时产生的最后一批二次母液取样检测纯度；由车间人员在二次母液罐XT1-2-1-138进行取样，氮气翻滚10-15分钟，将母液翻滚均匀，半开取样阀门，排放约10秒后，进行取样，取样量控制在100-200ml之间，取样完成后关闭取样阀，在样品瓶上粘贴《样品标签》，填写《物料请检单》送至QC检测纯度，纯度应≥88%</w:t>
            </w:r>
          </w:p>
        </w:tc>
        <w:tc>
          <w:tcPr>
            <w:tcW w:w="1487" w:type="dxa"/>
            <w:vAlign w:val="center"/>
          </w:tcPr>
          <w:p w14:paraId="2417B61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484DD8E">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2026.01.31</w:t>
            </w:r>
          </w:p>
        </w:tc>
        <w:tc>
          <w:tcPr>
            <w:tcW w:w="1514" w:type="dxa"/>
            <w:vAlign w:val="center"/>
          </w:tcPr>
          <w:p w14:paraId="4289615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2026.02.04</w:t>
            </w:r>
          </w:p>
        </w:tc>
        <w:tc>
          <w:tcPr>
            <w:tcW w:w="1391" w:type="dxa"/>
            <w:vAlign w:val="center"/>
          </w:tcPr>
          <w:p w14:paraId="5F0AF5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268" w:type="dxa"/>
            <w:vAlign w:val="center"/>
          </w:tcPr>
          <w:p w14:paraId="43D55E2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2026.06.25</w:t>
            </w:r>
          </w:p>
        </w:tc>
      </w:tr>
      <w:tr w14:paraId="6227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D5C74E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D84966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BG-2601024</w:t>
            </w:r>
          </w:p>
        </w:tc>
        <w:tc>
          <w:tcPr>
            <w:tcW w:w="1377" w:type="dxa"/>
            <w:vAlign w:val="center"/>
          </w:tcPr>
          <w:p w14:paraId="08F1894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03ECBDA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对2%氟苯尼考预混剂工艺验证批成品进行重新包装</w:t>
            </w:r>
          </w:p>
        </w:tc>
        <w:tc>
          <w:tcPr>
            <w:tcW w:w="2959" w:type="dxa"/>
            <w:vAlign w:val="center"/>
          </w:tcPr>
          <w:p w14:paraId="5538A02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对2%氟苯尼考预混剂工艺验证批成品进行重新包装</w:t>
            </w:r>
          </w:p>
        </w:tc>
        <w:tc>
          <w:tcPr>
            <w:tcW w:w="1487" w:type="dxa"/>
            <w:vAlign w:val="center"/>
          </w:tcPr>
          <w:p w14:paraId="2B0D0F9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29D0AC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2026.01.31</w:t>
            </w:r>
          </w:p>
        </w:tc>
        <w:tc>
          <w:tcPr>
            <w:tcW w:w="1514" w:type="dxa"/>
            <w:vAlign w:val="center"/>
          </w:tcPr>
          <w:p w14:paraId="1583B84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2026.01.31</w:t>
            </w:r>
          </w:p>
        </w:tc>
        <w:tc>
          <w:tcPr>
            <w:tcW w:w="1391" w:type="dxa"/>
            <w:vAlign w:val="center"/>
          </w:tcPr>
          <w:p w14:paraId="71141FA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2026.03.10</w:t>
            </w:r>
          </w:p>
        </w:tc>
        <w:tc>
          <w:tcPr>
            <w:tcW w:w="1268" w:type="dxa"/>
            <w:vAlign w:val="center"/>
          </w:tcPr>
          <w:p w14:paraId="0D9EA8D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2026.03.10</w:t>
            </w:r>
          </w:p>
        </w:tc>
      </w:tr>
      <w:tr w14:paraId="3E1A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B5C30A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D2BEE9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BG-2602001</w:t>
            </w:r>
          </w:p>
        </w:tc>
        <w:tc>
          <w:tcPr>
            <w:tcW w:w="1377" w:type="dxa"/>
            <w:vAlign w:val="center"/>
          </w:tcPr>
          <w:p w14:paraId="43DBB9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2980A54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新增2%氟苯尼考预混剂产品标签审批表</w:t>
            </w:r>
          </w:p>
        </w:tc>
        <w:tc>
          <w:tcPr>
            <w:tcW w:w="2959" w:type="dxa"/>
            <w:vAlign w:val="center"/>
          </w:tcPr>
          <w:p w14:paraId="1779C18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新增2%氟苯尼考预混剂产品标签审批表</w:t>
            </w:r>
          </w:p>
        </w:tc>
        <w:tc>
          <w:tcPr>
            <w:tcW w:w="1487" w:type="dxa"/>
            <w:vAlign w:val="center"/>
          </w:tcPr>
          <w:p w14:paraId="22487D1D">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18845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2026.02.03</w:t>
            </w:r>
          </w:p>
        </w:tc>
        <w:tc>
          <w:tcPr>
            <w:tcW w:w="1514" w:type="dxa"/>
            <w:vAlign w:val="center"/>
          </w:tcPr>
          <w:p w14:paraId="5440DBB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2026.02.04</w:t>
            </w:r>
          </w:p>
        </w:tc>
        <w:tc>
          <w:tcPr>
            <w:tcW w:w="1391" w:type="dxa"/>
            <w:vAlign w:val="center"/>
          </w:tcPr>
          <w:p w14:paraId="0634847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c>
          <w:tcPr>
            <w:tcW w:w="1268" w:type="dxa"/>
            <w:vAlign w:val="center"/>
          </w:tcPr>
          <w:p w14:paraId="022A3D2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r>
      <w:tr w14:paraId="60FD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jc w:val="center"/>
        </w:trPr>
        <w:tc>
          <w:tcPr>
            <w:tcW w:w="637" w:type="dxa"/>
            <w:vAlign w:val="center"/>
          </w:tcPr>
          <w:p w14:paraId="65501FE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591F1C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BG-2602002</w:t>
            </w:r>
          </w:p>
        </w:tc>
        <w:tc>
          <w:tcPr>
            <w:tcW w:w="1377" w:type="dxa"/>
            <w:vAlign w:val="center"/>
          </w:tcPr>
          <w:p w14:paraId="4531135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79C3A4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《盐酸林可霉素成品检验标准操作规程（EP）》SOP-QC(LN)-106/12等4份文件</w:t>
            </w:r>
          </w:p>
        </w:tc>
        <w:tc>
          <w:tcPr>
            <w:tcW w:w="2959" w:type="dxa"/>
            <w:vAlign w:val="center"/>
          </w:tcPr>
          <w:p w14:paraId="7F44301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将GC循环时间由7.0min变更为10.0min</w:t>
            </w:r>
          </w:p>
        </w:tc>
        <w:tc>
          <w:tcPr>
            <w:tcW w:w="1487" w:type="dxa"/>
            <w:vAlign w:val="center"/>
          </w:tcPr>
          <w:p w14:paraId="43C97BB8">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EC25FC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2026.02.03</w:t>
            </w:r>
          </w:p>
        </w:tc>
        <w:tc>
          <w:tcPr>
            <w:tcW w:w="1514" w:type="dxa"/>
            <w:vAlign w:val="center"/>
          </w:tcPr>
          <w:p w14:paraId="5029177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2026.02.04</w:t>
            </w:r>
          </w:p>
        </w:tc>
        <w:tc>
          <w:tcPr>
            <w:tcW w:w="1391" w:type="dxa"/>
            <w:vAlign w:val="center"/>
          </w:tcPr>
          <w:p w14:paraId="3C33A91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2026.03.05</w:t>
            </w:r>
          </w:p>
        </w:tc>
        <w:tc>
          <w:tcPr>
            <w:tcW w:w="1268" w:type="dxa"/>
            <w:vAlign w:val="center"/>
          </w:tcPr>
          <w:p w14:paraId="1664639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2026.03.05</w:t>
            </w:r>
          </w:p>
        </w:tc>
      </w:tr>
      <w:tr w14:paraId="33C6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4910E5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60FB08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BG-2602003</w:t>
            </w:r>
          </w:p>
        </w:tc>
        <w:tc>
          <w:tcPr>
            <w:tcW w:w="1377" w:type="dxa"/>
            <w:vAlign w:val="center"/>
          </w:tcPr>
          <w:p w14:paraId="1FC7ACB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8D32F8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《QC样品及取样管理程序》SMP-QC-011/11、《成品取样标准操作规程》SOP-QC-004/08</w:t>
            </w:r>
          </w:p>
        </w:tc>
        <w:tc>
          <w:tcPr>
            <w:tcW w:w="2959" w:type="dxa"/>
            <w:vAlign w:val="center"/>
          </w:tcPr>
          <w:p w14:paraId="7F035ABA">
            <w:pPr>
              <w:keepNext w:val="0"/>
              <w:keepLines w:val="0"/>
              <w:pageBreakBefore w:val="0"/>
              <w:widowControl w:val="0"/>
              <w:numPr>
                <w:ilvl w:val="0"/>
                <w:numId w:val="2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增加样品标签上填写样品净重、毛重的相关规定</w:t>
            </w:r>
          </w:p>
          <w:p w14:paraId="77C70C94">
            <w:pPr>
              <w:keepNext w:val="0"/>
              <w:keepLines w:val="0"/>
              <w:pageBreakBefore w:val="0"/>
              <w:widowControl w:val="0"/>
              <w:numPr>
                <w:ilvl w:val="0"/>
                <w:numId w:val="2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在《成品取样、分样、销毁记录》上增加接受检查、理论/实际用量差值项目</w:t>
            </w:r>
          </w:p>
          <w:p w14:paraId="6C35E46E">
            <w:pPr>
              <w:keepNext w:val="0"/>
              <w:keepLines w:val="0"/>
              <w:pageBreakBefore w:val="0"/>
              <w:widowControl w:val="0"/>
              <w:numPr>
                <w:ilvl w:val="0"/>
                <w:numId w:val="2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将《成品取样标准操作规程》中《成品检验理论用量一览表》调整至《QC样品及取样管理程序》，并增加相应的APP编码方式</w:t>
            </w:r>
          </w:p>
        </w:tc>
        <w:tc>
          <w:tcPr>
            <w:tcW w:w="1487" w:type="dxa"/>
            <w:vAlign w:val="center"/>
          </w:tcPr>
          <w:p w14:paraId="717F7280">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877185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2026.02.03</w:t>
            </w:r>
          </w:p>
        </w:tc>
        <w:tc>
          <w:tcPr>
            <w:tcW w:w="1514" w:type="dxa"/>
            <w:vAlign w:val="center"/>
          </w:tcPr>
          <w:p w14:paraId="0AACAC3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c>
          <w:tcPr>
            <w:tcW w:w="1391" w:type="dxa"/>
            <w:vAlign w:val="center"/>
          </w:tcPr>
          <w:p w14:paraId="4253E3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2026.03.01</w:t>
            </w:r>
          </w:p>
        </w:tc>
        <w:tc>
          <w:tcPr>
            <w:tcW w:w="1268" w:type="dxa"/>
            <w:vAlign w:val="center"/>
          </w:tcPr>
          <w:p w14:paraId="1B9868C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2026.03.02</w:t>
            </w:r>
          </w:p>
        </w:tc>
      </w:tr>
      <w:tr w14:paraId="4E2B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E6E9C7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A0CAB4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BG-2602004</w:t>
            </w:r>
          </w:p>
        </w:tc>
        <w:tc>
          <w:tcPr>
            <w:tcW w:w="1377" w:type="dxa"/>
            <w:vAlign w:val="center"/>
          </w:tcPr>
          <w:p w14:paraId="5A0E339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9BE55D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新增多拉菌素产品审批表</w:t>
            </w:r>
          </w:p>
        </w:tc>
        <w:tc>
          <w:tcPr>
            <w:tcW w:w="2959" w:type="dxa"/>
            <w:vAlign w:val="center"/>
          </w:tcPr>
          <w:p w14:paraId="50EE78B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新增多拉菌素产品用于美国市场1㎏/桶审批表</w:t>
            </w:r>
          </w:p>
        </w:tc>
        <w:tc>
          <w:tcPr>
            <w:tcW w:w="1487" w:type="dxa"/>
            <w:vAlign w:val="center"/>
          </w:tcPr>
          <w:p w14:paraId="7FBCF16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FEC4E0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2026.02.04</w:t>
            </w:r>
          </w:p>
        </w:tc>
        <w:tc>
          <w:tcPr>
            <w:tcW w:w="1514" w:type="dxa"/>
            <w:vAlign w:val="center"/>
          </w:tcPr>
          <w:p w14:paraId="405307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2026.02.04</w:t>
            </w:r>
          </w:p>
        </w:tc>
        <w:tc>
          <w:tcPr>
            <w:tcW w:w="1391" w:type="dxa"/>
            <w:vAlign w:val="center"/>
          </w:tcPr>
          <w:p w14:paraId="1278C52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c>
          <w:tcPr>
            <w:tcW w:w="1268" w:type="dxa"/>
            <w:vAlign w:val="center"/>
          </w:tcPr>
          <w:p w14:paraId="32F2779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2026.02.05</w:t>
            </w:r>
          </w:p>
        </w:tc>
      </w:tr>
      <w:tr w14:paraId="1D0C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C1FF13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C17B3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BG-2602005</w:t>
            </w:r>
          </w:p>
        </w:tc>
        <w:tc>
          <w:tcPr>
            <w:tcW w:w="1377" w:type="dxa"/>
            <w:vAlign w:val="center"/>
          </w:tcPr>
          <w:p w14:paraId="52E8103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设备动力部</w:t>
            </w:r>
          </w:p>
        </w:tc>
        <w:tc>
          <w:tcPr>
            <w:tcW w:w="2395" w:type="dxa"/>
            <w:vAlign w:val="center"/>
          </w:tcPr>
          <w:p w14:paraId="1258C4D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新增一台空气压缩机</w:t>
            </w:r>
          </w:p>
        </w:tc>
        <w:tc>
          <w:tcPr>
            <w:tcW w:w="2959" w:type="dxa"/>
            <w:vAlign w:val="center"/>
          </w:tcPr>
          <w:p w14:paraId="71A4EE3A">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eastAsia="zh-CN"/>
              </w:rPr>
              <w:t>在动力中心东建筑编号为501</w:t>
            </w:r>
            <w:r>
              <w:rPr>
                <w:rFonts w:hint="eastAsia" w:ascii="Times New Roman" w:hAnsi="Times New Roman" w:eastAsia="宋体" w:cs="Times New Roman"/>
                <w:sz w:val="21"/>
                <w:szCs w:val="15"/>
                <w:highlight w:val="none"/>
                <w:lang w:eastAsia="zh-CN"/>
              </w:rPr>
              <w:t>，</w:t>
            </w:r>
            <w:r>
              <w:rPr>
                <w:rFonts w:hint="eastAsia" w:ascii="Times New Roman" w:hAnsi="Times New Roman" w:eastAsia="宋体" w:cs="Times New Roman"/>
                <w:sz w:val="21"/>
                <w:szCs w:val="15"/>
                <w:highlight w:val="none"/>
                <w:lang w:val="en-US" w:eastAsia="zh-CN"/>
              </w:rPr>
              <w:t>新增一台</w:t>
            </w:r>
            <w:r>
              <w:rPr>
                <w:rFonts w:hint="default" w:ascii="Times New Roman" w:hAnsi="Times New Roman" w:eastAsia="宋体" w:cs="Times New Roman"/>
                <w:sz w:val="21"/>
                <w:szCs w:val="15"/>
                <w:highlight w:val="none"/>
                <w:lang w:eastAsia="zh-CN"/>
              </w:rPr>
              <w:t>型号为22000DA2，排气压力为0.25mpa，产气量为36000m³/h</w:t>
            </w:r>
            <w:r>
              <w:rPr>
                <w:rFonts w:hint="eastAsia" w:ascii="Times New Roman" w:hAnsi="Times New Roman" w:eastAsia="宋体" w:cs="Times New Roman"/>
                <w:sz w:val="21"/>
                <w:szCs w:val="15"/>
                <w:highlight w:val="none"/>
                <w:lang w:val="en-US" w:eastAsia="zh-CN"/>
              </w:rPr>
              <w:t>空气压缩机空气压缩机</w:t>
            </w:r>
          </w:p>
        </w:tc>
        <w:tc>
          <w:tcPr>
            <w:tcW w:w="1487" w:type="dxa"/>
            <w:vAlign w:val="center"/>
          </w:tcPr>
          <w:p w14:paraId="3AF207C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58D2AB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sz w:val="21"/>
                <w:szCs w:val="15"/>
                <w:highlight w:val="none"/>
                <w:lang w:val="en-US" w:eastAsia="zh-CN"/>
              </w:rPr>
              <w:t>2026.02.04</w:t>
            </w:r>
          </w:p>
        </w:tc>
        <w:tc>
          <w:tcPr>
            <w:tcW w:w="1514" w:type="dxa"/>
            <w:vAlign w:val="center"/>
          </w:tcPr>
          <w:p w14:paraId="1907A19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sz w:val="21"/>
                <w:szCs w:val="15"/>
                <w:highlight w:val="none"/>
                <w:lang w:val="en-US" w:eastAsia="zh-CN"/>
              </w:rPr>
              <w:t>2026.03.05</w:t>
            </w:r>
          </w:p>
        </w:tc>
        <w:tc>
          <w:tcPr>
            <w:tcW w:w="1391" w:type="dxa"/>
            <w:vAlign w:val="center"/>
          </w:tcPr>
          <w:p w14:paraId="31179F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2026.05.15</w:t>
            </w:r>
          </w:p>
        </w:tc>
        <w:tc>
          <w:tcPr>
            <w:tcW w:w="1268" w:type="dxa"/>
            <w:vAlign w:val="center"/>
          </w:tcPr>
          <w:p w14:paraId="087CB9E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2026.05.22</w:t>
            </w:r>
          </w:p>
        </w:tc>
      </w:tr>
      <w:tr w14:paraId="5AC3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953277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BF5AEF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BG-2602006</w:t>
            </w:r>
          </w:p>
        </w:tc>
        <w:tc>
          <w:tcPr>
            <w:tcW w:w="1377" w:type="dxa"/>
            <w:vAlign w:val="center"/>
          </w:tcPr>
          <w:p w14:paraId="2249546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4FBA295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增加霉酚酸烘干粗品生产工艺</w:t>
            </w:r>
          </w:p>
        </w:tc>
        <w:tc>
          <w:tcPr>
            <w:tcW w:w="2959" w:type="dxa"/>
            <w:vAlign w:val="center"/>
          </w:tcPr>
          <w:p w14:paraId="590F4CD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根据客户的需求，增加霉酚酸烘干粗品生产工艺</w:t>
            </w:r>
          </w:p>
        </w:tc>
        <w:tc>
          <w:tcPr>
            <w:tcW w:w="1487" w:type="dxa"/>
            <w:vAlign w:val="center"/>
          </w:tcPr>
          <w:p w14:paraId="69903FB1">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w:t>
            </w:r>
            <w:bookmarkStart w:id="0" w:name="OLE_LINK2"/>
            <w:r>
              <w:rPr>
                <w:rFonts w:hint="eastAsia" w:ascii="Times New Roman" w:hAnsi="Times New Roman" w:eastAsia="宋体"/>
                <w:sz w:val="21"/>
                <w:szCs w:val="15"/>
                <w:highlight w:val="none"/>
                <w:lang w:val="en-US" w:eastAsia="zh-CN"/>
              </w:rPr>
              <w:t>变更</w:t>
            </w:r>
          </w:p>
        </w:tc>
        <w:tc>
          <w:tcPr>
            <w:tcW w:w="1431" w:type="dxa"/>
            <w:vAlign w:val="center"/>
          </w:tcPr>
          <w:p w14:paraId="206EBDB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2026.02.17</w:t>
            </w:r>
            <w:bookmarkEnd w:id="0"/>
          </w:p>
        </w:tc>
        <w:tc>
          <w:tcPr>
            <w:tcW w:w="1514" w:type="dxa"/>
            <w:vAlign w:val="center"/>
          </w:tcPr>
          <w:p w14:paraId="31859C2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2026.02.17</w:t>
            </w:r>
          </w:p>
        </w:tc>
        <w:tc>
          <w:tcPr>
            <w:tcW w:w="1391" w:type="dxa"/>
            <w:vAlign w:val="center"/>
          </w:tcPr>
          <w:p w14:paraId="6AFE56D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2026.07.01</w:t>
            </w:r>
          </w:p>
        </w:tc>
        <w:tc>
          <w:tcPr>
            <w:tcW w:w="1268" w:type="dxa"/>
            <w:vAlign w:val="center"/>
          </w:tcPr>
          <w:p w14:paraId="78FBDEA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F49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9C1DD3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B253FD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BG-2602007</w:t>
            </w:r>
          </w:p>
        </w:tc>
        <w:tc>
          <w:tcPr>
            <w:tcW w:w="1377" w:type="dxa"/>
            <w:vAlign w:val="center"/>
          </w:tcPr>
          <w:p w14:paraId="1528C9F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25972A3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修订《2%氟苯尼考预混剂用复合包装袋质量标准》STP-QS-BI-612/03</w:t>
            </w:r>
          </w:p>
        </w:tc>
        <w:tc>
          <w:tcPr>
            <w:tcW w:w="2959" w:type="dxa"/>
            <w:vAlign w:val="center"/>
          </w:tcPr>
          <w:p w14:paraId="1447AEA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将封条中宽幅质量标准由“单面30”变更为“单面30±5”</w:t>
            </w:r>
          </w:p>
        </w:tc>
        <w:tc>
          <w:tcPr>
            <w:tcW w:w="1487" w:type="dxa"/>
            <w:vAlign w:val="center"/>
          </w:tcPr>
          <w:p w14:paraId="06555D8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96D9A0D">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2026.02.25</w:t>
            </w:r>
          </w:p>
        </w:tc>
        <w:tc>
          <w:tcPr>
            <w:tcW w:w="1514" w:type="dxa"/>
            <w:vAlign w:val="center"/>
          </w:tcPr>
          <w:p w14:paraId="2C4EE1D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2026.02.26</w:t>
            </w:r>
          </w:p>
        </w:tc>
        <w:tc>
          <w:tcPr>
            <w:tcW w:w="1391" w:type="dxa"/>
            <w:vAlign w:val="center"/>
          </w:tcPr>
          <w:p w14:paraId="513D54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2026.03.18</w:t>
            </w:r>
          </w:p>
        </w:tc>
        <w:tc>
          <w:tcPr>
            <w:tcW w:w="1268" w:type="dxa"/>
            <w:vAlign w:val="center"/>
          </w:tcPr>
          <w:p w14:paraId="6A40B6C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2026.05.25</w:t>
            </w:r>
          </w:p>
        </w:tc>
      </w:tr>
      <w:tr w14:paraId="235F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33FA1F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96D6A5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BG-2602008</w:t>
            </w:r>
          </w:p>
        </w:tc>
        <w:tc>
          <w:tcPr>
            <w:tcW w:w="1377" w:type="dxa"/>
            <w:vAlign w:val="center"/>
          </w:tcPr>
          <w:p w14:paraId="246AC6E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201一车间</w:t>
            </w:r>
          </w:p>
        </w:tc>
        <w:tc>
          <w:tcPr>
            <w:tcW w:w="2395" w:type="dxa"/>
            <w:vAlign w:val="center"/>
          </w:tcPr>
          <w:p w14:paraId="63B1521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洛伐他汀提炼萃取过滤工序中萃取液处理顺序变更</w:t>
            </w:r>
          </w:p>
        </w:tc>
        <w:tc>
          <w:tcPr>
            <w:tcW w:w="2959" w:type="dxa"/>
            <w:vAlign w:val="center"/>
          </w:tcPr>
          <w:p w14:paraId="110657B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洛伐他汀提炼萃取过滤工序中“萃取过滤时，每萃取一罐，进行过滤、三次浓洗、三次洗涤、压渣操作，重复操作，直至将本批次所有的菌渣处理完毕”变更为“过滤分两阶段进行，先过滤前两罐萃取液，完成后依次做三次浓洗、三次稀洗、压渣，压渣结束后继续过滤后两罐萃取液，过滤完成后再依次开展三次浓洗、三次稀洗、压渣操作，按照此流程完成本批次所有菌渣的处理”</w:t>
            </w:r>
          </w:p>
        </w:tc>
        <w:tc>
          <w:tcPr>
            <w:tcW w:w="1487" w:type="dxa"/>
            <w:vAlign w:val="center"/>
          </w:tcPr>
          <w:p w14:paraId="47835FB2">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3F2A9B9">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2026.02.27</w:t>
            </w:r>
          </w:p>
        </w:tc>
        <w:tc>
          <w:tcPr>
            <w:tcW w:w="1514" w:type="dxa"/>
            <w:vAlign w:val="center"/>
          </w:tcPr>
          <w:p w14:paraId="58B7ED4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2026.02.28</w:t>
            </w:r>
          </w:p>
        </w:tc>
        <w:tc>
          <w:tcPr>
            <w:tcW w:w="1391" w:type="dxa"/>
            <w:vAlign w:val="center"/>
          </w:tcPr>
          <w:p w14:paraId="0943876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2026.04.07</w:t>
            </w:r>
          </w:p>
        </w:tc>
        <w:tc>
          <w:tcPr>
            <w:tcW w:w="1268" w:type="dxa"/>
            <w:vAlign w:val="center"/>
          </w:tcPr>
          <w:p w14:paraId="191D10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00B5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182F21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1030A3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BG-2602009</w:t>
            </w:r>
          </w:p>
        </w:tc>
        <w:tc>
          <w:tcPr>
            <w:tcW w:w="1377" w:type="dxa"/>
            <w:vAlign w:val="center"/>
          </w:tcPr>
          <w:p w14:paraId="563AB43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1FC29C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《洛伐他汀成品检验标准操作规程(CP)》SOP-QC(LV)-002/09</w:t>
            </w:r>
          </w:p>
        </w:tc>
        <w:tc>
          <w:tcPr>
            <w:tcW w:w="2959" w:type="dxa"/>
            <w:vAlign w:val="center"/>
          </w:tcPr>
          <w:p w14:paraId="190A343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依据2025版药典，明确引湿性项目试验前放置时间与称量温度要求；增加紫外-可见分光光度法波长误差；统一有关物质系统适应性</w:t>
            </w:r>
          </w:p>
        </w:tc>
        <w:tc>
          <w:tcPr>
            <w:tcW w:w="1487" w:type="dxa"/>
            <w:vAlign w:val="center"/>
          </w:tcPr>
          <w:p w14:paraId="4EA4B7A6">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0CA599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2026.02.27</w:t>
            </w:r>
          </w:p>
        </w:tc>
        <w:tc>
          <w:tcPr>
            <w:tcW w:w="1514" w:type="dxa"/>
            <w:vAlign w:val="center"/>
          </w:tcPr>
          <w:p w14:paraId="12E36EB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2026.03.02</w:t>
            </w:r>
          </w:p>
        </w:tc>
        <w:tc>
          <w:tcPr>
            <w:tcW w:w="1391" w:type="dxa"/>
            <w:vAlign w:val="center"/>
          </w:tcPr>
          <w:p w14:paraId="65CED5C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2026.03.30   </w:t>
            </w:r>
          </w:p>
        </w:tc>
        <w:tc>
          <w:tcPr>
            <w:tcW w:w="1268" w:type="dxa"/>
            <w:vAlign w:val="center"/>
          </w:tcPr>
          <w:p w14:paraId="3AB6241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2026.03.30</w:t>
            </w:r>
          </w:p>
        </w:tc>
      </w:tr>
      <w:tr w14:paraId="7FFD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5159DF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D38468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BG-2603001</w:t>
            </w:r>
          </w:p>
        </w:tc>
        <w:tc>
          <w:tcPr>
            <w:tcW w:w="1377" w:type="dxa"/>
            <w:vAlign w:val="center"/>
          </w:tcPr>
          <w:p w14:paraId="03FDC7F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4F9F14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修订《卤素水分测定仪检验标准操作规程》SOP-QC-117/02</w:t>
            </w:r>
          </w:p>
        </w:tc>
        <w:tc>
          <w:tcPr>
            <w:tcW w:w="2959" w:type="dxa"/>
            <w:vAlign w:val="center"/>
          </w:tcPr>
          <w:p w14:paraId="1FD9CB90">
            <w:pPr>
              <w:keepNext w:val="0"/>
              <w:keepLines w:val="0"/>
              <w:pageBreakBefore w:val="0"/>
              <w:widowControl w:val="0"/>
              <w:numPr>
                <w:ilvl w:val="0"/>
                <w:numId w:val="2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将环境相对湿度收紧为“30-75%RH”</w:t>
            </w:r>
          </w:p>
          <w:p w14:paraId="597954C8">
            <w:pPr>
              <w:keepNext w:val="0"/>
              <w:keepLines w:val="0"/>
              <w:pageBreakBefore w:val="0"/>
              <w:widowControl w:val="0"/>
              <w:numPr>
                <w:ilvl w:val="0"/>
                <w:numId w:val="2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将氯化钠溶液配制由用氯化钠变更为5%氯化钠标准溶液</w:t>
            </w:r>
          </w:p>
          <w:p w14:paraId="02FC6B1E">
            <w:pPr>
              <w:keepNext w:val="0"/>
              <w:keepLines w:val="0"/>
              <w:pageBreakBefore w:val="0"/>
              <w:widowControl w:val="0"/>
              <w:numPr>
                <w:ilvl w:val="0"/>
                <w:numId w:val="2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删除文件中重复的内容</w:t>
            </w:r>
          </w:p>
          <w:p w14:paraId="636E0A90">
            <w:pPr>
              <w:keepNext w:val="0"/>
              <w:keepLines w:val="0"/>
              <w:pageBreakBefore w:val="0"/>
              <w:widowControl w:val="0"/>
              <w:numPr>
                <w:ilvl w:val="0"/>
                <w:numId w:val="2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将记录中砝码重量变更为标准砝码折算质量值，称量值变更为称量时值，增加复核人和可接受标准</w:t>
            </w:r>
          </w:p>
        </w:tc>
        <w:tc>
          <w:tcPr>
            <w:tcW w:w="1487" w:type="dxa"/>
            <w:vAlign w:val="center"/>
          </w:tcPr>
          <w:p w14:paraId="6FA9ABC9">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2C4F565">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2026.03.02</w:t>
            </w:r>
          </w:p>
        </w:tc>
        <w:tc>
          <w:tcPr>
            <w:tcW w:w="1514" w:type="dxa"/>
            <w:vAlign w:val="center"/>
          </w:tcPr>
          <w:p w14:paraId="5DFBEEE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2026.03.02</w:t>
            </w:r>
          </w:p>
        </w:tc>
        <w:tc>
          <w:tcPr>
            <w:tcW w:w="1391" w:type="dxa"/>
            <w:vAlign w:val="center"/>
          </w:tcPr>
          <w:p w14:paraId="1844A61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c>
          <w:tcPr>
            <w:tcW w:w="1268" w:type="dxa"/>
            <w:vAlign w:val="center"/>
          </w:tcPr>
          <w:p w14:paraId="3B3FB72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r>
      <w:tr w14:paraId="115D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69FA3A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4CC915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BG-2603002</w:t>
            </w:r>
          </w:p>
        </w:tc>
        <w:tc>
          <w:tcPr>
            <w:tcW w:w="1377" w:type="dxa"/>
            <w:vAlign w:val="center"/>
          </w:tcPr>
          <w:p w14:paraId="413207B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3BD18948">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《供应商资质确认、评估与维护管理程序》SMP-QA-008/11、《物料放行审核》SMP-QA-023/10</w:t>
            </w:r>
          </w:p>
        </w:tc>
        <w:tc>
          <w:tcPr>
            <w:tcW w:w="2959" w:type="dxa"/>
            <w:vAlign w:val="center"/>
          </w:tcPr>
          <w:p w14:paraId="61232480">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在关键物料的定义下增加制剂生产所用到的原料、辅料</w:t>
            </w:r>
          </w:p>
          <w:p w14:paraId="13D3E6B4">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增加临时供应商通知的编号原则</w:t>
            </w:r>
          </w:p>
          <w:p w14:paraId="3E4D5630">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删除已有供应商的物料应用于我司不同产品时需要做临时供应商通知的工作</w:t>
            </w:r>
          </w:p>
          <w:p w14:paraId="3D21F0B4">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完善合格供应商审核评估表和供应商COA可靠性确认记录的格式</w:t>
            </w:r>
          </w:p>
          <w:p w14:paraId="0BBD25AC">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由于《检验报告单管理程序》中规定物料使用部门需要检验报告单的相关操作规定，因此删除文件中重复内容</w:t>
            </w:r>
          </w:p>
          <w:p w14:paraId="3F924686">
            <w:pPr>
              <w:keepNext w:val="0"/>
              <w:keepLines w:val="0"/>
              <w:pageBreakBefore w:val="0"/>
              <w:widowControl w:val="0"/>
              <w:numPr>
                <w:ilvl w:val="0"/>
                <w:numId w:val="2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为了防止破坏包材外表面，完善纸箱的最小独立包装上不能粘贴合格证的规定</w:t>
            </w:r>
          </w:p>
        </w:tc>
        <w:tc>
          <w:tcPr>
            <w:tcW w:w="1487" w:type="dxa"/>
            <w:vAlign w:val="center"/>
          </w:tcPr>
          <w:p w14:paraId="41BE8828">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93C8F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2026.03.03</w:t>
            </w:r>
          </w:p>
        </w:tc>
        <w:tc>
          <w:tcPr>
            <w:tcW w:w="1514" w:type="dxa"/>
            <w:vAlign w:val="center"/>
          </w:tcPr>
          <w:p w14:paraId="0E77F77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2026.03.04</w:t>
            </w:r>
          </w:p>
        </w:tc>
        <w:tc>
          <w:tcPr>
            <w:tcW w:w="1391" w:type="dxa"/>
            <w:vAlign w:val="center"/>
          </w:tcPr>
          <w:p w14:paraId="5FA5642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2026.03.18</w:t>
            </w:r>
          </w:p>
        </w:tc>
        <w:tc>
          <w:tcPr>
            <w:tcW w:w="1268" w:type="dxa"/>
            <w:vAlign w:val="center"/>
          </w:tcPr>
          <w:p w14:paraId="6D3596F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2026.03.18</w:t>
            </w:r>
          </w:p>
        </w:tc>
      </w:tr>
      <w:tr w14:paraId="0829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A4F9C2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E96C51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BG-2603003</w:t>
            </w:r>
          </w:p>
        </w:tc>
        <w:tc>
          <w:tcPr>
            <w:tcW w:w="1377" w:type="dxa"/>
            <w:vAlign w:val="center"/>
          </w:tcPr>
          <w:p w14:paraId="1B7648B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201一车间</w:t>
            </w:r>
          </w:p>
        </w:tc>
        <w:tc>
          <w:tcPr>
            <w:tcW w:w="2395" w:type="dxa"/>
            <w:vAlign w:val="center"/>
          </w:tcPr>
          <w:p w14:paraId="43B6719A">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bookmarkStart w:id="1" w:name="OLE_LINK1"/>
            <w:r>
              <w:rPr>
                <w:rFonts w:hint="eastAsia" w:ascii="Times New Roman" w:hAnsi="Times New Roman" w:eastAsia="宋体" w:cs="Times New Roman"/>
                <w:sz w:val="21"/>
                <w:szCs w:val="15"/>
                <w:highlight w:val="none"/>
                <w:lang w:val="en-US" w:eastAsia="zh-CN"/>
              </w:rPr>
              <w:t>《201一车间有机溶剂回收、使用及处理管理程序》SMP-XT1-004/05</w:t>
            </w:r>
            <w:bookmarkEnd w:id="1"/>
          </w:p>
        </w:tc>
        <w:tc>
          <w:tcPr>
            <w:tcW w:w="2959" w:type="dxa"/>
            <w:vAlign w:val="center"/>
          </w:tcPr>
          <w:p w14:paraId="6DF14A5A">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将“经验证确认MV提炼工程的回收丙酮的套用周期为23个成品批，因此回收丙酮套用不得超过23个成品批”变更为“经验证确认MV提炼工程的回收丙酮的套用周期为26个成品批，因此MV回收丙酮套用以25个成品批为一个套用周期，其中第1、2个成品批使用新鲜丙酮，从第3个成品批开始使用回收丙酮，回收丙酮套用不得超过23个成品批”。</w:t>
            </w:r>
          </w:p>
          <w:p w14:paraId="20A8608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2、将“经验证确认LV提炼工程的回收丙酮的套用周期为13个成品批”变更为“经验证，LV提炼工程的回收丙酮的套用周期16个成品批，因此回收丙酮套用不得超过13个成品批”。</w:t>
            </w:r>
          </w:p>
          <w:p w14:paraId="0C0B1D5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将“经验证确认MV提炼工程中甲苯的套用周期为23个成品批，因此回收甲苯套用不得超过23个成品批”变更为“经验证确认MV提炼工程中甲苯的套用周期为26个成品批，因此MV回收甲苯套用以25个成品批为一个套用周期，其中第1、2个成品批使用新鲜甲苯，从第3个成品批开始使用回收甲苯，回收甲苯套用不得超过23个成品批”。</w:t>
            </w:r>
          </w:p>
          <w:p w14:paraId="541265D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将“经验证确认LV提炼工程中甲苯的套用废弃周期为13个成品批”变更为“经验证确认LV提炼工程中甲苯的套用废弃周期为16个成品批（8个发酵批）”。</w:t>
            </w:r>
          </w:p>
          <w:p w14:paraId="47B3951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4、</w:t>
            </w:r>
            <w:r>
              <w:rPr>
                <w:rFonts w:hint="eastAsia" w:ascii="Times New Roman" w:hAnsi="Times New Roman" w:eastAsia="宋体" w:cs="Times New Roman"/>
                <w:vertAlign w:val="baseline"/>
                <w:lang w:val="en-US" w:eastAsia="zh-CN"/>
              </w:rPr>
              <w:t>将回收溶剂批号与验证中请检的批号统一</w:t>
            </w:r>
          </w:p>
        </w:tc>
        <w:tc>
          <w:tcPr>
            <w:tcW w:w="1487" w:type="dxa"/>
            <w:vAlign w:val="center"/>
          </w:tcPr>
          <w:p w14:paraId="3EB71B4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A587B9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2026.03.04</w:t>
            </w:r>
          </w:p>
        </w:tc>
        <w:tc>
          <w:tcPr>
            <w:tcW w:w="1514" w:type="dxa"/>
            <w:vAlign w:val="center"/>
          </w:tcPr>
          <w:p w14:paraId="6931E13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2026.03.05</w:t>
            </w:r>
          </w:p>
        </w:tc>
        <w:tc>
          <w:tcPr>
            <w:tcW w:w="1391" w:type="dxa"/>
            <w:vAlign w:val="center"/>
          </w:tcPr>
          <w:p w14:paraId="0BE9335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268" w:type="dxa"/>
            <w:vAlign w:val="center"/>
          </w:tcPr>
          <w:p w14:paraId="039A86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r>
      <w:tr w14:paraId="1156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316058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ACCDEC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BG-2603004</w:t>
            </w:r>
          </w:p>
        </w:tc>
        <w:tc>
          <w:tcPr>
            <w:tcW w:w="1377" w:type="dxa"/>
            <w:vAlign w:val="center"/>
          </w:tcPr>
          <w:p w14:paraId="539AFD8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1E3809B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《气相色谱仪校验标准操作规程》SOP-QC-101/07</w:t>
            </w:r>
          </w:p>
        </w:tc>
        <w:tc>
          <w:tcPr>
            <w:tcW w:w="2959" w:type="dxa"/>
            <w:vAlign w:val="center"/>
          </w:tcPr>
          <w:p w14:paraId="53D3C30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在FID检测器基线噪声和基线漂移的色谱条件中，将“进样体积0uL”修订为“进样体积0uL（备注：受仪器软件功能限制，仪器方法中进样体积需录入0.1uL）”，同时将进样功能由“样品进样”修订为“进直接样品”</w:t>
            </w:r>
          </w:p>
        </w:tc>
        <w:tc>
          <w:tcPr>
            <w:tcW w:w="1487" w:type="dxa"/>
            <w:vAlign w:val="center"/>
          </w:tcPr>
          <w:p w14:paraId="466801C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820197D">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2026.03.10</w:t>
            </w:r>
          </w:p>
        </w:tc>
        <w:tc>
          <w:tcPr>
            <w:tcW w:w="1514" w:type="dxa"/>
            <w:vAlign w:val="center"/>
          </w:tcPr>
          <w:p w14:paraId="5C236B9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2026.03.17</w:t>
            </w:r>
          </w:p>
        </w:tc>
        <w:tc>
          <w:tcPr>
            <w:tcW w:w="1391" w:type="dxa"/>
            <w:vAlign w:val="center"/>
          </w:tcPr>
          <w:p w14:paraId="6BAE1A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268" w:type="dxa"/>
            <w:vAlign w:val="center"/>
          </w:tcPr>
          <w:p w14:paraId="6E3FC7C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r>
      <w:tr w14:paraId="3060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D3717E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B998D9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BG-2603005</w:t>
            </w:r>
          </w:p>
        </w:tc>
        <w:tc>
          <w:tcPr>
            <w:tcW w:w="1377" w:type="dxa"/>
            <w:vAlign w:val="center"/>
          </w:tcPr>
          <w:p w14:paraId="343384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6DBCA8F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《消毒剂配制操作规程》SOP-PM-005/05  </w:t>
            </w:r>
          </w:p>
        </w:tc>
        <w:tc>
          <w:tcPr>
            <w:tcW w:w="2959" w:type="dxa"/>
            <w:vAlign w:val="center"/>
          </w:tcPr>
          <w:p w14:paraId="3FD5924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将乙醇溶剂有效期由30天变更为7天</w:t>
            </w:r>
          </w:p>
        </w:tc>
        <w:tc>
          <w:tcPr>
            <w:tcW w:w="1487" w:type="dxa"/>
            <w:vAlign w:val="center"/>
          </w:tcPr>
          <w:p w14:paraId="3A70178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A16A835">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2026.03.11</w:t>
            </w:r>
          </w:p>
        </w:tc>
        <w:tc>
          <w:tcPr>
            <w:tcW w:w="1514" w:type="dxa"/>
            <w:vAlign w:val="center"/>
          </w:tcPr>
          <w:p w14:paraId="4DD953C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2026.03.16</w:t>
            </w:r>
          </w:p>
        </w:tc>
        <w:tc>
          <w:tcPr>
            <w:tcW w:w="1391" w:type="dxa"/>
            <w:vAlign w:val="center"/>
          </w:tcPr>
          <w:p w14:paraId="23B0FE5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c>
          <w:tcPr>
            <w:tcW w:w="1268" w:type="dxa"/>
            <w:vAlign w:val="center"/>
          </w:tcPr>
          <w:p w14:paraId="68CC211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r>
      <w:tr w14:paraId="3CA7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45BAD7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571D3D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BG-2603006</w:t>
            </w:r>
          </w:p>
        </w:tc>
        <w:tc>
          <w:tcPr>
            <w:tcW w:w="1377" w:type="dxa"/>
            <w:vAlign w:val="center"/>
          </w:tcPr>
          <w:p w14:paraId="5120E0F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04D28B1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《QC检测仪器使用注意事项》APP1-SMP-QC-025/18</w:t>
            </w:r>
          </w:p>
        </w:tc>
        <w:tc>
          <w:tcPr>
            <w:tcW w:w="2959" w:type="dxa"/>
            <w:vAlign w:val="center"/>
          </w:tcPr>
          <w:p w14:paraId="1F016CC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增加流通池反向冲洗的操作以及反向冲洗时的注意事项</w:t>
            </w:r>
          </w:p>
        </w:tc>
        <w:tc>
          <w:tcPr>
            <w:tcW w:w="1487" w:type="dxa"/>
            <w:vAlign w:val="center"/>
          </w:tcPr>
          <w:p w14:paraId="60D32CA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B7AC68E">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2026.03.13</w:t>
            </w:r>
          </w:p>
        </w:tc>
        <w:tc>
          <w:tcPr>
            <w:tcW w:w="1514" w:type="dxa"/>
            <w:vAlign w:val="center"/>
          </w:tcPr>
          <w:p w14:paraId="5E24907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2026.03.16</w:t>
            </w:r>
          </w:p>
        </w:tc>
        <w:tc>
          <w:tcPr>
            <w:tcW w:w="1391" w:type="dxa"/>
            <w:vAlign w:val="center"/>
          </w:tcPr>
          <w:p w14:paraId="1032988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c>
          <w:tcPr>
            <w:tcW w:w="1268" w:type="dxa"/>
            <w:vAlign w:val="center"/>
          </w:tcPr>
          <w:p w14:paraId="506CFB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2026.05.12</w:t>
            </w:r>
          </w:p>
        </w:tc>
      </w:tr>
      <w:tr w14:paraId="4DC9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FBBFEE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ED61CC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BG-2603007</w:t>
            </w:r>
          </w:p>
        </w:tc>
        <w:tc>
          <w:tcPr>
            <w:tcW w:w="1377" w:type="dxa"/>
            <w:vAlign w:val="center"/>
          </w:tcPr>
          <w:p w14:paraId="00F8958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431FA7C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《纯化水检验操作标准规程》SOP-QC-(YL)-011/12、《蒸汽冷凝水检验标准操作规程》SOP-QC(YL)-014/06</w:t>
            </w:r>
          </w:p>
        </w:tc>
        <w:tc>
          <w:tcPr>
            <w:tcW w:w="2959" w:type="dxa"/>
            <w:vAlign w:val="center"/>
          </w:tcPr>
          <w:p w14:paraId="6EF725DC">
            <w:pPr>
              <w:keepNext w:val="0"/>
              <w:keepLines w:val="0"/>
              <w:pageBreakBefore w:val="0"/>
              <w:widowControl w:val="0"/>
              <w:numPr>
                <w:ilvl w:val="0"/>
                <w:numId w:val="2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将电导率项目检测6.6.2.2中“调节温度至25℃”变更为“调节温度至25±1℃”</w:t>
            </w:r>
          </w:p>
          <w:p w14:paraId="35922C44">
            <w:pPr>
              <w:keepNext w:val="0"/>
              <w:keepLines w:val="0"/>
              <w:pageBreakBefore w:val="0"/>
              <w:widowControl w:val="0"/>
              <w:numPr>
                <w:ilvl w:val="0"/>
                <w:numId w:val="2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将“超纯水”变更为“纯化水”</w:t>
            </w:r>
          </w:p>
        </w:tc>
        <w:tc>
          <w:tcPr>
            <w:tcW w:w="1487" w:type="dxa"/>
            <w:vAlign w:val="center"/>
          </w:tcPr>
          <w:p w14:paraId="3B3D26E1">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1F1CAD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2026.03.13</w:t>
            </w:r>
          </w:p>
        </w:tc>
        <w:tc>
          <w:tcPr>
            <w:tcW w:w="1514" w:type="dxa"/>
            <w:vAlign w:val="center"/>
          </w:tcPr>
          <w:p w14:paraId="091A83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2026.03.17</w:t>
            </w:r>
          </w:p>
        </w:tc>
        <w:tc>
          <w:tcPr>
            <w:tcW w:w="1391" w:type="dxa"/>
            <w:vAlign w:val="center"/>
          </w:tcPr>
          <w:p w14:paraId="742227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2026.05.15</w:t>
            </w:r>
          </w:p>
        </w:tc>
        <w:tc>
          <w:tcPr>
            <w:tcW w:w="1268" w:type="dxa"/>
            <w:vAlign w:val="center"/>
          </w:tcPr>
          <w:p w14:paraId="3044706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1ECC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5AD6A9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58E25A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BG-2603008</w:t>
            </w:r>
          </w:p>
        </w:tc>
        <w:tc>
          <w:tcPr>
            <w:tcW w:w="1377" w:type="dxa"/>
            <w:vAlign w:val="center"/>
          </w:tcPr>
          <w:p w14:paraId="28A9DDF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1783FC34">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《仓库印刷性包装材料标准操作规程》</w:t>
            </w:r>
          </w:p>
        </w:tc>
        <w:tc>
          <w:tcPr>
            <w:tcW w:w="2959" w:type="dxa"/>
            <w:vAlign w:val="center"/>
          </w:tcPr>
          <w:p w14:paraId="6CD9E12B">
            <w:pPr>
              <w:keepNext w:val="0"/>
              <w:keepLines w:val="0"/>
              <w:pageBreakBefore w:val="0"/>
              <w:widowControl w:val="0"/>
              <w:numPr>
                <w:ilvl w:val="0"/>
                <w:numId w:val="2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在仓库印刷性包装材料收发领取记录中增加厂家批号、生产日期、总数量、计量单位、入库批号、复验期/有效期、生产商/经销商</w:t>
            </w:r>
          </w:p>
          <w:p w14:paraId="0B1F94E2">
            <w:pPr>
              <w:keepNext w:val="0"/>
              <w:keepLines w:val="0"/>
              <w:pageBreakBefore w:val="0"/>
              <w:widowControl w:val="0"/>
              <w:numPr>
                <w:ilvl w:val="0"/>
                <w:numId w:val="2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在6.4.3中增加“领取人现场复核，双方共同核对品名、规格、数量等信息”</w:t>
            </w:r>
          </w:p>
        </w:tc>
        <w:tc>
          <w:tcPr>
            <w:tcW w:w="1487" w:type="dxa"/>
            <w:vAlign w:val="center"/>
          </w:tcPr>
          <w:p w14:paraId="014F654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44759F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2026.03.13</w:t>
            </w:r>
          </w:p>
        </w:tc>
        <w:tc>
          <w:tcPr>
            <w:tcW w:w="1514" w:type="dxa"/>
            <w:vAlign w:val="center"/>
          </w:tcPr>
          <w:p w14:paraId="56C1D4C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2026.03.16</w:t>
            </w:r>
          </w:p>
        </w:tc>
        <w:tc>
          <w:tcPr>
            <w:tcW w:w="1391" w:type="dxa"/>
            <w:vAlign w:val="center"/>
          </w:tcPr>
          <w:p w14:paraId="245153A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c>
          <w:tcPr>
            <w:tcW w:w="1268" w:type="dxa"/>
            <w:vAlign w:val="center"/>
          </w:tcPr>
          <w:p w14:paraId="57B56B9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r>
      <w:tr w14:paraId="71B6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CAD24C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91856A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BG-2603009</w:t>
            </w:r>
          </w:p>
        </w:tc>
        <w:tc>
          <w:tcPr>
            <w:tcW w:w="1377" w:type="dxa"/>
            <w:vAlign w:val="center"/>
          </w:tcPr>
          <w:p w14:paraId="2D4AE3B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采购部</w:t>
            </w:r>
          </w:p>
        </w:tc>
        <w:tc>
          <w:tcPr>
            <w:tcW w:w="2395" w:type="dxa"/>
            <w:vAlign w:val="center"/>
          </w:tcPr>
          <w:p w14:paraId="73A8D3B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新增霉酚酸用300㎏集装袋（BO611）、300㎏危险品集装袋（BO516）供应商</w:t>
            </w:r>
          </w:p>
        </w:tc>
        <w:tc>
          <w:tcPr>
            <w:tcW w:w="2959" w:type="dxa"/>
            <w:vAlign w:val="center"/>
          </w:tcPr>
          <w:p w14:paraId="4D9E0C5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新增霉酚酸用300㎏集装袋（BO611）、300㎏危险品集装袋（BO516）供应商宁夏昱峰新材料科技有限公司</w:t>
            </w:r>
          </w:p>
        </w:tc>
        <w:tc>
          <w:tcPr>
            <w:tcW w:w="1487" w:type="dxa"/>
            <w:vAlign w:val="center"/>
          </w:tcPr>
          <w:p w14:paraId="33E9D66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0A6FF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2026.03.16</w:t>
            </w:r>
          </w:p>
        </w:tc>
        <w:tc>
          <w:tcPr>
            <w:tcW w:w="1514" w:type="dxa"/>
            <w:vAlign w:val="center"/>
          </w:tcPr>
          <w:p w14:paraId="7FB2579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2026.03.17</w:t>
            </w:r>
          </w:p>
        </w:tc>
        <w:tc>
          <w:tcPr>
            <w:tcW w:w="1391" w:type="dxa"/>
            <w:vAlign w:val="center"/>
          </w:tcPr>
          <w:p w14:paraId="61C7BB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2026.04.03</w:t>
            </w:r>
          </w:p>
        </w:tc>
        <w:tc>
          <w:tcPr>
            <w:tcW w:w="1268" w:type="dxa"/>
            <w:vAlign w:val="center"/>
          </w:tcPr>
          <w:p w14:paraId="7E50599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2026.04.03</w:t>
            </w:r>
          </w:p>
        </w:tc>
      </w:tr>
      <w:tr w14:paraId="2942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142C5B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0D6DB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BG-2603010</w:t>
            </w:r>
          </w:p>
        </w:tc>
        <w:tc>
          <w:tcPr>
            <w:tcW w:w="1377" w:type="dxa"/>
            <w:vAlign w:val="center"/>
          </w:tcPr>
          <w:p w14:paraId="79D2D06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316BF7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修订《分析方法开发管理程序》SMP-QC-032/01、《分析方法验证与确认管理程序》SMP-QC-033/05</w:t>
            </w:r>
          </w:p>
        </w:tc>
        <w:tc>
          <w:tcPr>
            <w:tcW w:w="2959" w:type="dxa"/>
            <w:vAlign w:val="center"/>
          </w:tcPr>
          <w:p w14:paraId="14BA1A6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分析法方法开发管理程序》SMP-QC-032中新增分析方法开发目的定义；重新梳理分析方法开发要素顺序，增加更多细节描述；调整分析方法再开发描述；增加开发阶段获得的数据可直接用于后续验证，无需重复研究（如开发阶段已做耐用性评价，验证阶段可不用重复）；更新依据文件列表，增加ICH Q14</w:t>
            </w:r>
          </w:p>
          <w:p w14:paraId="11D28D9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2、《分析方法验证与确认管理程序》SMP-QC-033/05中明确QA和QC职责分工；根据ICH Q2(R2)全面更新验证内容描述；新增系统适用性试验（SST）完整章节，明确其在分析方法中的地位和要求；新增分析方法生命周期管理内容，明确变更后验证程度基于风险评估；新增可报告范围、稳定性指示特性章节；更新依据文件列表，完整标注各药典章节名称；删除重复内容整合调整原有章节，优化整体可读性。</w:t>
            </w:r>
          </w:p>
        </w:tc>
        <w:tc>
          <w:tcPr>
            <w:tcW w:w="1487" w:type="dxa"/>
            <w:vAlign w:val="center"/>
          </w:tcPr>
          <w:p w14:paraId="530301BB">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BF60A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2026.03.16</w:t>
            </w:r>
          </w:p>
        </w:tc>
        <w:tc>
          <w:tcPr>
            <w:tcW w:w="1514" w:type="dxa"/>
            <w:vAlign w:val="center"/>
          </w:tcPr>
          <w:p w14:paraId="5A05D67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2026.03.18</w:t>
            </w:r>
          </w:p>
        </w:tc>
        <w:tc>
          <w:tcPr>
            <w:tcW w:w="1391" w:type="dxa"/>
            <w:vAlign w:val="center"/>
          </w:tcPr>
          <w:p w14:paraId="3880BB8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c>
          <w:tcPr>
            <w:tcW w:w="1268" w:type="dxa"/>
            <w:vAlign w:val="center"/>
          </w:tcPr>
          <w:p w14:paraId="6031E75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2026.05.06</w:t>
            </w:r>
          </w:p>
        </w:tc>
      </w:tr>
      <w:tr w14:paraId="536A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B9C30C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234538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BG-2603011</w:t>
            </w:r>
          </w:p>
        </w:tc>
        <w:tc>
          <w:tcPr>
            <w:tcW w:w="1377" w:type="dxa"/>
            <w:vAlign w:val="center"/>
          </w:tcPr>
          <w:p w14:paraId="29FB54A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30BF2B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修订《微生物分析方法验证管理程序》SMP-QC-034/01</w:t>
            </w:r>
          </w:p>
        </w:tc>
        <w:tc>
          <w:tcPr>
            <w:tcW w:w="2959" w:type="dxa"/>
            <w:vAlign w:val="center"/>
          </w:tcPr>
          <w:p w14:paraId="5755C25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1、新增中国药典、EP、USP相关指导原则作为依据文件</w:t>
            </w:r>
          </w:p>
          <w:p w14:paraId="256D65A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2、完善微生物分析相关名词定义</w:t>
            </w:r>
          </w:p>
          <w:p w14:paraId="61F8930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3、新增分析方法验证/确认/转移完整章节，明确各场景操作要求</w:t>
            </w:r>
          </w:p>
          <w:p w14:paraId="07D041FA">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4、新增不同类型样品（一般样品、药用包材）细菌内毒素检查前处理方法</w:t>
            </w:r>
          </w:p>
          <w:p w14:paraId="2A81AE0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5、完善细菌内毒素干扰试验操作要求</w:t>
            </w:r>
          </w:p>
          <w:p w14:paraId="08F237D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6、完善微生物限度、控制菌检查的章节</w:t>
            </w:r>
          </w:p>
          <w:p w14:paraId="1EEC66E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7、结构优化</w:t>
            </w:r>
          </w:p>
          <w:p w14:paraId="7766453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调整章节名称和结构，更符合全生命周期管理逻辑</w:t>
            </w:r>
          </w:p>
          <w:p w14:paraId="7A61690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8、删除不适用于公司当前检验需求的"抗生素微生物测定方法验证"章节</w:t>
            </w:r>
          </w:p>
          <w:p w14:paraId="485AE43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9、细化QC部门职责，明确操作要求</w:t>
            </w:r>
          </w:p>
        </w:tc>
        <w:tc>
          <w:tcPr>
            <w:tcW w:w="1487" w:type="dxa"/>
            <w:vAlign w:val="center"/>
          </w:tcPr>
          <w:p w14:paraId="74CFD31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871C25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2026.03.18</w:t>
            </w:r>
          </w:p>
        </w:tc>
        <w:tc>
          <w:tcPr>
            <w:tcW w:w="1514" w:type="dxa"/>
            <w:vAlign w:val="center"/>
          </w:tcPr>
          <w:p w14:paraId="6A9DE7D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2026.03.18</w:t>
            </w:r>
          </w:p>
        </w:tc>
        <w:tc>
          <w:tcPr>
            <w:tcW w:w="1391" w:type="dxa"/>
            <w:vAlign w:val="center"/>
          </w:tcPr>
          <w:p w14:paraId="2800B8D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c>
          <w:tcPr>
            <w:tcW w:w="1268" w:type="dxa"/>
            <w:vAlign w:val="center"/>
          </w:tcPr>
          <w:p w14:paraId="0510C7D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r>
      <w:tr w14:paraId="0A99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1EFD0C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892A9D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BG-2603012</w:t>
            </w:r>
          </w:p>
        </w:tc>
        <w:tc>
          <w:tcPr>
            <w:tcW w:w="1377" w:type="dxa"/>
            <w:vAlign w:val="center"/>
          </w:tcPr>
          <w:p w14:paraId="33BC471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6E3AFE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修订《包装纤维桶（危险品）（BO014）质量标准》STP-QS-BO-014/01</w:t>
            </w:r>
          </w:p>
        </w:tc>
        <w:tc>
          <w:tcPr>
            <w:tcW w:w="2959" w:type="dxa"/>
            <w:vAlign w:val="center"/>
          </w:tcPr>
          <w:p w14:paraId="5C47B910">
            <w:pPr>
              <w:keepNext w:val="0"/>
              <w:keepLines w:val="0"/>
              <w:pageBreakBefore w:val="0"/>
              <w:widowControl w:val="0"/>
              <w:numPr>
                <w:ilvl w:val="0"/>
                <w:numId w:val="3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内高项目由“630±5mm”变更为“635±5mm”；镀锌密封圈高度项目由“30±0.3mm”变更为“21±3mm”</w:t>
            </w:r>
          </w:p>
          <w:p w14:paraId="030EC39B">
            <w:pPr>
              <w:keepNext w:val="0"/>
              <w:keepLines w:val="0"/>
              <w:pageBreakBefore w:val="0"/>
              <w:widowControl w:val="0"/>
              <w:numPr>
                <w:ilvl w:val="0"/>
                <w:numId w:val="3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变更通示意图</w:t>
            </w:r>
          </w:p>
        </w:tc>
        <w:tc>
          <w:tcPr>
            <w:tcW w:w="1487" w:type="dxa"/>
            <w:vAlign w:val="center"/>
          </w:tcPr>
          <w:p w14:paraId="681B024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474CC1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2026.03.18</w:t>
            </w:r>
          </w:p>
        </w:tc>
        <w:tc>
          <w:tcPr>
            <w:tcW w:w="1514" w:type="dxa"/>
            <w:vAlign w:val="center"/>
          </w:tcPr>
          <w:p w14:paraId="2539A59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391" w:type="dxa"/>
            <w:vAlign w:val="center"/>
          </w:tcPr>
          <w:p w14:paraId="74CA71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2026.04.02</w:t>
            </w:r>
          </w:p>
        </w:tc>
        <w:tc>
          <w:tcPr>
            <w:tcW w:w="1268" w:type="dxa"/>
            <w:vAlign w:val="center"/>
          </w:tcPr>
          <w:p w14:paraId="14CC67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2026.04.02</w:t>
            </w:r>
          </w:p>
        </w:tc>
      </w:tr>
      <w:tr w14:paraId="4A78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F16D372">
            <w:pPr>
              <w:numPr>
                <w:ilvl w:val="0"/>
                <w:numId w:val="1"/>
              </w:numPr>
              <w:ind w:left="-420" w:leftChars="0" w:firstLine="420" w:firstLineChars="0"/>
              <w:jc w:val="center"/>
              <w:rPr>
                <w:rFonts w:hint="default" w:ascii="Times New Roman" w:hAnsi="Times New Roman" w:eastAsia="宋体" w:cs="Times New Roman"/>
                <w:sz w:val="21"/>
                <w:szCs w:val="21"/>
              </w:rPr>
            </w:pPr>
            <w:bookmarkStart w:id="2" w:name="OLE_LINK3" w:colFirst="5" w:colLast="6"/>
          </w:p>
        </w:tc>
        <w:tc>
          <w:tcPr>
            <w:tcW w:w="1095" w:type="dxa"/>
            <w:vAlign w:val="center"/>
          </w:tcPr>
          <w:p w14:paraId="44BAD68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BG-2603013</w:t>
            </w:r>
          </w:p>
        </w:tc>
        <w:tc>
          <w:tcPr>
            <w:tcW w:w="1377" w:type="dxa"/>
            <w:vAlign w:val="center"/>
          </w:tcPr>
          <w:p w14:paraId="47740DA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38BF97F">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《QC检测仪器维护保养一览表》</w:t>
            </w:r>
          </w:p>
        </w:tc>
        <w:tc>
          <w:tcPr>
            <w:tcW w:w="2959" w:type="dxa"/>
            <w:vAlign w:val="center"/>
          </w:tcPr>
          <w:p w14:paraId="24979BA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增加气相色谱仪的维护应由设备管理员执行，更换完注射器或进样针后进行重复性测试     </w:t>
            </w:r>
          </w:p>
        </w:tc>
        <w:tc>
          <w:tcPr>
            <w:tcW w:w="1487" w:type="dxa"/>
            <w:vAlign w:val="center"/>
          </w:tcPr>
          <w:p w14:paraId="7D78679F">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0E238C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2026.03.19</w:t>
            </w:r>
          </w:p>
        </w:tc>
        <w:tc>
          <w:tcPr>
            <w:tcW w:w="1514" w:type="dxa"/>
            <w:vAlign w:val="center"/>
          </w:tcPr>
          <w:p w14:paraId="72CBD66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c>
          <w:tcPr>
            <w:tcW w:w="1391" w:type="dxa"/>
            <w:vAlign w:val="center"/>
          </w:tcPr>
          <w:p w14:paraId="3DCCBB6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268" w:type="dxa"/>
            <w:vAlign w:val="center"/>
          </w:tcPr>
          <w:p w14:paraId="5A785E6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r>
      <w:bookmarkEnd w:id="2"/>
      <w:tr w14:paraId="4774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AB9E3B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85DBD7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BG-2603014</w:t>
            </w:r>
          </w:p>
        </w:tc>
        <w:tc>
          <w:tcPr>
            <w:tcW w:w="1377" w:type="dxa"/>
            <w:vAlign w:val="center"/>
          </w:tcPr>
          <w:p w14:paraId="65F882E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101一车间</w:t>
            </w:r>
          </w:p>
        </w:tc>
        <w:tc>
          <w:tcPr>
            <w:tcW w:w="2395" w:type="dxa"/>
            <w:vAlign w:val="center"/>
          </w:tcPr>
          <w:p w14:paraId="11D73ED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《智能模块化UPS电源标准操作规程》SOP-QC-049/01等四份文件</w:t>
            </w:r>
          </w:p>
        </w:tc>
        <w:tc>
          <w:tcPr>
            <w:tcW w:w="2959" w:type="dxa"/>
            <w:vAlign w:val="center"/>
          </w:tcPr>
          <w:p w14:paraId="5F418837">
            <w:pPr>
              <w:keepNext w:val="0"/>
              <w:keepLines w:val="0"/>
              <w:pageBreakBefore w:val="0"/>
              <w:widowControl w:val="0"/>
              <w:numPr>
                <w:ilvl w:val="0"/>
                <w:numId w:val="3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增加UPS电源递变器检查的相关规定</w:t>
            </w:r>
          </w:p>
          <w:p w14:paraId="4A12A7DF">
            <w:pPr>
              <w:keepNext w:val="0"/>
              <w:keepLines w:val="0"/>
              <w:pageBreakBefore w:val="0"/>
              <w:widowControl w:val="0"/>
              <w:numPr>
                <w:ilvl w:val="0"/>
                <w:numId w:val="3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增加生化培养箱每三个月检查风机运行状态、检查门的封条有无异常、通风口堵塞、积尘情况</w:t>
            </w:r>
          </w:p>
          <w:p w14:paraId="18CEC024">
            <w:pPr>
              <w:keepNext w:val="0"/>
              <w:keepLines w:val="0"/>
              <w:pageBreakBefore w:val="0"/>
              <w:widowControl w:val="0"/>
              <w:numPr>
                <w:ilvl w:val="0"/>
                <w:numId w:val="3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完善摇瓶机、生化培养箱关于清洁频率的规定</w:t>
            </w:r>
          </w:p>
          <w:p w14:paraId="057AA234">
            <w:pPr>
              <w:keepNext w:val="0"/>
              <w:keepLines w:val="0"/>
              <w:pageBreakBefore w:val="0"/>
              <w:widowControl w:val="0"/>
              <w:numPr>
                <w:ilvl w:val="0"/>
                <w:numId w:val="3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调整摇瓶机维护保养和注意事项的描述</w:t>
            </w:r>
          </w:p>
          <w:p w14:paraId="4E16B2AB">
            <w:pPr>
              <w:keepNext w:val="0"/>
              <w:keepLines w:val="0"/>
              <w:pageBreakBefore w:val="0"/>
              <w:widowControl w:val="0"/>
              <w:numPr>
                <w:ilvl w:val="0"/>
                <w:numId w:val="3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增加QA人员每周对医用低温冷藏箱走纸记录前确认的规定</w:t>
            </w:r>
          </w:p>
        </w:tc>
        <w:tc>
          <w:tcPr>
            <w:tcW w:w="1487" w:type="dxa"/>
            <w:vAlign w:val="center"/>
          </w:tcPr>
          <w:p w14:paraId="578D1E4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E34C571">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2026.03.20</w:t>
            </w:r>
          </w:p>
        </w:tc>
        <w:tc>
          <w:tcPr>
            <w:tcW w:w="1514" w:type="dxa"/>
            <w:vAlign w:val="center"/>
          </w:tcPr>
          <w:p w14:paraId="0E8EB7B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2026.03.20</w:t>
            </w:r>
          </w:p>
        </w:tc>
        <w:tc>
          <w:tcPr>
            <w:tcW w:w="1391" w:type="dxa"/>
            <w:vAlign w:val="center"/>
          </w:tcPr>
          <w:p w14:paraId="42E32E4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c>
          <w:tcPr>
            <w:tcW w:w="1268" w:type="dxa"/>
            <w:vAlign w:val="center"/>
          </w:tcPr>
          <w:p w14:paraId="2AB07F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2026.04.01</w:t>
            </w:r>
          </w:p>
        </w:tc>
      </w:tr>
      <w:tr w14:paraId="68E4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19FE709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4E4A7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BG-2603015</w:t>
            </w:r>
          </w:p>
        </w:tc>
        <w:tc>
          <w:tcPr>
            <w:tcW w:w="1377" w:type="dxa"/>
            <w:vAlign w:val="center"/>
          </w:tcPr>
          <w:p w14:paraId="2FBF99C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3741763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《纸箱（BO706）质量标准》STP-QS-BO-706/02</w:t>
            </w:r>
          </w:p>
        </w:tc>
        <w:tc>
          <w:tcPr>
            <w:tcW w:w="2959" w:type="dxa"/>
            <w:vAlign w:val="center"/>
          </w:tcPr>
          <w:p w14:paraId="31EF8C8D">
            <w:pPr>
              <w:keepNext w:val="0"/>
              <w:keepLines w:val="0"/>
              <w:pageBreakBefore w:val="0"/>
              <w:widowControl w:val="0"/>
              <w:numPr>
                <w:ilvl w:val="0"/>
                <w:numId w:val="3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增加箱体外表面覆膜</w:t>
            </w:r>
          </w:p>
          <w:p w14:paraId="2BB7125E">
            <w:pPr>
              <w:keepNext w:val="0"/>
              <w:keepLines w:val="0"/>
              <w:pageBreakBefore w:val="0"/>
              <w:widowControl w:val="0"/>
              <w:numPr>
                <w:ilvl w:val="0"/>
                <w:numId w:val="3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将缝合处用胶水粘和变更为用箱订固定</w:t>
            </w:r>
          </w:p>
          <w:p w14:paraId="25E3787D">
            <w:pPr>
              <w:keepNext w:val="0"/>
              <w:keepLines w:val="0"/>
              <w:pageBreakBefore w:val="0"/>
              <w:widowControl w:val="0"/>
              <w:numPr>
                <w:ilvl w:val="0"/>
                <w:numId w:val="3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删除纸箱内层围板</w:t>
            </w:r>
          </w:p>
          <w:p w14:paraId="3548EFBC">
            <w:pPr>
              <w:keepNext w:val="0"/>
              <w:keepLines w:val="0"/>
              <w:pageBreakBefore w:val="0"/>
              <w:widowControl w:val="0"/>
              <w:numPr>
                <w:ilvl w:val="0"/>
                <w:numId w:val="3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空箱重量由1350±50g变更为1350±60g</w:t>
            </w:r>
          </w:p>
          <w:p w14:paraId="715ADD09">
            <w:pPr>
              <w:keepNext w:val="0"/>
              <w:keepLines w:val="0"/>
              <w:pageBreakBefore w:val="0"/>
              <w:widowControl w:val="0"/>
              <w:numPr>
                <w:ilvl w:val="0"/>
                <w:numId w:val="3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整体箱重由2000±100g变更为1780±110g</w:t>
            </w:r>
          </w:p>
        </w:tc>
        <w:tc>
          <w:tcPr>
            <w:tcW w:w="1487" w:type="dxa"/>
            <w:vAlign w:val="center"/>
          </w:tcPr>
          <w:p w14:paraId="37CE8F1B">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AA0A570">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2026.03.20</w:t>
            </w:r>
          </w:p>
        </w:tc>
        <w:tc>
          <w:tcPr>
            <w:tcW w:w="1514" w:type="dxa"/>
            <w:vAlign w:val="center"/>
          </w:tcPr>
          <w:p w14:paraId="45FB990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2026.03.25</w:t>
            </w:r>
          </w:p>
        </w:tc>
        <w:tc>
          <w:tcPr>
            <w:tcW w:w="1391" w:type="dxa"/>
            <w:vAlign w:val="center"/>
          </w:tcPr>
          <w:p w14:paraId="64275C6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2026.05.15</w:t>
            </w:r>
          </w:p>
        </w:tc>
        <w:tc>
          <w:tcPr>
            <w:tcW w:w="1268" w:type="dxa"/>
            <w:vAlign w:val="center"/>
          </w:tcPr>
          <w:p w14:paraId="02AB459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914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8D330E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EE0C0B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BG-2603016</w:t>
            </w:r>
          </w:p>
        </w:tc>
        <w:tc>
          <w:tcPr>
            <w:tcW w:w="1377" w:type="dxa"/>
            <w:vAlign w:val="center"/>
          </w:tcPr>
          <w:p w14:paraId="16FF4D3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784175C">
            <w:pPr>
              <w:keepNext w:val="0"/>
              <w:keepLines w:val="0"/>
              <w:widowControl/>
              <w:suppressLineNumbers w:val="0"/>
              <w:ind w:left="210" w:hanging="210" w:hangingChars="10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QC仪器组新增一台十万分之一电子天平</w:t>
            </w:r>
          </w:p>
        </w:tc>
        <w:tc>
          <w:tcPr>
            <w:tcW w:w="2959" w:type="dxa"/>
            <w:vAlign w:val="center"/>
          </w:tcPr>
          <w:p w14:paraId="49C2DB9A">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QC仪器组新增一台十万分之一电子天平   </w:t>
            </w:r>
          </w:p>
        </w:tc>
        <w:tc>
          <w:tcPr>
            <w:tcW w:w="1487" w:type="dxa"/>
            <w:vAlign w:val="center"/>
          </w:tcPr>
          <w:p w14:paraId="16C3220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52B654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2026.03.23</w:t>
            </w:r>
          </w:p>
        </w:tc>
        <w:tc>
          <w:tcPr>
            <w:tcW w:w="1514" w:type="dxa"/>
            <w:vAlign w:val="center"/>
          </w:tcPr>
          <w:p w14:paraId="40FC329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391" w:type="dxa"/>
            <w:vAlign w:val="center"/>
          </w:tcPr>
          <w:p w14:paraId="1313696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2026.05.07</w:t>
            </w:r>
          </w:p>
        </w:tc>
        <w:tc>
          <w:tcPr>
            <w:tcW w:w="1268" w:type="dxa"/>
            <w:vAlign w:val="center"/>
          </w:tcPr>
          <w:p w14:paraId="68DC91B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2026.06.08</w:t>
            </w:r>
          </w:p>
        </w:tc>
      </w:tr>
      <w:tr w14:paraId="72C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1DF4C2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16B3B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BG-2603017</w:t>
            </w:r>
          </w:p>
        </w:tc>
        <w:tc>
          <w:tcPr>
            <w:tcW w:w="1377" w:type="dxa"/>
            <w:vAlign w:val="center"/>
          </w:tcPr>
          <w:p w14:paraId="2240AEF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0FF3B494">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新增盐酸林可霉素产品标签审批表</w:t>
            </w:r>
          </w:p>
        </w:tc>
        <w:tc>
          <w:tcPr>
            <w:tcW w:w="2959" w:type="dxa"/>
            <w:vAlign w:val="center"/>
          </w:tcPr>
          <w:p w14:paraId="7FBFF07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新增盐酸林可霉素产品适用于：Egyptian international Pharmaceutical Industries Co. S.A.E (Eipico)标签审批表</w:t>
            </w:r>
          </w:p>
        </w:tc>
        <w:tc>
          <w:tcPr>
            <w:tcW w:w="1487" w:type="dxa"/>
            <w:vAlign w:val="center"/>
          </w:tcPr>
          <w:p w14:paraId="6DCA13A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E07C7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3E8214D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2026.03.27</w:t>
            </w:r>
          </w:p>
        </w:tc>
        <w:tc>
          <w:tcPr>
            <w:tcW w:w="1391" w:type="dxa"/>
            <w:vAlign w:val="center"/>
          </w:tcPr>
          <w:p w14:paraId="0A7A34B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2026.03.30</w:t>
            </w:r>
          </w:p>
        </w:tc>
        <w:tc>
          <w:tcPr>
            <w:tcW w:w="1268" w:type="dxa"/>
            <w:vAlign w:val="center"/>
          </w:tcPr>
          <w:p w14:paraId="7960340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2026.03.30</w:t>
            </w:r>
          </w:p>
        </w:tc>
      </w:tr>
      <w:tr w14:paraId="3EF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559AB0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1299FC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BG-2603018</w:t>
            </w:r>
          </w:p>
        </w:tc>
        <w:tc>
          <w:tcPr>
            <w:tcW w:w="1377" w:type="dxa"/>
            <w:vAlign w:val="center"/>
          </w:tcPr>
          <w:p w14:paraId="143DDAD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655A28D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《2%氟苯尼考预混剂生产工艺规程》KP-XT2-FL-001/03共三份文件</w:t>
            </w:r>
          </w:p>
        </w:tc>
        <w:tc>
          <w:tcPr>
            <w:tcW w:w="2959" w:type="dxa"/>
            <w:vAlign w:val="center"/>
          </w:tcPr>
          <w:p w14:paraId="5C02B3E5">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完善生产过程的取样原则</w:t>
            </w:r>
          </w:p>
          <w:p w14:paraId="0EE125D1">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将重量异常袋数”细化为 “尾料/零头袋数、欠重袋数、超重袋数、包装袋检查不合格袋数”</w:t>
            </w:r>
          </w:p>
          <w:p w14:paraId="71672849">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w:t>
            </w:r>
            <w:r>
              <w:rPr>
                <w:rFonts w:hint="default" w:ascii="Times New Roman" w:hAnsi="Times New Roman" w:eastAsia="宋体" w:cs="Times New Roman"/>
                <w:sz w:val="21"/>
                <w:szCs w:val="15"/>
                <w:highlight w:val="none"/>
                <w:lang w:val="en-US" w:eastAsia="zh-CN"/>
              </w:rPr>
              <w:t>“包装箱破损数”</w:t>
            </w:r>
            <w:r>
              <w:rPr>
                <w:rFonts w:hint="eastAsia" w:ascii="Times New Roman" w:hAnsi="Times New Roman" w:eastAsia="宋体" w:cs="Times New Roman"/>
                <w:sz w:val="21"/>
                <w:szCs w:val="15"/>
                <w:highlight w:val="none"/>
                <w:lang w:val="en-US" w:eastAsia="zh-CN"/>
              </w:rPr>
              <w:t>描述</w:t>
            </w:r>
            <w:r>
              <w:rPr>
                <w:rFonts w:hint="default" w:ascii="Times New Roman" w:hAnsi="Times New Roman" w:eastAsia="宋体" w:cs="Times New Roman"/>
                <w:sz w:val="21"/>
                <w:szCs w:val="15"/>
                <w:highlight w:val="none"/>
                <w:lang w:val="en-US" w:eastAsia="zh-CN"/>
              </w:rPr>
              <w:t>优化为 “不合格箱数”</w:t>
            </w:r>
          </w:p>
          <w:p w14:paraId="51C1F2D9">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包装袋检查中增加“抽取包装并检查期间，如发现不符合检查要求的情况时，应按《偏差处理管理程序》（SMP-QA-011）报告偏差，并按照偏差处理流程进行处理”</w:t>
            </w:r>
          </w:p>
          <w:p w14:paraId="254E8E65">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包装袋数量统计表中增加“销毁数量公式：销毁数量 (kg)= 尾料 / 零头 (kg)+ 欠重 (kg)+ 超重 (kg)+ 包装袋检查不合格 (kg)”</w:t>
            </w:r>
          </w:p>
          <w:p w14:paraId="6B7700B9">
            <w:pPr>
              <w:keepNext w:val="0"/>
              <w:keepLines w:val="0"/>
              <w:pageBreakBefore w:val="0"/>
              <w:widowControl w:val="0"/>
              <w:numPr>
                <w:ilvl w:val="0"/>
                <w:numId w:val="3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包装箱</w:t>
            </w:r>
            <w:r>
              <w:rPr>
                <w:rFonts w:hint="eastAsia" w:ascii="Times New Roman" w:hAnsi="Times New Roman" w:eastAsia="宋体" w:cs="Times New Roman"/>
                <w:sz w:val="21"/>
                <w:szCs w:val="15"/>
                <w:highlight w:val="none"/>
                <w:lang w:val="en-US" w:eastAsia="zh-CN"/>
              </w:rPr>
              <w:t>和包装袋</w:t>
            </w:r>
            <w:r>
              <w:rPr>
                <w:rFonts w:hint="default" w:ascii="Times New Roman" w:hAnsi="Times New Roman" w:eastAsia="宋体" w:cs="Times New Roman"/>
                <w:sz w:val="21"/>
                <w:szCs w:val="15"/>
                <w:highlight w:val="none"/>
                <w:lang w:val="en-US" w:eastAsia="zh-CN"/>
              </w:rPr>
              <w:t>检查记录中新增 “不合格箱号（二维码序列号后 11 位）”、“不合格原因说明” 明细栏；</w:t>
            </w:r>
          </w:p>
        </w:tc>
        <w:tc>
          <w:tcPr>
            <w:tcW w:w="1487" w:type="dxa"/>
            <w:vAlign w:val="center"/>
          </w:tcPr>
          <w:p w14:paraId="0E1687E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277F398">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7FF508E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2026.03.27</w:t>
            </w:r>
          </w:p>
        </w:tc>
        <w:tc>
          <w:tcPr>
            <w:tcW w:w="1391" w:type="dxa"/>
            <w:vAlign w:val="center"/>
          </w:tcPr>
          <w:p w14:paraId="47882F3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c>
          <w:tcPr>
            <w:tcW w:w="1268" w:type="dxa"/>
            <w:vAlign w:val="center"/>
          </w:tcPr>
          <w:p w14:paraId="65752F8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r>
      <w:tr w14:paraId="341E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5D1D4EF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B44E0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BG-2603019</w:t>
            </w:r>
          </w:p>
        </w:tc>
        <w:tc>
          <w:tcPr>
            <w:tcW w:w="1377" w:type="dxa"/>
            <w:vAlign w:val="center"/>
          </w:tcPr>
          <w:p w14:paraId="0A62655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022BC13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《纸箱质量标准》STP-QS-BO-706/02和《2%氟苯尼考预混剂用复合包装袋质量标准》STP-QS-BI-612/04</w:t>
            </w:r>
          </w:p>
        </w:tc>
        <w:tc>
          <w:tcPr>
            <w:tcW w:w="2959" w:type="dxa"/>
            <w:vAlign w:val="center"/>
          </w:tcPr>
          <w:p w14:paraId="1B3A7EBD">
            <w:pPr>
              <w:keepNext w:val="0"/>
              <w:keepLines w:val="0"/>
              <w:pageBreakBefore w:val="0"/>
              <w:widowControl w:val="0"/>
              <w:numPr>
                <w:ilvl w:val="0"/>
                <w:numId w:val="3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外观项目中删除“字迹清晰，外观与样稿一致”的规定</w:t>
            </w:r>
          </w:p>
          <w:p w14:paraId="76210C22">
            <w:pPr>
              <w:keepNext w:val="0"/>
              <w:keepLines w:val="0"/>
              <w:pageBreakBefore w:val="0"/>
              <w:widowControl w:val="0"/>
              <w:numPr>
                <w:ilvl w:val="0"/>
                <w:numId w:val="3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增加印刷质量项目</w:t>
            </w:r>
          </w:p>
        </w:tc>
        <w:tc>
          <w:tcPr>
            <w:tcW w:w="1487" w:type="dxa"/>
            <w:vAlign w:val="center"/>
          </w:tcPr>
          <w:p w14:paraId="1ABEB24A">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6BDB15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2D30300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2026.03.27</w:t>
            </w:r>
          </w:p>
        </w:tc>
        <w:tc>
          <w:tcPr>
            <w:tcW w:w="1391" w:type="dxa"/>
            <w:vAlign w:val="center"/>
          </w:tcPr>
          <w:p w14:paraId="2362599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2026.04.10</w:t>
            </w:r>
          </w:p>
        </w:tc>
        <w:tc>
          <w:tcPr>
            <w:tcW w:w="1268" w:type="dxa"/>
            <w:vAlign w:val="center"/>
          </w:tcPr>
          <w:p w14:paraId="50B73AB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74D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A41DCF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B0CC0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BG-2603020</w:t>
            </w:r>
          </w:p>
        </w:tc>
        <w:tc>
          <w:tcPr>
            <w:tcW w:w="1377" w:type="dxa"/>
            <w:vAlign w:val="center"/>
          </w:tcPr>
          <w:p w14:paraId="71B98E2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41C1969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修订《双层聚乙烯袋（BI005）检验标准操作规程》SOP-QC(BI)-005/06、《双层聚乙烯袋（BI009）检验标准操作规程》SOP-QC(BI)-009/03</w:t>
            </w:r>
          </w:p>
        </w:tc>
        <w:tc>
          <w:tcPr>
            <w:tcW w:w="2959" w:type="dxa"/>
            <w:vAlign w:val="center"/>
          </w:tcPr>
          <w:p w14:paraId="519D6C01">
            <w:pPr>
              <w:keepNext w:val="0"/>
              <w:keepLines w:val="0"/>
              <w:pageBreakBefore w:val="0"/>
              <w:widowControl w:val="0"/>
              <w:numPr>
                <w:ilvl w:val="0"/>
                <w:numId w:val="3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rPr>
              <w:t>最大有效稀释倍数（MVD）</w:t>
            </w:r>
            <w:r>
              <w:rPr>
                <w:rFonts w:hint="eastAsia" w:ascii="Times New Roman" w:hAnsi="Times New Roman" w:eastAsia="宋体" w:cs="Times New Roman"/>
                <w:lang w:val="en-US" w:eastAsia="zh-CN"/>
              </w:rPr>
              <w:t>的定义</w:t>
            </w:r>
          </w:p>
          <w:p w14:paraId="5CE963B3">
            <w:pPr>
              <w:keepNext w:val="0"/>
              <w:keepLines w:val="0"/>
              <w:pageBreakBefore w:val="0"/>
              <w:widowControl w:val="0"/>
              <w:numPr>
                <w:ilvl w:val="0"/>
                <w:numId w:val="3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调整</w:t>
            </w:r>
            <w:r>
              <w:rPr>
                <w:rFonts w:hint="default" w:ascii="Times New Roman" w:hAnsi="Times New Roman" w:eastAsia="宋体" w:cs="Times New Roman"/>
                <w:lang w:val="en-US" w:eastAsia="zh-CN"/>
              </w:rPr>
              <w:t>MVD计算公式</w:t>
            </w:r>
            <w:r>
              <w:rPr>
                <w:rFonts w:hint="eastAsia" w:ascii="Times New Roman" w:hAnsi="Times New Roman" w:eastAsia="宋体" w:cs="Times New Roman"/>
                <w:lang w:val="en-US" w:eastAsia="zh-CN"/>
              </w:rPr>
              <w:t>中单位</w:t>
            </w:r>
            <w:r>
              <w:rPr>
                <w:rFonts w:hint="default" w:ascii="Times New Roman" w:hAnsi="Times New Roman" w:eastAsia="宋体" w:cs="Times New Roman"/>
                <w:lang w:val="en-US" w:eastAsia="zh-CN"/>
              </w:rPr>
              <w:t>表述</w:t>
            </w:r>
          </w:p>
          <w:p w14:paraId="59DF68B2">
            <w:pPr>
              <w:keepNext w:val="0"/>
              <w:keepLines w:val="0"/>
              <w:pageBreakBefore w:val="0"/>
              <w:widowControl w:val="0"/>
              <w:numPr>
                <w:ilvl w:val="0"/>
                <w:numId w:val="3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将“剪取两张5cm×5cm面积大小的聚乙烯袋内袋，浸泡在25ml细菌内毒素检查用水中，在旋涡混合器上震荡30分钟，平行试验两份。使用细菌内毒素检查用水配制为最低有效浓度MVC的供试品溶液。”变更为“剪取面积为25cm2大小的聚乙烯袋内袋2张，剪碎浸泡在盛有8ml细菌内毒素检查用水的三角瓶中，在37±1℃浸泡60分钟，制成供试品，备用”</w:t>
            </w:r>
          </w:p>
          <w:p w14:paraId="75BFE6EE">
            <w:pPr>
              <w:keepNext w:val="0"/>
              <w:keepLines w:val="0"/>
              <w:pageBreakBefore w:val="0"/>
              <w:widowControl w:val="0"/>
              <w:numPr>
                <w:ilvl w:val="0"/>
                <w:numId w:val="35"/>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检验记录</w:t>
            </w:r>
            <w:r>
              <w:rPr>
                <w:rFonts w:hint="eastAsia" w:ascii="Times New Roman" w:hAnsi="Times New Roman" w:eastAsia="宋体" w:cs="Times New Roman"/>
                <w:lang w:val="en-US" w:eastAsia="zh-CN"/>
              </w:rPr>
              <w:t>完善</w:t>
            </w:r>
            <w:r>
              <w:rPr>
                <w:rFonts w:hint="default" w:ascii="Times New Roman" w:hAnsi="Times New Roman" w:eastAsia="宋体" w:cs="Times New Roman"/>
                <w:lang w:val="en-US" w:eastAsia="zh-CN"/>
              </w:rPr>
              <w:t>培养箱编号/有效期、热空气消毒日期</w:t>
            </w:r>
          </w:p>
        </w:tc>
        <w:tc>
          <w:tcPr>
            <w:tcW w:w="1487" w:type="dxa"/>
            <w:vAlign w:val="center"/>
          </w:tcPr>
          <w:p w14:paraId="33433EA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C67237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1AB2EB5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391" w:type="dxa"/>
            <w:vAlign w:val="center"/>
          </w:tcPr>
          <w:p w14:paraId="7F5FDBE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3779C0C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F0A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DA8A96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B3BC4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BG-2603021</w:t>
            </w:r>
          </w:p>
        </w:tc>
        <w:tc>
          <w:tcPr>
            <w:tcW w:w="1377" w:type="dxa"/>
            <w:vAlign w:val="center"/>
          </w:tcPr>
          <w:p w14:paraId="2D2E1C7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1C030B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将百万分之一电子天平（QC-1-2-070）转移到QC二楼精密称量室（2）</w:t>
            </w:r>
          </w:p>
        </w:tc>
        <w:tc>
          <w:tcPr>
            <w:tcW w:w="2959" w:type="dxa"/>
            <w:vAlign w:val="center"/>
          </w:tcPr>
          <w:p w14:paraId="5D5E0B5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将百万分之一电子天平（QC-1-2-070）转移到QC二楼精密称量室（2）</w:t>
            </w:r>
          </w:p>
        </w:tc>
        <w:tc>
          <w:tcPr>
            <w:tcW w:w="1487" w:type="dxa"/>
            <w:vAlign w:val="center"/>
          </w:tcPr>
          <w:p w14:paraId="76820230">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4CBAA33">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57EED6F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391" w:type="dxa"/>
            <w:vAlign w:val="center"/>
          </w:tcPr>
          <w:p w14:paraId="161A77D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2026.04.21</w:t>
            </w:r>
          </w:p>
        </w:tc>
        <w:tc>
          <w:tcPr>
            <w:tcW w:w="1268" w:type="dxa"/>
            <w:vAlign w:val="center"/>
          </w:tcPr>
          <w:p w14:paraId="01AACF5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2026.05.08</w:t>
            </w:r>
          </w:p>
        </w:tc>
      </w:tr>
      <w:tr w14:paraId="7984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704573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11217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BG-2603022</w:t>
            </w:r>
          </w:p>
        </w:tc>
        <w:tc>
          <w:tcPr>
            <w:tcW w:w="1377" w:type="dxa"/>
            <w:vAlign w:val="center"/>
          </w:tcPr>
          <w:p w14:paraId="3553F12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3F7EC2B6">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修订《生产管理程序》SMP-PM-004/10</w:t>
            </w:r>
          </w:p>
        </w:tc>
        <w:tc>
          <w:tcPr>
            <w:tcW w:w="2959" w:type="dxa"/>
            <w:vAlign w:val="center"/>
          </w:tcPr>
          <w:p w14:paraId="01A2A69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生产过程中，除按照文件规定执行的物料、中间体、成品及验证过程样品的请检外，如需发起额外请检，需填写《生产过程临时请检申请表》，经QA负责人批准后，填写《样品请检单》，此类样品需按特殊样品进行请检。”</w:t>
            </w:r>
          </w:p>
        </w:tc>
        <w:tc>
          <w:tcPr>
            <w:tcW w:w="1487" w:type="dxa"/>
            <w:vAlign w:val="center"/>
          </w:tcPr>
          <w:p w14:paraId="279AC48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138665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0FB04AE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391" w:type="dxa"/>
            <w:vAlign w:val="center"/>
          </w:tcPr>
          <w:p w14:paraId="504BC4E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2026.04.03</w:t>
            </w:r>
          </w:p>
        </w:tc>
        <w:tc>
          <w:tcPr>
            <w:tcW w:w="1268" w:type="dxa"/>
            <w:vAlign w:val="center"/>
          </w:tcPr>
          <w:p w14:paraId="4B5FECB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2026.04.03</w:t>
            </w:r>
          </w:p>
        </w:tc>
      </w:tr>
      <w:tr w14:paraId="77F5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A27962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7C47A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BG-2603023</w:t>
            </w:r>
          </w:p>
        </w:tc>
        <w:tc>
          <w:tcPr>
            <w:tcW w:w="1377" w:type="dxa"/>
            <w:vAlign w:val="center"/>
          </w:tcPr>
          <w:p w14:paraId="21496BD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3A4402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QC增加一台气相色谱仪（Agilent 8890）、顶空进样器（Agilen 8697）以及一台氮氢空一体机（NHA500）</w:t>
            </w:r>
          </w:p>
        </w:tc>
        <w:tc>
          <w:tcPr>
            <w:tcW w:w="2959" w:type="dxa"/>
            <w:vAlign w:val="center"/>
          </w:tcPr>
          <w:p w14:paraId="2A11F77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QC增加一台气相色谱仪（Agilent 8890）、顶空进样器（Agilen 8697）以及一台氮氢空一体机（NHA500）</w:t>
            </w:r>
          </w:p>
        </w:tc>
        <w:tc>
          <w:tcPr>
            <w:tcW w:w="1487" w:type="dxa"/>
            <w:vAlign w:val="center"/>
          </w:tcPr>
          <w:p w14:paraId="47776350">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9C7A9F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2026.03.27</w:t>
            </w:r>
          </w:p>
        </w:tc>
        <w:tc>
          <w:tcPr>
            <w:tcW w:w="1514" w:type="dxa"/>
            <w:vAlign w:val="center"/>
          </w:tcPr>
          <w:p w14:paraId="11ED946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2026.04.02</w:t>
            </w:r>
          </w:p>
        </w:tc>
        <w:tc>
          <w:tcPr>
            <w:tcW w:w="1391" w:type="dxa"/>
            <w:vAlign w:val="center"/>
          </w:tcPr>
          <w:p w14:paraId="76E054A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60867DD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04E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ED6715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51D43C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BG-2603024</w:t>
            </w:r>
          </w:p>
        </w:tc>
        <w:tc>
          <w:tcPr>
            <w:tcW w:w="1377" w:type="dxa"/>
            <w:vAlign w:val="center"/>
          </w:tcPr>
          <w:p w14:paraId="5C1C238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3AEC9B2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修订《GMP相关的计算机化系统管理程序》SMP-QA-041/05</w:t>
            </w:r>
          </w:p>
        </w:tc>
        <w:tc>
          <w:tcPr>
            <w:tcW w:w="2959" w:type="dxa"/>
            <w:vAlign w:val="center"/>
          </w:tcPr>
          <w:p w14:paraId="7BFE896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增加计算机化系统故障应急演练的相关要求，包括应急演练编码、格式及内容的相关要求</w:t>
            </w:r>
          </w:p>
        </w:tc>
        <w:tc>
          <w:tcPr>
            <w:tcW w:w="1487" w:type="dxa"/>
            <w:vAlign w:val="center"/>
          </w:tcPr>
          <w:p w14:paraId="2D50F35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49AB4D1">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2026.03.30</w:t>
            </w:r>
          </w:p>
        </w:tc>
        <w:tc>
          <w:tcPr>
            <w:tcW w:w="1514" w:type="dxa"/>
            <w:vAlign w:val="center"/>
          </w:tcPr>
          <w:p w14:paraId="1F83721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c>
          <w:tcPr>
            <w:tcW w:w="1391" w:type="dxa"/>
            <w:vAlign w:val="center"/>
          </w:tcPr>
          <w:p w14:paraId="4D50C61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2026.04.28</w:t>
            </w:r>
          </w:p>
        </w:tc>
        <w:tc>
          <w:tcPr>
            <w:tcW w:w="1268" w:type="dxa"/>
            <w:vAlign w:val="center"/>
          </w:tcPr>
          <w:p w14:paraId="63BAC15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2026.04.28</w:t>
            </w:r>
          </w:p>
        </w:tc>
      </w:tr>
      <w:tr w14:paraId="02B0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989175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C11A08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BG-2603025</w:t>
            </w:r>
          </w:p>
        </w:tc>
        <w:tc>
          <w:tcPr>
            <w:tcW w:w="1377" w:type="dxa"/>
            <w:vAlign w:val="center"/>
          </w:tcPr>
          <w:p w14:paraId="64FD816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采购部</w:t>
            </w:r>
          </w:p>
        </w:tc>
        <w:tc>
          <w:tcPr>
            <w:tcW w:w="2395" w:type="dxa"/>
            <w:vAlign w:val="center"/>
          </w:tcPr>
          <w:p w14:paraId="5D46DDC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增加芬苯达唑粉剂用轻质碳酸钙供应商</w:t>
            </w:r>
          </w:p>
        </w:tc>
        <w:tc>
          <w:tcPr>
            <w:tcW w:w="2959" w:type="dxa"/>
            <w:vAlign w:val="center"/>
          </w:tcPr>
          <w:p w14:paraId="6BF644B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增加芬苯达唑粉剂用轻质碳酸钙供应商：宿迁市现代生物科技股份有限公司</w:t>
            </w:r>
          </w:p>
        </w:tc>
        <w:tc>
          <w:tcPr>
            <w:tcW w:w="1487" w:type="dxa"/>
            <w:vAlign w:val="center"/>
          </w:tcPr>
          <w:p w14:paraId="73C260FF">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5DB796A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2026.03.31</w:t>
            </w:r>
          </w:p>
        </w:tc>
        <w:tc>
          <w:tcPr>
            <w:tcW w:w="1514" w:type="dxa"/>
            <w:vAlign w:val="center"/>
          </w:tcPr>
          <w:p w14:paraId="3D6F30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2026.03.31</w:t>
            </w:r>
          </w:p>
        </w:tc>
        <w:tc>
          <w:tcPr>
            <w:tcW w:w="1391" w:type="dxa"/>
            <w:vAlign w:val="center"/>
          </w:tcPr>
          <w:p w14:paraId="38A9A8F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2AEF259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015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7F277C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4DE91E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BG-2604001</w:t>
            </w:r>
          </w:p>
        </w:tc>
        <w:tc>
          <w:tcPr>
            <w:tcW w:w="1377" w:type="dxa"/>
            <w:vAlign w:val="center"/>
          </w:tcPr>
          <w:p w14:paraId="0BF8856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369E3EB">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修订《2%氟苯尼考预混剂质量标准》STP-QS-FL-101/01</w:t>
            </w:r>
          </w:p>
        </w:tc>
        <w:tc>
          <w:tcPr>
            <w:tcW w:w="2959" w:type="dxa"/>
            <w:vAlign w:val="center"/>
          </w:tcPr>
          <w:p w14:paraId="3080DA9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增加用于出具稳定性考察期标准的报告单模板</w:t>
            </w:r>
          </w:p>
        </w:tc>
        <w:tc>
          <w:tcPr>
            <w:tcW w:w="1487" w:type="dxa"/>
            <w:vAlign w:val="center"/>
          </w:tcPr>
          <w:p w14:paraId="03719B8F">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3D78D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2026.04.07</w:t>
            </w:r>
          </w:p>
        </w:tc>
        <w:tc>
          <w:tcPr>
            <w:tcW w:w="1514" w:type="dxa"/>
            <w:vAlign w:val="center"/>
          </w:tcPr>
          <w:p w14:paraId="24DF501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2026.04.07</w:t>
            </w:r>
          </w:p>
        </w:tc>
        <w:tc>
          <w:tcPr>
            <w:tcW w:w="1391" w:type="dxa"/>
            <w:vAlign w:val="center"/>
          </w:tcPr>
          <w:p w14:paraId="1C610C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2026.04.07</w:t>
            </w:r>
          </w:p>
        </w:tc>
        <w:tc>
          <w:tcPr>
            <w:tcW w:w="1268" w:type="dxa"/>
            <w:vAlign w:val="center"/>
          </w:tcPr>
          <w:p w14:paraId="27113B0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 xml:space="preserve">2026.04.08  </w:t>
            </w:r>
          </w:p>
        </w:tc>
      </w:tr>
      <w:tr w14:paraId="2ED3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FC1CAD3">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7BF0EA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BG-2604002</w:t>
            </w:r>
          </w:p>
        </w:tc>
        <w:tc>
          <w:tcPr>
            <w:tcW w:w="1377" w:type="dxa"/>
            <w:vAlign w:val="center"/>
          </w:tcPr>
          <w:p w14:paraId="53BC32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15699FC">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QC新增3台高相液相色谱仪（沃特斯ACQUITY Arc）、一台Lace（戴尔）和一台服务器（戴尔R750XS）</w:t>
            </w:r>
          </w:p>
        </w:tc>
        <w:tc>
          <w:tcPr>
            <w:tcW w:w="2959" w:type="dxa"/>
            <w:vAlign w:val="center"/>
          </w:tcPr>
          <w:p w14:paraId="6D8D967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QC新增3台高相液相色谱仪（沃特斯ACQUITY Arc）、一台Lace（戴尔）和一台服务器（戴尔R750XS）</w:t>
            </w:r>
          </w:p>
        </w:tc>
        <w:tc>
          <w:tcPr>
            <w:tcW w:w="1487" w:type="dxa"/>
            <w:vAlign w:val="center"/>
          </w:tcPr>
          <w:p w14:paraId="1F9BE7B6">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4BE147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2026.04.14</w:t>
            </w:r>
          </w:p>
        </w:tc>
        <w:tc>
          <w:tcPr>
            <w:tcW w:w="1514" w:type="dxa"/>
            <w:vAlign w:val="center"/>
          </w:tcPr>
          <w:p w14:paraId="7209EDB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2026.04.30</w:t>
            </w:r>
          </w:p>
        </w:tc>
        <w:tc>
          <w:tcPr>
            <w:tcW w:w="1391" w:type="dxa"/>
            <w:vAlign w:val="center"/>
          </w:tcPr>
          <w:p w14:paraId="5CC7A89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17ECC0B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0B8D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7" w:type="dxa"/>
            <w:vAlign w:val="center"/>
          </w:tcPr>
          <w:p w14:paraId="690F2601">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276BD1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BG-2604003</w:t>
            </w:r>
          </w:p>
        </w:tc>
        <w:tc>
          <w:tcPr>
            <w:tcW w:w="1377" w:type="dxa"/>
            <w:vAlign w:val="center"/>
          </w:tcPr>
          <w:p w14:paraId="7DD0AC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348BD7D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修订《产品销售与发运管理程序》SMP-PM-012/13</w:t>
            </w:r>
          </w:p>
        </w:tc>
        <w:tc>
          <w:tcPr>
            <w:tcW w:w="2959" w:type="dxa"/>
            <w:vAlign w:val="center"/>
          </w:tcPr>
          <w:p w14:paraId="2950EEDB">
            <w:pPr>
              <w:keepNext w:val="0"/>
              <w:keepLines w:val="0"/>
              <w:pageBreakBefore w:val="0"/>
              <w:widowControl w:val="0"/>
              <w:numPr>
                <w:ilvl w:val="0"/>
                <w:numId w:val="3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增加国内段运输由我司负责，需从《合格承运商名录》中选择合格承运商进行运输；国外段运输可由我司负责或客户负责，若由我司负责时需从《合格承运商名录》中选择合格承运商进行运输</w:t>
            </w:r>
          </w:p>
          <w:p w14:paraId="3CBB1F0D">
            <w:pPr>
              <w:keepNext w:val="0"/>
              <w:keepLines w:val="0"/>
              <w:pageBreakBefore w:val="0"/>
              <w:widowControl w:val="0"/>
              <w:numPr>
                <w:ilvl w:val="0"/>
                <w:numId w:val="3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将《产品销售通知单》中的“承运商要求”变更为“国外段承运商要求”</w:t>
            </w:r>
          </w:p>
          <w:p w14:paraId="7611DE04">
            <w:pPr>
              <w:keepNext w:val="0"/>
              <w:keepLines w:val="0"/>
              <w:pageBreakBefore w:val="0"/>
              <w:widowControl w:val="0"/>
              <w:numPr>
                <w:ilvl w:val="0"/>
                <w:numId w:val="3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在《装车确认单》中增加“国内段承运商名称”、“国外段承运商名称”</w:t>
            </w:r>
          </w:p>
          <w:p w14:paraId="4A847216">
            <w:pPr>
              <w:keepNext w:val="0"/>
              <w:keepLines w:val="0"/>
              <w:pageBreakBefore w:val="0"/>
              <w:widowControl w:val="0"/>
              <w:numPr>
                <w:ilvl w:val="0"/>
                <w:numId w:val="36"/>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当有销往国外的5㎏/桶多拉菌素（含BHT）的订单时，应在《产品发货确认单》“包装及运输要求（包装规格等）”栏中标注“填充气泡膜”字样，若国外段运输不需要我司负责，则不需要填充气泡膜”变更为“当有销往国外的㎏/桶多拉菌素（含BHT）的订单时，需填充气泡膜，若国外段运输不需要我司负责，则不需要填充气泡膜”</w:t>
            </w:r>
          </w:p>
        </w:tc>
        <w:tc>
          <w:tcPr>
            <w:tcW w:w="1487" w:type="dxa"/>
            <w:vAlign w:val="center"/>
          </w:tcPr>
          <w:p w14:paraId="7067E603">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EA05336">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2026.04.16</w:t>
            </w:r>
          </w:p>
        </w:tc>
        <w:tc>
          <w:tcPr>
            <w:tcW w:w="1514" w:type="dxa"/>
            <w:vAlign w:val="center"/>
          </w:tcPr>
          <w:p w14:paraId="5875E34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c>
          <w:tcPr>
            <w:tcW w:w="1391" w:type="dxa"/>
            <w:vAlign w:val="center"/>
          </w:tcPr>
          <w:p w14:paraId="71F63A4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c>
          <w:tcPr>
            <w:tcW w:w="1268" w:type="dxa"/>
            <w:vAlign w:val="center"/>
          </w:tcPr>
          <w:p w14:paraId="053CBF1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r>
      <w:tr w14:paraId="4D1E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0034187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B4D0E5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BG-2604004</w:t>
            </w:r>
          </w:p>
        </w:tc>
        <w:tc>
          <w:tcPr>
            <w:tcW w:w="1377" w:type="dxa"/>
            <w:vAlign w:val="center"/>
          </w:tcPr>
          <w:p w14:paraId="70766B8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432B9A9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霉酚酸出口空运危险品桶包装新增气泡膜填充操作</w:t>
            </w:r>
          </w:p>
        </w:tc>
        <w:tc>
          <w:tcPr>
            <w:tcW w:w="2959" w:type="dxa"/>
            <w:vAlign w:val="center"/>
          </w:tcPr>
          <w:p w14:paraId="2B8F933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为了满足空运出口货物的包装要求，霉酚酸出口空运危险品桶包装新增气泡膜填充操作</w:t>
            </w:r>
          </w:p>
        </w:tc>
        <w:tc>
          <w:tcPr>
            <w:tcW w:w="1487" w:type="dxa"/>
            <w:vAlign w:val="center"/>
          </w:tcPr>
          <w:p w14:paraId="6096FAB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0B4C8E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2026.04.16</w:t>
            </w:r>
          </w:p>
        </w:tc>
        <w:tc>
          <w:tcPr>
            <w:tcW w:w="1514" w:type="dxa"/>
            <w:vAlign w:val="center"/>
          </w:tcPr>
          <w:p w14:paraId="300DB90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2026.04.16</w:t>
            </w:r>
          </w:p>
        </w:tc>
        <w:tc>
          <w:tcPr>
            <w:tcW w:w="1391" w:type="dxa"/>
            <w:vAlign w:val="center"/>
          </w:tcPr>
          <w:p w14:paraId="6395D25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c>
          <w:tcPr>
            <w:tcW w:w="1268" w:type="dxa"/>
            <w:vAlign w:val="center"/>
          </w:tcPr>
          <w:p w14:paraId="6AAC170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2026.04.20</w:t>
            </w:r>
          </w:p>
        </w:tc>
      </w:tr>
      <w:tr w14:paraId="2BDD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C4404A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E1422A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BG-2604005</w:t>
            </w:r>
          </w:p>
        </w:tc>
        <w:tc>
          <w:tcPr>
            <w:tcW w:w="1377" w:type="dxa"/>
            <w:vAlign w:val="center"/>
          </w:tcPr>
          <w:p w14:paraId="3640B83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DDDB0F6">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《多拉菌素产品标签审批表》</w:t>
            </w:r>
          </w:p>
        </w:tc>
        <w:tc>
          <w:tcPr>
            <w:tcW w:w="2959" w:type="dxa"/>
            <w:vAlign w:val="center"/>
          </w:tcPr>
          <w:p w14:paraId="75C750B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将储存条件的内容“Stored at 1~30°C,in an airtight and light-resistant container”修订为“STORED AT 1~30 ℃,IN AN AIRTIGHT AND LIGHT-RESISTANT CONTAINER.”</w:t>
            </w:r>
          </w:p>
        </w:tc>
        <w:tc>
          <w:tcPr>
            <w:tcW w:w="1487" w:type="dxa"/>
            <w:vAlign w:val="center"/>
          </w:tcPr>
          <w:p w14:paraId="11DD6002">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F7E24F1">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2026.04.16</w:t>
            </w:r>
          </w:p>
        </w:tc>
        <w:tc>
          <w:tcPr>
            <w:tcW w:w="1514" w:type="dxa"/>
            <w:vAlign w:val="center"/>
          </w:tcPr>
          <w:p w14:paraId="4248A14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c>
          <w:tcPr>
            <w:tcW w:w="1391" w:type="dxa"/>
            <w:vAlign w:val="center"/>
          </w:tcPr>
          <w:p w14:paraId="2977FC3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c>
          <w:tcPr>
            <w:tcW w:w="1268" w:type="dxa"/>
            <w:vAlign w:val="center"/>
          </w:tcPr>
          <w:p w14:paraId="0A1011D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2026.04.17</w:t>
            </w:r>
          </w:p>
        </w:tc>
      </w:tr>
      <w:tr w14:paraId="0AF7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31F11C8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4D35FA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BG-2604006</w:t>
            </w:r>
          </w:p>
        </w:tc>
        <w:tc>
          <w:tcPr>
            <w:tcW w:w="1377" w:type="dxa"/>
            <w:vAlign w:val="center"/>
          </w:tcPr>
          <w:p w14:paraId="4056893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0416A5F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QC一楼稳定性考察室新增一台施都凯药品稳定性试验箱（NCTHI-450T），退役原施都凯MT-250B药品稳定性试验箱</w:t>
            </w:r>
          </w:p>
        </w:tc>
        <w:tc>
          <w:tcPr>
            <w:tcW w:w="2959" w:type="dxa"/>
            <w:vAlign w:val="center"/>
          </w:tcPr>
          <w:p w14:paraId="73C675D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QC一楼稳定性考察室新增一台施都凯药品稳定性试验箱（NCTHI-450T），退役原施都凯MT-250B药品稳定性试验箱</w:t>
            </w:r>
          </w:p>
        </w:tc>
        <w:tc>
          <w:tcPr>
            <w:tcW w:w="1487" w:type="dxa"/>
            <w:vAlign w:val="center"/>
          </w:tcPr>
          <w:p w14:paraId="688CCBA4">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2E0C2E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2026.04.17</w:t>
            </w:r>
          </w:p>
        </w:tc>
        <w:tc>
          <w:tcPr>
            <w:tcW w:w="1514" w:type="dxa"/>
            <w:vAlign w:val="center"/>
          </w:tcPr>
          <w:p w14:paraId="79B1C40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2026.04.27</w:t>
            </w:r>
          </w:p>
        </w:tc>
        <w:tc>
          <w:tcPr>
            <w:tcW w:w="1391" w:type="dxa"/>
            <w:vAlign w:val="center"/>
          </w:tcPr>
          <w:p w14:paraId="1C0514B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270FFBD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02C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28C0429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C4169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BG-2604007</w:t>
            </w:r>
          </w:p>
        </w:tc>
        <w:tc>
          <w:tcPr>
            <w:tcW w:w="1377" w:type="dxa"/>
            <w:vAlign w:val="center"/>
          </w:tcPr>
          <w:p w14:paraId="662ED8B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101一车间</w:t>
            </w:r>
          </w:p>
        </w:tc>
        <w:tc>
          <w:tcPr>
            <w:tcW w:w="2395" w:type="dxa"/>
            <w:vAlign w:val="center"/>
          </w:tcPr>
          <w:p w14:paraId="397FDC7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《试剂试液配制使用操作规程》SOP-SC-207/06</w:t>
            </w:r>
          </w:p>
        </w:tc>
        <w:tc>
          <w:tcPr>
            <w:tcW w:w="2959" w:type="dxa"/>
            <w:vAlign w:val="center"/>
          </w:tcPr>
          <w:p w14:paraId="0E798A7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增加电极补充液可作为PH电极保护剂使用的规定及开瓶有效期</w:t>
            </w:r>
          </w:p>
        </w:tc>
        <w:tc>
          <w:tcPr>
            <w:tcW w:w="1487" w:type="dxa"/>
            <w:vAlign w:val="center"/>
          </w:tcPr>
          <w:p w14:paraId="6A9E9FF4">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DB1142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2026.04.20</w:t>
            </w:r>
          </w:p>
        </w:tc>
        <w:tc>
          <w:tcPr>
            <w:tcW w:w="1514" w:type="dxa"/>
            <w:vAlign w:val="center"/>
          </w:tcPr>
          <w:p w14:paraId="64F91A8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2026.04.27</w:t>
            </w:r>
          </w:p>
        </w:tc>
        <w:tc>
          <w:tcPr>
            <w:tcW w:w="1391" w:type="dxa"/>
            <w:vAlign w:val="center"/>
          </w:tcPr>
          <w:p w14:paraId="74F354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2026.05.01</w:t>
            </w:r>
          </w:p>
        </w:tc>
        <w:tc>
          <w:tcPr>
            <w:tcW w:w="1268" w:type="dxa"/>
            <w:vAlign w:val="center"/>
          </w:tcPr>
          <w:p w14:paraId="2BEF680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2026.05.06</w:t>
            </w:r>
          </w:p>
        </w:tc>
      </w:tr>
      <w:tr w14:paraId="28FF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4B1D2B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EC6F60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BG-2604008</w:t>
            </w:r>
          </w:p>
        </w:tc>
        <w:tc>
          <w:tcPr>
            <w:tcW w:w="1377" w:type="dxa"/>
            <w:vAlign w:val="center"/>
          </w:tcPr>
          <w:p w14:paraId="29A20E8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993415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美伐他汀（康百汀）程成品检验标准操作规程（DMF）》SOP-QC(MV)-001/11、《霉酚酸成品检验标准操作规程（内控）》SOP-QC(MC)-001/13、《霉酚酸高规成品检验标准操作规程》SOP-QC(MC)-002/12、《艾默徳斯母核成品标准操作规程》SOP-QC(PF)-101/01</w:t>
            </w:r>
          </w:p>
        </w:tc>
        <w:tc>
          <w:tcPr>
            <w:tcW w:w="2959" w:type="dxa"/>
            <w:vAlign w:val="center"/>
          </w:tcPr>
          <w:p w14:paraId="5316AA1C">
            <w:pPr>
              <w:keepNext w:val="0"/>
              <w:keepLines w:val="0"/>
              <w:pageBreakBefore w:val="0"/>
              <w:widowControl w:val="0"/>
              <w:numPr>
                <w:ilvl w:val="0"/>
                <w:numId w:val="3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将霉酚酸内控和高规有关物质和含量中系统适应性项下拖尾因子由“不大于1.3”变更为“0.8≤拖尾因子≤1.3”</w:t>
            </w:r>
          </w:p>
          <w:p w14:paraId="3C8BF9C1">
            <w:pPr>
              <w:keepNext w:val="0"/>
              <w:keepLines w:val="0"/>
              <w:pageBreakBefore w:val="0"/>
              <w:widowControl w:val="0"/>
              <w:numPr>
                <w:ilvl w:val="0"/>
                <w:numId w:val="37"/>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美伐他汀色谱纯度系统适应性项下“美伐他汀的拖尾因子≤1.4”变更为“美伐他汀的拖尾因子：0.8≤拖尾因子≤1.4”；</w:t>
            </w:r>
          </w:p>
          <w:p w14:paraId="3670D638">
            <w:pPr>
              <w:keepNext w:val="0"/>
              <w:keepLines w:val="0"/>
              <w:pageBreakBefore w:val="0"/>
              <w:widowControl w:val="0"/>
              <w:numPr>
                <w:ilvl w:val="0"/>
                <w:numId w:val="37"/>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美伐他汀含量项下：系统适应性“拖尾因子≤1.4”变更为“0.8≤拖尾因子≤1.4”；</w:t>
            </w:r>
            <w:r>
              <w:rPr>
                <w:rFonts w:hint="eastAsia" w:ascii="Times New Roman" w:hAnsi="Times New Roman" w:eastAsia="宋体" w:cs="Times New Roman"/>
                <w:sz w:val="21"/>
                <w:szCs w:val="15"/>
                <w:highlight w:val="none"/>
                <w:lang w:val="en-US" w:eastAsia="zh-CN"/>
              </w:rPr>
              <w:t>将</w:t>
            </w:r>
            <w:r>
              <w:rPr>
                <w:rFonts w:hint="default" w:ascii="Times New Roman" w:hAnsi="Times New Roman" w:eastAsia="宋体" w:cs="Times New Roman"/>
                <w:sz w:val="21"/>
                <w:szCs w:val="15"/>
                <w:highlight w:val="none"/>
                <w:lang w:val="en-US" w:eastAsia="zh-CN"/>
              </w:rPr>
              <w:t>系统适应性“每次回针与连续5次进样的主峰面积累计RSD≤3.0%”变更为“每次回针与连续5次进样的主峰面积累计RSD≤2.0%”</w:t>
            </w:r>
          </w:p>
          <w:p w14:paraId="16A6DFB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4、将</w:t>
            </w:r>
            <w:r>
              <w:rPr>
                <w:rFonts w:hint="default" w:ascii="Times New Roman" w:hAnsi="Times New Roman" w:eastAsia="宋体" w:cs="Times New Roman"/>
                <w:sz w:val="21"/>
                <w:szCs w:val="15"/>
                <w:highlight w:val="none"/>
                <w:lang w:val="en-US" w:eastAsia="zh-CN"/>
              </w:rPr>
              <w:t>艾默德斯母核系统适应性拖尾因子应不大于1.3”变更为“0.8≤拖尾因子≤1.3”</w:t>
            </w:r>
          </w:p>
        </w:tc>
        <w:tc>
          <w:tcPr>
            <w:tcW w:w="1487" w:type="dxa"/>
            <w:vAlign w:val="center"/>
          </w:tcPr>
          <w:p w14:paraId="24A875B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99B366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2026.04.20</w:t>
            </w:r>
          </w:p>
        </w:tc>
        <w:tc>
          <w:tcPr>
            <w:tcW w:w="1514" w:type="dxa"/>
            <w:vAlign w:val="center"/>
          </w:tcPr>
          <w:p w14:paraId="36FC4C3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2026.04.28</w:t>
            </w:r>
          </w:p>
        </w:tc>
        <w:tc>
          <w:tcPr>
            <w:tcW w:w="1391" w:type="dxa"/>
            <w:vAlign w:val="center"/>
          </w:tcPr>
          <w:p w14:paraId="1ABF749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176BB27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7B0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669F15A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9A1B8C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BG-2604009</w:t>
            </w:r>
          </w:p>
        </w:tc>
        <w:tc>
          <w:tcPr>
            <w:tcW w:w="1377" w:type="dxa"/>
            <w:vAlign w:val="center"/>
          </w:tcPr>
          <w:p w14:paraId="5CE886F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采购部</w:t>
            </w:r>
          </w:p>
        </w:tc>
        <w:tc>
          <w:tcPr>
            <w:tcW w:w="2395" w:type="dxa"/>
            <w:vAlign w:val="center"/>
          </w:tcPr>
          <w:p w14:paraId="71BB529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新增氟苯尼考原料药（YS707）供应商：山东国邦药业有限公司</w:t>
            </w:r>
          </w:p>
        </w:tc>
        <w:tc>
          <w:tcPr>
            <w:tcW w:w="2959" w:type="dxa"/>
            <w:vAlign w:val="center"/>
          </w:tcPr>
          <w:p w14:paraId="1261D90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新增氟苯尼考原料药（YS707）供应商：山东国邦药业有限公司</w:t>
            </w:r>
          </w:p>
        </w:tc>
        <w:tc>
          <w:tcPr>
            <w:tcW w:w="1487" w:type="dxa"/>
            <w:vAlign w:val="center"/>
          </w:tcPr>
          <w:p w14:paraId="0414616B">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1037AB35">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2026.04.21</w:t>
            </w:r>
          </w:p>
        </w:tc>
        <w:tc>
          <w:tcPr>
            <w:tcW w:w="1514" w:type="dxa"/>
            <w:vAlign w:val="center"/>
          </w:tcPr>
          <w:p w14:paraId="2E43AB3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2026.04.28</w:t>
            </w:r>
          </w:p>
        </w:tc>
        <w:tc>
          <w:tcPr>
            <w:tcW w:w="1391" w:type="dxa"/>
            <w:vAlign w:val="center"/>
          </w:tcPr>
          <w:p w14:paraId="4077453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w:t>
            </w:r>
          </w:p>
        </w:tc>
        <w:tc>
          <w:tcPr>
            <w:tcW w:w="1268" w:type="dxa"/>
            <w:vAlign w:val="center"/>
          </w:tcPr>
          <w:p w14:paraId="25450B1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2026.05.07</w:t>
            </w:r>
          </w:p>
        </w:tc>
      </w:tr>
      <w:tr w14:paraId="028D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4104830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2045F7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BG-2604010</w:t>
            </w:r>
          </w:p>
        </w:tc>
        <w:tc>
          <w:tcPr>
            <w:tcW w:w="1377" w:type="dxa"/>
            <w:vAlign w:val="center"/>
          </w:tcPr>
          <w:p w14:paraId="157637D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379F4C1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《清洁验证管理程序》</w:t>
            </w:r>
          </w:p>
        </w:tc>
        <w:tc>
          <w:tcPr>
            <w:tcW w:w="2959" w:type="dxa"/>
            <w:vAlign w:val="center"/>
          </w:tcPr>
          <w:p w14:paraId="4A4AFA0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增加连续生产6个月后以及转产前清洁样品的编号编制原则</w:t>
            </w:r>
          </w:p>
        </w:tc>
        <w:tc>
          <w:tcPr>
            <w:tcW w:w="1487" w:type="dxa"/>
            <w:vAlign w:val="center"/>
          </w:tcPr>
          <w:p w14:paraId="419191C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E83F708">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2026.04.27</w:t>
            </w:r>
          </w:p>
        </w:tc>
        <w:tc>
          <w:tcPr>
            <w:tcW w:w="1514" w:type="dxa"/>
            <w:vAlign w:val="center"/>
          </w:tcPr>
          <w:p w14:paraId="3F40AF8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2026.04.28</w:t>
            </w:r>
          </w:p>
        </w:tc>
        <w:tc>
          <w:tcPr>
            <w:tcW w:w="1391" w:type="dxa"/>
            <w:vAlign w:val="center"/>
          </w:tcPr>
          <w:p w14:paraId="671198B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2026.05.07</w:t>
            </w:r>
          </w:p>
        </w:tc>
        <w:tc>
          <w:tcPr>
            <w:tcW w:w="1268" w:type="dxa"/>
            <w:vAlign w:val="center"/>
          </w:tcPr>
          <w:p w14:paraId="596ED5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2026.05.07</w:t>
            </w:r>
          </w:p>
        </w:tc>
      </w:tr>
      <w:tr w14:paraId="7DFB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37" w:type="dxa"/>
            <w:vAlign w:val="center"/>
          </w:tcPr>
          <w:p w14:paraId="75F94981">
            <w:pPr>
              <w:numPr>
                <w:ilvl w:val="0"/>
                <w:numId w:val="1"/>
              </w:numPr>
              <w:ind w:left="-420" w:leftChars="0" w:firstLine="420" w:firstLineChars="0"/>
              <w:jc w:val="center"/>
              <w:rPr>
                <w:rFonts w:hint="default" w:ascii="Times New Roman" w:hAnsi="Times New Roman" w:eastAsia="宋体" w:cs="Times New Roman"/>
                <w:sz w:val="21"/>
                <w:szCs w:val="21"/>
                <w:highlight w:val="none"/>
              </w:rPr>
            </w:pPr>
          </w:p>
        </w:tc>
        <w:tc>
          <w:tcPr>
            <w:tcW w:w="1095" w:type="dxa"/>
            <w:vAlign w:val="center"/>
          </w:tcPr>
          <w:p w14:paraId="3FFD8D6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BG-2604011</w:t>
            </w:r>
          </w:p>
        </w:tc>
        <w:tc>
          <w:tcPr>
            <w:tcW w:w="1377" w:type="dxa"/>
            <w:vAlign w:val="center"/>
          </w:tcPr>
          <w:p w14:paraId="77240CB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56D1115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《批号编制管理程序》SMP-PM-009/20，新制定LV、MV、LN批号编制文件</w:t>
            </w:r>
          </w:p>
        </w:tc>
        <w:tc>
          <w:tcPr>
            <w:tcW w:w="2959" w:type="dxa"/>
            <w:vAlign w:val="center"/>
          </w:tcPr>
          <w:p w14:paraId="2E4AA5F3">
            <w:pPr>
              <w:keepNext w:val="0"/>
              <w:keepLines w:val="0"/>
              <w:pageBreakBefore w:val="0"/>
              <w:widowControl w:val="0"/>
              <w:numPr>
                <w:ilvl w:val="0"/>
                <w:numId w:val="3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将《批号编制管理程序》SMP-PM-009/20变更为霉酚酸专用文件，单独起草洛伐他汀、美伐他汀、盐酸林可霉素的批号编制管理程序</w:t>
            </w:r>
          </w:p>
          <w:p w14:paraId="3B45FA33">
            <w:pPr>
              <w:keepNext w:val="0"/>
              <w:keepLines w:val="0"/>
              <w:pageBreakBefore w:val="0"/>
              <w:widowControl w:val="0"/>
              <w:numPr>
                <w:ilvl w:val="0"/>
                <w:numId w:val="3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简化霉酚酸和美伐他汀批号编制原则，删除批号编制前缀US</w:t>
            </w:r>
          </w:p>
          <w:p w14:paraId="5A8C3A2C">
            <w:pPr>
              <w:keepNext w:val="0"/>
              <w:keepLines w:val="0"/>
              <w:pageBreakBefore w:val="0"/>
              <w:widowControl w:val="0"/>
              <w:numPr>
                <w:ilvl w:val="0"/>
                <w:numId w:val="38"/>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明确霉酚酸菌种斜面批号以消空瓶时间为准编制批号</w:t>
            </w:r>
          </w:p>
        </w:tc>
        <w:tc>
          <w:tcPr>
            <w:tcW w:w="1487" w:type="dxa"/>
            <w:vAlign w:val="center"/>
          </w:tcPr>
          <w:p w14:paraId="47FC8BA0">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E8049A9">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2026.04.30</w:t>
            </w:r>
          </w:p>
        </w:tc>
        <w:tc>
          <w:tcPr>
            <w:tcW w:w="1514" w:type="dxa"/>
            <w:vAlign w:val="center"/>
          </w:tcPr>
          <w:p w14:paraId="45D4841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2026.05.15</w:t>
            </w:r>
          </w:p>
        </w:tc>
        <w:tc>
          <w:tcPr>
            <w:tcW w:w="1391" w:type="dxa"/>
            <w:vAlign w:val="center"/>
          </w:tcPr>
          <w:p w14:paraId="43BC2ED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D26713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4483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45EF300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CA002E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BG-2604012</w:t>
            </w:r>
          </w:p>
        </w:tc>
        <w:tc>
          <w:tcPr>
            <w:tcW w:w="1377" w:type="dxa"/>
            <w:vAlign w:val="center"/>
          </w:tcPr>
          <w:p w14:paraId="19389E1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7647E63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修订《美伐他汀（康百汀）成品检验标准操作规程（BT）》SOP-QC(MV)-004/11、《美伐他汀（康百汀）成品检验标准操作规程（TW）》SOP-QC(MV)-006/08</w:t>
            </w:r>
          </w:p>
        </w:tc>
        <w:tc>
          <w:tcPr>
            <w:tcW w:w="2959" w:type="dxa"/>
            <w:vAlign w:val="center"/>
          </w:tcPr>
          <w:p w14:paraId="7A18290C">
            <w:pPr>
              <w:keepNext w:val="0"/>
              <w:keepLines w:val="0"/>
              <w:pageBreakBefore w:val="0"/>
              <w:widowControl w:val="0"/>
              <w:numPr>
                <w:ilvl w:val="0"/>
                <w:numId w:val="3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在《美伐他汀（康百汀）成品检验标准操作规程（BT）》SOP-QC(MV)-004/11增加进样针清洗条件</w:t>
            </w:r>
          </w:p>
          <w:p w14:paraId="7DF4B4F3">
            <w:pPr>
              <w:keepNext w:val="0"/>
              <w:keepLines w:val="0"/>
              <w:pageBreakBefore w:val="0"/>
              <w:widowControl w:val="0"/>
              <w:numPr>
                <w:ilvl w:val="0"/>
                <w:numId w:val="39"/>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《美伐他汀（康百汀）成品检验标准操作规程（TW）》SOP-QC(MV)-006/08增加进样针清洗操作</w:t>
            </w:r>
          </w:p>
        </w:tc>
        <w:tc>
          <w:tcPr>
            <w:tcW w:w="1487" w:type="dxa"/>
            <w:vAlign w:val="center"/>
          </w:tcPr>
          <w:p w14:paraId="1EEBB051">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D929F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2026.04.30</w:t>
            </w:r>
          </w:p>
        </w:tc>
        <w:tc>
          <w:tcPr>
            <w:tcW w:w="1514" w:type="dxa"/>
            <w:vAlign w:val="center"/>
          </w:tcPr>
          <w:p w14:paraId="3417972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2026.05.06</w:t>
            </w:r>
          </w:p>
        </w:tc>
        <w:tc>
          <w:tcPr>
            <w:tcW w:w="1391" w:type="dxa"/>
            <w:vAlign w:val="center"/>
          </w:tcPr>
          <w:p w14:paraId="59ABFAC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2026.05.13</w:t>
            </w:r>
          </w:p>
        </w:tc>
        <w:tc>
          <w:tcPr>
            <w:tcW w:w="1268" w:type="dxa"/>
            <w:vAlign w:val="center"/>
          </w:tcPr>
          <w:p w14:paraId="6EE4077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2026.05.14</w:t>
            </w:r>
          </w:p>
        </w:tc>
      </w:tr>
      <w:tr w14:paraId="6D22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274C24E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528783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BG-2605001</w:t>
            </w:r>
          </w:p>
        </w:tc>
        <w:tc>
          <w:tcPr>
            <w:tcW w:w="1377" w:type="dxa"/>
            <w:vAlign w:val="center"/>
          </w:tcPr>
          <w:p w14:paraId="0C4C85E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3D1128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QC氨基酸实验室新增3台药品稳定性试验箱，退役现有稳定性试验箱（QC-1-2-071、QC-1-2-072），同时将留样室（QC-03-14）变更为样品管理室（QC-03-14）</w:t>
            </w:r>
          </w:p>
        </w:tc>
        <w:tc>
          <w:tcPr>
            <w:tcW w:w="2959" w:type="dxa"/>
            <w:vAlign w:val="center"/>
          </w:tcPr>
          <w:p w14:paraId="7D7D614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QC氨基酸实验室新增3台药品稳定性试验箱，退役现有稳定性试验箱（QC-1-2-071、QC-1-2-072），同时将留样室（QC-03-14）变更为样品管理室（QC-03-14）</w:t>
            </w:r>
          </w:p>
        </w:tc>
        <w:tc>
          <w:tcPr>
            <w:tcW w:w="1487" w:type="dxa"/>
            <w:vAlign w:val="center"/>
          </w:tcPr>
          <w:p w14:paraId="4DF04EE8">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00CCFB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2026.05.07</w:t>
            </w:r>
          </w:p>
        </w:tc>
        <w:tc>
          <w:tcPr>
            <w:tcW w:w="1514" w:type="dxa"/>
            <w:vAlign w:val="center"/>
          </w:tcPr>
          <w:p w14:paraId="7810429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2026.05.07</w:t>
            </w:r>
          </w:p>
        </w:tc>
        <w:tc>
          <w:tcPr>
            <w:tcW w:w="1391" w:type="dxa"/>
            <w:vAlign w:val="center"/>
          </w:tcPr>
          <w:p w14:paraId="2AF321D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647A29B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46F7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637" w:type="dxa"/>
            <w:vAlign w:val="center"/>
          </w:tcPr>
          <w:p w14:paraId="45A1D94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0A9944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BG-2605002</w:t>
            </w:r>
          </w:p>
        </w:tc>
        <w:tc>
          <w:tcPr>
            <w:tcW w:w="1377" w:type="dxa"/>
            <w:vAlign w:val="center"/>
          </w:tcPr>
          <w:p w14:paraId="79F416A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5D51C33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《霉酚酸产品标签审批表》MC-L13-02</w:t>
            </w:r>
          </w:p>
        </w:tc>
        <w:tc>
          <w:tcPr>
            <w:tcW w:w="2959" w:type="dxa"/>
            <w:vAlign w:val="center"/>
          </w:tcPr>
          <w:p w14:paraId="7737274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将标签样张中的“Expiry date”变更为“Retest date”</w:t>
            </w:r>
          </w:p>
        </w:tc>
        <w:tc>
          <w:tcPr>
            <w:tcW w:w="1487" w:type="dxa"/>
            <w:vAlign w:val="center"/>
          </w:tcPr>
          <w:p w14:paraId="5552469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5253CC3">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2026.05.08</w:t>
            </w:r>
          </w:p>
        </w:tc>
        <w:tc>
          <w:tcPr>
            <w:tcW w:w="1514" w:type="dxa"/>
            <w:vAlign w:val="center"/>
          </w:tcPr>
          <w:p w14:paraId="753A4F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2026.05.08</w:t>
            </w:r>
          </w:p>
        </w:tc>
        <w:tc>
          <w:tcPr>
            <w:tcW w:w="1391" w:type="dxa"/>
            <w:vAlign w:val="center"/>
          </w:tcPr>
          <w:p w14:paraId="2503CBC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2026.05.09</w:t>
            </w:r>
          </w:p>
        </w:tc>
        <w:tc>
          <w:tcPr>
            <w:tcW w:w="1268" w:type="dxa"/>
            <w:vAlign w:val="center"/>
          </w:tcPr>
          <w:p w14:paraId="727ADB3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2026.05.09</w:t>
            </w:r>
          </w:p>
        </w:tc>
      </w:tr>
      <w:tr w14:paraId="6136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637" w:type="dxa"/>
            <w:vAlign w:val="center"/>
          </w:tcPr>
          <w:p w14:paraId="4C87D91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27FE86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BG-2605003</w:t>
            </w:r>
          </w:p>
        </w:tc>
        <w:tc>
          <w:tcPr>
            <w:tcW w:w="1377" w:type="dxa"/>
            <w:vAlign w:val="center"/>
          </w:tcPr>
          <w:p w14:paraId="0592355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505FE381">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霉酚酸提炼新增FIS专用工艺</w:t>
            </w:r>
          </w:p>
        </w:tc>
        <w:tc>
          <w:tcPr>
            <w:tcW w:w="2959" w:type="dxa"/>
            <w:vAlign w:val="center"/>
          </w:tcPr>
          <w:p w14:paraId="00559AD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霉酚酸提炼新增FIS专用工艺</w:t>
            </w:r>
          </w:p>
        </w:tc>
        <w:tc>
          <w:tcPr>
            <w:tcW w:w="1487" w:type="dxa"/>
            <w:vAlign w:val="center"/>
          </w:tcPr>
          <w:p w14:paraId="0221661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6B18AD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2026.05.09</w:t>
            </w:r>
          </w:p>
        </w:tc>
        <w:tc>
          <w:tcPr>
            <w:tcW w:w="1514" w:type="dxa"/>
            <w:vAlign w:val="center"/>
          </w:tcPr>
          <w:p w14:paraId="07F3057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2026.05.09</w:t>
            </w:r>
          </w:p>
        </w:tc>
        <w:tc>
          <w:tcPr>
            <w:tcW w:w="1391" w:type="dxa"/>
            <w:vAlign w:val="center"/>
          </w:tcPr>
          <w:p w14:paraId="221AC09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2026.05.10</w:t>
            </w:r>
          </w:p>
        </w:tc>
        <w:tc>
          <w:tcPr>
            <w:tcW w:w="1268" w:type="dxa"/>
            <w:vAlign w:val="center"/>
          </w:tcPr>
          <w:p w14:paraId="0C14498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2026.05.12</w:t>
            </w:r>
          </w:p>
        </w:tc>
      </w:tr>
      <w:tr w14:paraId="31B2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2" w:hRule="atLeast"/>
          <w:jc w:val="center"/>
        </w:trPr>
        <w:tc>
          <w:tcPr>
            <w:tcW w:w="637" w:type="dxa"/>
            <w:vAlign w:val="center"/>
          </w:tcPr>
          <w:p w14:paraId="0E9AE66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C85A79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BG-2605004</w:t>
            </w:r>
          </w:p>
        </w:tc>
        <w:tc>
          <w:tcPr>
            <w:tcW w:w="1377" w:type="dxa"/>
            <w:vAlign w:val="center"/>
          </w:tcPr>
          <w:p w14:paraId="59FC9D3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203车间</w:t>
            </w:r>
          </w:p>
        </w:tc>
        <w:tc>
          <w:tcPr>
            <w:tcW w:w="2395" w:type="dxa"/>
            <w:vAlign w:val="center"/>
          </w:tcPr>
          <w:p w14:paraId="43C1C21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将L-苯丙氨酸提炼工段浓缩工序三效浓缩蒸发器原有清洁操作进行优化，新增稀硝酸（0.6%-0.8%）清洁操作环节</w:t>
            </w:r>
          </w:p>
        </w:tc>
        <w:tc>
          <w:tcPr>
            <w:tcW w:w="2959" w:type="dxa"/>
            <w:vAlign w:val="center"/>
          </w:tcPr>
          <w:p w14:paraId="515BB46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将L-苯丙氨酸提炼工段浓缩工序三效浓缩蒸发器原有清洁操作进行优化，新增稀硝酸（0.6%-0.8%）清洁操作环节</w:t>
            </w:r>
          </w:p>
        </w:tc>
        <w:tc>
          <w:tcPr>
            <w:tcW w:w="1487" w:type="dxa"/>
            <w:vAlign w:val="center"/>
          </w:tcPr>
          <w:p w14:paraId="17445717">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18B8AB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2026.05.09</w:t>
            </w:r>
          </w:p>
        </w:tc>
        <w:tc>
          <w:tcPr>
            <w:tcW w:w="1514" w:type="dxa"/>
            <w:vAlign w:val="center"/>
          </w:tcPr>
          <w:p w14:paraId="6C51836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2026.05.12</w:t>
            </w:r>
          </w:p>
        </w:tc>
        <w:tc>
          <w:tcPr>
            <w:tcW w:w="1391" w:type="dxa"/>
            <w:vAlign w:val="center"/>
          </w:tcPr>
          <w:p w14:paraId="4EE9746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2026.06.12</w:t>
            </w:r>
          </w:p>
        </w:tc>
        <w:tc>
          <w:tcPr>
            <w:tcW w:w="1268" w:type="dxa"/>
            <w:vAlign w:val="center"/>
          </w:tcPr>
          <w:p w14:paraId="29E488B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2026.06.12</w:t>
            </w:r>
          </w:p>
        </w:tc>
      </w:tr>
      <w:tr w14:paraId="718D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jc w:val="center"/>
        </w:trPr>
        <w:tc>
          <w:tcPr>
            <w:tcW w:w="637" w:type="dxa"/>
            <w:vAlign w:val="center"/>
          </w:tcPr>
          <w:p w14:paraId="613DE68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74CD86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BG-2605005</w:t>
            </w:r>
          </w:p>
        </w:tc>
        <w:tc>
          <w:tcPr>
            <w:tcW w:w="1377" w:type="dxa"/>
            <w:vAlign w:val="center"/>
          </w:tcPr>
          <w:p w14:paraId="4892BC0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00B0451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仓库新增一台地磅，并将原有的地磅进行退役</w:t>
            </w:r>
          </w:p>
        </w:tc>
        <w:tc>
          <w:tcPr>
            <w:tcW w:w="2959" w:type="dxa"/>
            <w:vAlign w:val="center"/>
          </w:tcPr>
          <w:p w14:paraId="1D6972D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仓库新增一台地磅，并将原有的地磅进行退役</w:t>
            </w:r>
          </w:p>
        </w:tc>
        <w:tc>
          <w:tcPr>
            <w:tcW w:w="1487" w:type="dxa"/>
            <w:vAlign w:val="center"/>
          </w:tcPr>
          <w:p w14:paraId="3FF5625B">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CB24FD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2026.05.11</w:t>
            </w:r>
          </w:p>
        </w:tc>
        <w:tc>
          <w:tcPr>
            <w:tcW w:w="1514" w:type="dxa"/>
            <w:vAlign w:val="center"/>
          </w:tcPr>
          <w:p w14:paraId="5EFCF0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2026.05.19</w:t>
            </w:r>
          </w:p>
        </w:tc>
        <w:tc>
          <w:tcPr>
            <w:tcW w:w="1391" w:type="dxa"/>
            <w:vAlign w:val="center"/>
          </w:tcPr>
          <w:p w14:paraId="078FD7C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2026.05.27</w:t>
            </w:r>
          </w:p>
        </w:tc>
        <w:tc>
          <w:tcPr>
            <w:tcW w:w="1268" w:type="dxa"/>
            <w:vAlign w:val="center"/>
          </w:tcPr>
          <w:p w14:paraId="18C22EC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2026.06.01</w:t>
            </w:r>
          </w:p>
        </w:tc>
      </w:tr>
      <w:tr w14:paraId="7AB8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2" w:hRule="atLeast"/>
          <w:jc w:val="center"/>
        </w:trPr>
        <w:tc>
          <w:tcPr>
            <w:tcW w:w="637" w:type="dxa"/>
            <w:vAlign w:val="center"/>
          </w:tcPr>
          <w:p w14:paraId="076C4E5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00C38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BG-2605006</w:t>
            </w:r>
          </w:p>
        </w:tc>
        <w:tc>
          <w:tcPr>
            <w:tcW w:w="1377" w:type="dxa"/>
            <w:vAlign w:val="center"/>
          </w:tcPr>
          <w:p w14:paraId="54EDAC5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6D7BBA9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Qc中控中心增加一台高效液相色谱仪（赛默飞vanquish core）</w:t>
            </w:r>
          </w:p>
        </w:tc>
        <w:tc>
          <w:tcPr>
            <w:tcW w:w="2959" w:type="dxa"/>
            <w:vAlign w:val="center"/>
          </w:tcPr>
          <w:p w14:paraId="214EDB0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Qc中控中心增加一台高效液相色谱仪（赛默飞vanquish core）</w:t>
            </w:r>
          </w:p>
        </w:tc>
        <w:tc>
          <w:tcPr>
            <w:tcW w:w="1487" w:type="dxa"/>
            <w:vAlign w:val="center"/>
          </w:tcPr>
          <w:p w14:paraId="556974A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C3FB7A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2026.05.11</w:t>
            </w:r>
          </w:p>
        </w:tc>
        <w:tc>
          <w:tcPr>
            <w:tcW w:w="1514" w:type="dxa"/>
            <w:vAlign w:val="center"/>
          </w:tcPr>
          <w:p w14:paraId="01B54A8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2026.05.19</w:t>
            </w:r>
          </w:p>
        </w:tc>
        <w:tc>
          <w:tcPr>
            <w:tcW w:w="1391" w:type="dxa"/>
            <w:vAlign w:val="center"/>
          </w:tcPr>
          <w:p w14:paraId="7CBCEA9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7D5C380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6FEA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jc w:val="center"/>
        </w:trPr>
        <w:tc>
          <w:tcPr>
            <w:tcW w:w="637" w:type="dxa"/>
            <w:vAlign w:val="center"/>
          </w:tcPr>
          <w:p w14:paraId="3579841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6E600A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BG-2605007</w:t>
            </w:r>
          </w:p>
        </w:tc>
        <w:tc>
          <w:tcPr>
            <w:tcW w:w="1377" w:type="dxa"/>
            <w:vAlign w:val="center"/>
          </w:tcPr>
          <w:p w14:paraId="6DE9AD5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203车间</w:t>
            </w:r>
          </w:p>
        </w:tc>
        <w:tc>
          <w:tcPr>
            <w:tcW w:w="2395" w:type="dxa"/>
            <w:vAlign w:val="center"/>
          </w:tcPr>
          <w:p w14:paraId="48905680">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色氨酸烘干区域增加一台升降梯</w:t>
            </w:r>
          </w:p>
        </w:tc>
        <w:tc>
          <w:tcPr>
            <w:tcW w:w="2959" w:type="dxa"/>
            <w:vAlign w:val="center"/>
          </w:tcPr>
          <w:p w14:paraId="1149F15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色氨酸烘干区域增加一台升降梯</w:t>
            </w:r>
          </w:p>
        </w:tc>
        <w:tc>
          <w:tcPr>
            <w:tcW w:w="1487" w:type="dxa"/>
            <w:vAlign w:val="center"/>
          </w:tcPr>
          <w:p w14:paraId="0C80DC4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FB2636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2026.05.18</w:t>
            </w:r>
          </w:p>
        </w:tc>
        <w:tc>
          <w:tcPr>
            <w:tcW w:w="1514" w:type="dxa"/>
            <w:vAlign w:val="center"/>
          </w:tcPr>
          <w:p w14:paraId="2CA9AC8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sz w:val="21"/>
                <w:szCs w:val="15"/>
                <w:highlight w:val="none"/>
                <w:lang w:val="en-US" w:eastAsia="zh-CN"/>
              </w:rPr>
              <w:t>2026.06.04</w:t>
            </w:r>
          </w:p>
        </w:tc>
        <w:tc>
          <w:tcPr>
            <w:tcW w:w="1391" w:type="dxa"/>
            <w:vAlign w:val="center"/>
          </w:tcPr>
          <w:p w14:paraId="6D04A54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6B14F1A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2DB4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637" w:type="dxa"/>
            <w:vAlign w:val="center"/>
          </w:tcPr>
          <w:p w14:paraId="239B3CAE">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3892F1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BG-2605008</w:t>
            </w:r>
          </w:p>
        </w:tc>
        <w:tc>
          <w:tcPr>
            <w:tcW w:w="1377" w:type="dxa"/>
            <w:vAlign w:val="center"/>
          </w:tcPr>
          <w:p w14:paraId="38963C8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FCDC158">
            <w:pPr>
              <w:keepNext w:val="0"/>
              <w:keepLines w:val="0"/>
              <w:widowControl/>
              <w:suppressLineNumbers w:val="0"/>
              <w:jc w:val="both"/>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《防治污染交叉污染管理程序》</w:t>
            </w:r>
          </w:p>
        </w:tc>
        <w:tc>
          <w:tcPr>
            <w:tcW w:w="2959" w:type="dxa"/>
            <w:vAlign w:val="center"/>
          </w:tcPr>
          <w:p w14:paraId="629B26A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增加防止污染及交叉污染措施的定期评估</w:t>
            </w:r>
          </w:p>
        </w:tc>
        <w:tc>
          <w:tcPr>
            <w:tcW w:w="1487" w:type="dxa"/>
            <w:vAlign w:val="center"/>
          </w:tcPr>
          <w:p w14:paraId="5798E950">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02CDEA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2026.05.19</w:t>
            </w:r>
          </w:p>
        </w:tc>
        <w:tc>
          <w:tcPr>
            <w:tcW w:w="1514" w:type="dxa"/>
            <w:vAlign w:val="center"/>
          </w:tcPr>
          <w:p w14:paraId="29D8024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2026.05.19</w:t>
            </w:r>
          </w:p>
        </w:tc>
        <w:tc>
          <w:tcPr>
            <w:tcW w:w="1391" w:type="dxa"/>
            <w:vAlign w:val="center"/>
          </w:tcPr>
          <w:p w14:paraId="37A1295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2026.05.20</w:t>
            </w:r>
          </w:p>
        </w:tc>
        <w:tc>
          <w:tcPr>
            <w:tcW w:w="1268" w:type="dxa"/>
            <w:vAlign w:val="center"/>
          </w:tcPr>
          <w:p w14:paraId="6B3D93D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2026.05.20</w:t>
            </w:r>
          </w:p>
        </w:tc>
      </w:tr>
      <w:tr w14:paraId="21A8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06C3300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88501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BG-2605009</w:t>
            </w:r>
          </w:p>
        </w:tc>
        <w:tc>
          <w:tcPr>
            <w:tcW w:w="1377" w:type="dxa"/>
            <w:vAlign w:val="center"/>
          </w:tcPr>
          <w:p w14:paraId="7E9F0AE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4B9279B3">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《设备仪器确认管理程序》SMP-QA-103/06、《生产工艺验证管理程序》SMP-QA-106/06</w:t>
            </w:r>
          </w:p>
        </w:tc>
        <w:tc>
          <w:tcPr>
            <w:tcW w:w="2959" w:type="dxa"/>
            <w:vAlign w:val="center"/>
          </w:tcPr>
          <w:p w14:paraId="38368C12">
            <w:pPr>
              <w:keepNext w:val="0"/>
              <w:keepLines w:val="0"/>
              <w:pageBreakBefore w:val="0"/>
              <w:widowControl w:val="0"/>
              <w:numPr>
                <w:ilvl w:val="0"/>
                <w:numId w:val="4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增加所有关键设备必须完成IQ/OQ/PQ全项确认，一般设备经风险评估后，可豁免确认或仅实施IQ/OQ，无需进行性能确认（PQ）</w:t>
            </w:r>
          </w:p>
          <w:p w14:paraId="6599213A">
            <w:pPr>
              <w:keepNext w:val="0"/>
              <w:keepLines w:val="0"/>
              <w:pageBreakBefore w:val="0"/>
              <w:widowControl w:val="0"/>
              <w:numPr>
                <w:ilvl w:val="0"/>
                <w:numId w:val="4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增加需进行生产工艺的验证包括但不限于：产品的工艺验证、均一性验证、回收工艺验证（例如：回收母液、回收溶剂）</w:t>
            </w:r>
          </w:p>
        </w:tc>
        <w:tc>
          <w:tcPr>
            <w:tcW w:w="1487" w:type="dxa"/>
            <w:vAlign w:val="center"/>
          </w:tcPr>
          <w:p w14:paraId="7CEF11A5">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B4B717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2026.05.19</w:t>
            </w:r>
          </w:p>
        </w:tc>
        <w:tc>
          <w:tcPr>
            <w:tcW w:w="1514" w:type="dxa"/>
            <w:vAlign w:val="center"/>
          </w:tcPr>
          <w:p w14:paraId="5499EEB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2026.05.19</w:t>
            </w:r>
          </w:p>
        </w:tc>
        <w:tc>
          <w:tcPr>
            <w:tcW w:w="1391" w:type="dxa"/>
            <w:vAlign w:val="center"/>
          </w:tcPr>
          <w:p w14:paraId="7BF24E7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2026.05.25</w:t>
            </w:r>
          </w:p>
        </w:tc>
        <w:tc>
          <w:tcPr>
            <w:tcW w:w="1268" w:type="dxa"/>
            <w:vAlign w:val="center"/>
          </w:tcPr>
          <w:p w14:paraId="65E2802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2026.05.25</w:t>
            </w:r>
          </w:p>
        </w:tc>
      </w:tr>
      <w:tr w14:paraId="6E72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098B769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DFAF2E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BG-2605010</w:t>
            </w:r>
          </w:p>
        </w:tc>
        <w:tc>
          <w:tcPr>
            <w:tcW w:w="1377" w:type="dxa"/>
            <w:vAlign w:val="center"/>
          </w:tcPr>
          <w:p w14:paraId="3F3A69F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F4A55E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《标准品、对照品及其配制和使用管理程序》SMP-QC-015/10</w:t>
            </w:r>
          </w:p>
        </w:tc>
        <w:tc>
          <w:tcPr>
            <w:tcW w:w="2959" w:type="dxa"/>
            <w:vAlign w:val="center"/>
          </w:tcPr>
          <w:p w14:paraId="2A18CB1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增加有国家兽药标准物质的，必须用国家兽药标准物质。如果使用自制工作对照品，必须用中国兽医药品监察所兽用标准物质标定。</w:t>
            </w:r>
          </w:p>
        </w:tc>
        <w:tc>
          <w:tcPr>
            <w:tcW w:w="1487" w:type="dxa"/>
            <w:vAlign w:val="center"/>
          </w:tcPr>
          <w:p w14:paraId="4E251BA3">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2AF60D0">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2026.05.19</w:t>
            </w:r>
          </w:p>
        </w:tc>
        <w:tc>
          <w:tcPr>
            <w:tcW w:w="1514" w:type="dxa"/>
            <w:vAlign w:val="center"/>
          </w:tcPr>
          <w:p w14:paraId="6EC6072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2026.05.19</w:t>
            </w:r>
          </w:p>
        </w:tc>
        <w:tc>
          <w:tcPr>
            <w:tcW w:w="1391" w:type="dxa"/>
            <w:vAlign w:val="center"/>
          </w:tcPr>
          <w:p w14:paraId="08D3C06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2026.06.01</w:t>
            </w:r>
          </w:p>
        </w:tc>
        <w:tc>
          <w:tcPr>
            <w:tcW w:w="1268" w:type="dxa"/>
            <w:vAlign w:val="center"/>
          </w:tcPr>
          <w:p w14:paraId="26CD382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2026.06.01</w:t>
            </w:r>
          </w:p>
        </w:tc>
      </w:tr>
      <w:tr w14:paraId="090D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123A50FF">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21D11A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BG-2605011</w:t>
            </w:r>
          </w:p>
        </w:tc>
        <w:tc>
          <w:tcPr>
            <w:tcW w:w="1377" w:type="dxa"/>
            <w:vAlign w:val="center"/>
          </w:tcPr>
          <w:p w14:paraId="660EF70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16F4D07C">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《回收甲醇（YL028）质量标准》STP-QS-YL-028/03</w:t>
            </w:r>
          </w:p>
        </w:tc>
        <w:tc>
          <w:tcPr>
            <w:tcW w:w="2959" w:type="dxa"/>
            <w:vAlign w:val="center"/>
          </w:tcPr>
          <w:p w14:paraId="6B64C27B">
            <w:pPr>
              <w:keepNext w:val="0"/>
              <w:keepLines w:val="0"/>
              <w:pageBreakBefore w:val="0"/>
              <w:widowControl w:val="0"/>
              <w:numPr>
                <w:ilvl w:val="0"/>
                <w:numId w:val="4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将苯项目进行加“*”</w:t>
            </w:r>
          </w:p>
          <w:p w14:paraId="35640E64">
            <w:pPr>
              <w:keepNext w:val="0"/>
              <w:keepLines w:val="0"/>
              <w:pageBreakBefore w:val="0"/>
              <w:widowControl w:val="0"/>
              <w:numPr>
                <w:ilvl w:val="0"/>
                <w:numId w:val="41"/>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增加“备注：标“*”的项目每个套用周期的最后一批检测”</w:t>
            </w:r>
          </w:p>
        </w:tc>
        <w:tc>
          <w:tcPr>
            <w:tcW w:w="1487" w:type="dxa"/>
            <w:vAlign w:val="center"/>
          </w:tcPr>
          <w:p w14:paraId="7E03ED94">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0D453A45">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2026.05.21</w:t>
            </w:r>
          </w:p>
        </w:tc>
        <w:tc>
          <w:tcPr>
            <w:tcW w:w="1514" w:type="dxa"/>
            <w:vAlign w:val="center"/>
          </w:tcPr>
          <w:p w14:paraId="32B4352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5B6E557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1041CD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781B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jc w:val="center"/>
        </w:trPr>
        <w:tc>
          <w:tcPr>
            <w:tcW w:w="637" w:type="dxa"/>
            <w:vAlign w:val="center"/>
          </w:tcPr>
          <w:p w14:paraId="3B3C28F6">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EC7352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BG-2605012</w:t>
            </w:r>
          </w:p>
        </w:tc>
        <w:tc>
          <w:tcPr>
            <w:tcW w:w="1377" w:type="dxa"/>
            <w:vAlign w:val="center"/>
          </w:tcPr>
          <w:p w14:paraId="5A1DE2D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QA</w:t>
            </w:r>
          </w:p>
        </w:tc>
        <w:tc>
          <w:tcPr>
            <w:tcW w:w="2395" w:type="dxa"/>
            <w:vAlign w:val="center"/>
          </w:tcPr>
          <w:p w14:paraId="7748933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《供应商审计管理程序》SMP-QA-007/07、《供应商资质确认、评估与维护管理程序》SMP-QA-008/12、《物料放行审核管理程序》SMP-QA-023/11</w:t>
            </w:r>
          </w:p>
        </w:tc>
        <w:tc>
          <w:tcPr>
            <w:tcW w:w="2959" w:type="dxa"/>
            <w:vAlign w:val="center"/>
          </w:tcPr>
          <w:p w14:paraId="6471E17F">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将“每年01月15制定本年度《年度物料供应商审计计划》”变更为“上年度12月01日之前制定下年度《年度物料供应商审计计划》”</w:t>
            </w:r>
          </w:p>
          <w:p w14:paraId="59BC328D">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将关键物料供应商出现物料质量异常情况或质量协议中要求的重要事项发生重大改变时，由“书面审计或者现场审计”变更为“现场审计”</w:t>
            </w:r>
          </w:p>
          <w:p w14:paraId="4CCCEB6E">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删除物料放行审核时确认原厂检验报告单检验项目、检验结果是否符合本公司内控标准的规定</w:t>
            </w:r>
          </w:p>
          <w:p w14:paraId="10C61C4C">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删除物料入库验收时确认数量与原厂检验报告单一致的规定</w:t>
            </w:r>
          </w:p>
          <w:p w14:paraId="22ADB6E6">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增加槽车运送的大宗物料必须使用专用槽车的规定</w:t>
            </w:r>
          </w:p>
          <w:p w14:paraId="656BDD11">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细化样品质量确认的描述</w:t>
            </w:r>
          </w:p>
          <w:p w14:paraId="6B8EB24C">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完善试验用物料的管理流程</w:t>
            </w:r>
          </w:p>
          <w:p w14:paraId="6EA54E87">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完善物料质量异常的处置流程</w:t>
            </w:r>
          </w:p>
          <w:p w14:paraId="75E29A49">
            <w:pPr>
              <w:keepNext w:val="0"/>
              <w:keepLines w:val="0"/>
              <w:pageBreakBefore w:val="0"/>
              <w:widowControl w:val="0"/>
              <w:numPr>
                <w:ilvl w:val="0"/>
                <w:numId w:val="42"/>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在供应商开发、合格供应商审核评估和取消供应商合格资格记录增加包装规格</w:t>
            </w:r>
          </w:p>
        </w:tc>
        <w:tc>
          <w:tcPr>
            <w:tcW w:w="1487" w:type="dxa"/>
            <w:vAlign w:val="center"/>
          </w:tcPr>
          <w:p w14:paraId="0B81898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468925A">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2026.05.25</w:t>
            </w:r>
          </w:p>
        </w:tc>
        <w:tc>
          <w:tcPr>
            <w:tcW w:w="1514" w:type="dxa"/>
            <w:vAlign w:val="center"/>
          </w:tcPr>
          <w:p w14:paraId="4A377A1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0030AF1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9131DA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FAD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4" w:hRule="atLeast"/>
          <w:jc w:val="center"/>
        </w:trPr>
        <w:tc>
          <w:tcPr>
            <w:tcW w:w="637" w:type="dxa"/>
            <w:vAlign w:val="center"/>
          </w:tcPr>
          <w:p w14:paraId="583F4EE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216283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BG-2605013</w:t>
            </w:r>
          </w:p>
        </w:tc>
        <w:tc>
          <w:tcPr>
            <w:tcW w:w="1377" w:type="dxa"/>
            <w:vAlign w:val="center"/>
          </w:tcPr>
          <w:p w14:paraId="18DBCD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59C8DEDE">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《红外光谱仪校验标准操作规程》SOP-QC-108/05</w:t>
            </w:r>
          </w:p>
        </w:tc>
        <w:tc>
          <w:tcPr>
            <w:tcW w:w="2959" w:type="dxa"/>
            <w:vAlign w:val="center"/>
          </w:tcPr>
          <w:p w14:paraId="7822563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根据2025版药典，新增本底光谱能量分布、100%线平直度、透射率重复性校验项目</w:t>
            </w:r>
          </w:p>
        </w:tc>
        <w:tc>
          <w:tcPr>
            <w:tcW w:w="1487" w:type="dxa"/>
            <w:vAlign w:val="center"/>
          </w:tcPr>
          <w:p w14:paraId="6F18927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5C0A6DA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2026.05.25</w:t>
            </w:r>
          </w:p>
        </w:tc>
        <w:tc>
          <w:tcPr>
            <w:tcW w:w="1514" w:type="dxa"/>
            <w:vAlign w:val="center"/>
          </w:tcPr>
          <w:p w14:paraId="1EC449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6A44206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30C8A14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1E7B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6EBCC00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92AC27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BG-2605014</w:t>
            </w:r>
          </w:p>
        </w:tc>
        <w:tc>
          <w:tcPr>
            <w:tcW w:w="1377" w:type="dxa"/>
            <w:vAlign w:val="center"/>
          </w:tcPr>
          <w:p w14:paraId="4EA08F4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101一车间</w:t>
            </w:r>
          </w:p>
        </w:tc>
        <w:tc>
          <w:tcPr>
            <w:tcW w:w="2395" w:type="dxa"/>
            <w:vAlign w:val="center"/>
          </w:tcPr>
          <w:p w14:paraId="4BB72CD7">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101一车间四楼保藏间（二）三台医用冷藏箱（SC-1-1-064、SC-1-1-065、SC-1-1-073）新增安装1台三通道有纸记录仪和1台短信电话报警终端</w:t>
            </w:r>
          </w:p>
        </w:tc>
        <w:tc>
          <w:tcPr>
            <w:tcW w:w="2959" w:type="dxa"/>
            <w:vAlign w:val="center"/>
          </w:tcPr>
          <w:p w14:paraId="05C8D92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101一车间四楼保藏间（二）三台医用冷藏箱（SC-1-1-064、SC-1-1-065、SC-1-1-073）新增安装1台三通道有纸记录仪和1台短信电话报警终端</w:t>
            </w:r>
          </w:p>
        </w:tc>
        <w:tc>
          <w:tcPr>
            <w:tcW w:w="1487" w:type="dxa"/>
            <w:vAlign w:val="center"/>
          </w:tcPr>
          <w:p w14:paraId="438F135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877BD5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2026.05.25</w:t>
            </w:r>
          </w:p>
        </w:tc>
        <w:tc>
          <w:tcPr>
            <w:tcW w:w="1514" w:type="dxa"/>
            <w:vAlign w:val="center"/>
          </w:tcPr>
          <w:p w14:paraId="474ED59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5283E380">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08D9871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78FF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56A299D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D6A0DB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BG-2605015</w:t>
            </w:r>
          </w:p>
        </w:tc>
        <w:tc>
          <w:tcPr>
            <w:tcW w:w="1377" w:type="dxa"/>
            <w:vAlign w:val="center"/>
          </w:tcPr>
          <w:p w14:paraId="65BBB91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101一车间</w:t>
            </w:r>
          </w:p>
        </w:tc>
        <w:tc>
          <w:tcPr>
            <w:tcW w:w="2395" w:type="dxa"/>
            <w:vAlign w:val="center"/>
          </w:tcPr>
          <w:p w14:paraId="1BACCE34">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《PH计（FE20）操作维护保养规程》SOP-SC-007/05、《PH计（FE28）操作维护保养规程》SOP-SC-059/01</w:t>
            </w:r>
          </w:p>
        </w:tc>
        <w:tc>
          <w:tcPr>
            <w:tcW w:w="2959" w:type="dxa"/>
            <w:vAlign w:val="center"/>
          </w:tcPr>
          <w:p w14:paraId="3F6A4F9B">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新增校准要求：电极零电位(offset)范围 ±(0~30)mV；校准温度控制 25±2℃</w:t>
            </w:r>
          </w:p>
          <w:p w14:paraId="6EB7AAF5">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优化仪器状态确认内容，补充保护液、缓冲液有效期检查</w:t>
            </w:r>
          </w:p>
          <w:p w14:paraId="6D86F3C8">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增加零电位记录栏</w:t>
            </w:r>
          </w:p>
          <w:p w14:paraId="2914770F">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修改电极更换判定标准，改为按实际校准结果判定</w:t>
            </w:r>
          </w:p>
          <w:p w14:paraId="465DB43B">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优化仪器状态确认内容，</w:t>
            </w:r>
            <w:r>
              <w:rPr>
                <w:rFonts w:hint="eastAsia" w:ascii="Times New Roman" w:hAnsi="Times New Roman" w:eastAsia="宋体" w:cs="Times New Roman"/>
                <w:sz w:val="21"/>
                <w:szCs w:val="15"/>
                <w:highlight w:val="none"/>
                <w:lang w:val="en-US" w:eastAsia="zh-CN"/>
              </w:rPr>
              <w:t>增加</w:t>
            </w:r>
            <w:r>
              <w:rPr>
                <w:rFonts w:hint="default" w:ascii="Times New Roman" w:hAnsi="Times New Roman" w:eastAsia="宋体" w:cs="Times New Roman"/>
                <w:sz w:val="21"/>
                <w:szCs w:val="15"/>
                <w:highlight w:val="none"/>
                <w:lang w:val="en-US" w:eastAsia="zh-CN"/>
              </w:rPr>
              <w:t>保护液、缓冲液有效期检查</w:t>
            </w:r>
          </w:p>
          <w:p w14:paraId="24C18BCF">
            <w:pPr>
              <w:keepNext w:val="0"/>
              <w:keepLines w:val="0"/>
              <w:pageBreakBefore w:val="0"/>
              <w:widowControl w:val="0"/>
              <w:numPr>
                <w:ilvl w:val="0"/>
                <w:numId w:val="43"/>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default" w:ascii="Times New Roman" w:hAnsi="Times New Roman" w:eastAsia="宋体" w:cs="Times New Roman"/>
                <w:sz w:val="21"/>
                <w:szCs w:val="15"/>
                <w:highlight w:val="none"/>
                <w:lang w:val="en-US" w:eastAsia="zh-CN"/>
              </w:rPr>
              <w:t>调整记录格式</w:t>
            </w:r>
          </w:p>
        </w:tc>
        <w:tc>
          <w:tcPr>
            <w:tcW w:w="1487" w:type="dxa"/>
            <w:vAlign w:val="center"/>
          </w:tcPr>
          <w:p w14:paraId="663F1155">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45EB5D8F">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2026.05.28</w:t>
            </w:r>
          </w:p>
        </w:tc>
        <w:tc>
          <w:tcPr>
            <w:tcW w:w="1514" w:type="dxa"/>
            <w:vAlign w:val="center"/>
          </w:tcPr>
          <w:p w14:paraId="0791C72D">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7388C4C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2026.07.01</w:t>
            </w:r>
          </w:p>
        </w:tc>
        <w:tc>
          <w:tcPr>
            <w:tcW w:w="1268" w:type="dxa"/>
            <w:vAlign w:val="center"/>
          </w:tcPr>
          <w:p w14:paraId="419FC76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2026.07.01</w:t>
            </w:r>
          </w:p>
        </w:tc>
      </w:tr>
      <w:tr w14:paraId="1F17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637" w:type="dxa"/>
            <w:vAlign w:val="center"/>
          </w:tcPr>
          <w:p w14:paraId="5961F9D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2293C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BG-2605016</w:t>
            </w:r>
          </w:p>
        </w:tc>
        <w:tc>
          <w:tcPr>
            <w:tcW w:w="1377" w:type="dxa"/>
            <w:vAlign w:val="center"/>
          </w:tcPr>
          <w:p w14:paraId="4A9CB71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3E4AC4C8">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《QC检测仪器维护保养一览表》APP2-SMP-QC-025/18</w:t>
            </w:r>
          </w:p>
        </w:tc>
        <w:tc>
          <w:tcPr>
            <w:tcW w:w="2959" w:type="dxa"/>
            <w:vAlign w:val="center"/>
          </w:tcPr>
          <w:p w14:paraId="6994DE9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将2-5月份将每月用电动吹风机吹去冷凝器上的浮尘的频率由“每月清洁2~3次”变更为“每周一次”</w:t>
            </w:r>
          </w:p>
        </w:tc>
        <w:tc>
          <w:tcPr>
            <w:tcW w:w="1487" w:type="dxa"/>
            <w:vAlign w:val="center"/>
          </w:tcPr>
          <w:p w14:paraId="640D8A83">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14A767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2026.05.28</w:t>
            </w:r>
          </w:p>
        </w:tc>
        <w:tc>
          <w:tcPr>
            <w:tcW w:w="1514" w:type="dxa"/>
            <w:vAlign w:val="center"/>
          </w:tcPr>
          <w:p w14:paraId="417916C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2026.06.02</w:t>
            </w:r>
          </w:p>
        </w:tc>
        <w:tc>
          <w:tcPr>
            <w:tcW w:w="1391" w:type="dxa"/>
            <w:vAlign w:val="center"/>
          </w:tcPr>
          <w:p w14:paraId="200B495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c>
          <w:tcPr>
            <w:tcW w:w="1268" w:type="dxa"/>
            <w:vAlign w:val="center"/>
          </w:tcPr>
          <w:p w14:paraId="101BA1A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p w14:paraId="67B8B17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p>
        </w:tc>
      </w:tr>
      <w:tr w14:paraId="51D9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jc w:val="center"/>
        </w:trPr>
        <w:tc>
          <w:tcPr>
            <w:tcW w:w="637" w:type="dxa"/>
            <w:vAlign w:val="center"/>
          </w:tcPr>
          <w:p w14:paraId="04EAF7F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507049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BG-2605017</w:t>
            </w:r>
          </w:p>
        </w:tc>
        <w:tc>
          <w:tcPr>
            <w:tcW w:w="1377" w:type="dxa"/>
            <w:vAlign w:val="center"/>
          </w:tcPr>
          <w:p w14:paraId="080B666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42C96EAC">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新增5%芬苯达唑粉5㎏/袋（两袋一箱）包装规格</w:t>
            </w:r>
          </w:p>
        </w:tc>
        <w:tc>
          <w:tcPr>
            <w:tcW w:w="2959" w:type="dxa"/>
            <w:vAlign w:val="center"/>
          </w:tcPr>
          <w:p w14:paraId="58D0AD8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新增5%芬苯达唑粉5㎏/袋（两袋一箱）包装规格</w:t>
            </w:r>
          </w:p>
        </w:tc>
        <w:tc>
          <w:tcPr>
            <w:tcW w:w="1487" w:type="dxa"/>
            <w:vAlign w:val="center"/>
          </w:tcPr>
          <w:p w14:paraId="3B8A4E8D">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中度变更</w:t>
            </w:r>
          </w:p>
        </w:tc>
        <w:tc>
          <w:tcPr>
            <w:tcW w:w="1431" w:type="dxa"/>
            <w:vAlign w:val="center"/>
          </w:tcPr>
          <w:p w14:paraId="3BF800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2026.05.28</w:t>
            </w:r>
          </w:p>
        </w:tc>
        <w:tc>
          <w:tcPr>
            <w:tcW w:w="1514" w:type="dxa"/>
            <w:vAlign w:val="center"/>
          </w:tcPr>
          <w:p w14:paraId="041EF79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2026.05.28</w:t>
            </w:r>
          </w:p>
        </w:tc>
        <w:tc>
          <w:tcPr>
            <w:tcW w:w="1391" w:type="dxa"/>
            <w:vAlign w:val="center"/>
          </w:tcPr>
          <w:p w14:paraId="3E926E8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5E8AC596">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3E48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637" w:type="dxa"/>
            <w:vAlign w:val="center"/>
          </w:tcPr>
          <w:p w14:paraId="63C94D67">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3C1BF4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BG-2605018</w:t>
            </w:r>
          </w:p>
        </w:tc>
        <w:tc>
          <w:tcPr>
            <w:tcW w:w="1377" w:type="dxa"/>
            <w:vAlign w:val="center"/>
          </w:tcPr>
          <w:p w14:paraId="52540A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102一车间</w:t>
            </w:r>
          </w:p>
        </w:tc>
        <w:tc>
          <w:tcPr>
            <w:tcW w:w="2395" w:type="dxa"/>
            <w:vAlign w:val="center"/>
          </w:tcPr>
          <w:p w14:paraId="00C75761">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《25KL培养罐（PF）清洗标准操作规程》SOP-XF2(PF)-206/01</w:t>
            </w:r>
          </w:p>
        </w:tc>
        <w:tc>
          <w:tcPr>
            <w:tcW w:w="2959" w:type="dxa"/>
            <w:vAlign w:val="center"/>
          </w:tcPr>
          <w:p w14:paraId="782DE36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增加艾默徳斯母核产品转产多拉菌素产品前，必须对公用设备执行强化目视检查的规定</w:t>
            </w:r>
          </w:p>
        </w:tc>
        <w:tc>
          <w:tcPr>
            <w:tcW w:w="1487" w:type="dxa"/>
            <w:vAlign w:val="center"/>
          </w:tcPr>
          <w:p w14:paraId="7CA1EA7A">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918BEB7">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2026.05.29</w:t>
            </w:r>
          </w:p>
        </w:tc>
        <w:tc>
          <w:tcPr>
            <w:tcW w:w="1514" w:type="dxa"/>
            <w:vAlign w:val="center"/>
          </w:tcPr>
          <w:p w14:paraId="684BB9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2026.05.29</w:t>
            </w:r>
          </w:p>
        </w:tc>
        <w:tc>
          <w:tcPr>
            <w:tcW w:w="1391" w:type="dxa"/>
            <w:vAlign w:val="center"/>
          </w:tcPr>
          <w:p w14:paraId="18167A4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c>
          <w:tcPr>
            <w:tcW w:w="1268" w:type="dxa"/>
            <w:vAlign w:val="center"/>
          </w:tcPr>
          <w:p w14:paraId="070C24C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r>
      <w:tr w14:paraId="612E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637" w:type="dxa"/>
            <w:vAlign w:val="center"/>
          </w:tcPr>
          <w:p w14:paraId="2A22AC2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58A57F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BG-2605019</w:t>
            </w:r>
          </w:p>
        </w:tc>
        <w:tc>
          <w:tcPr>
            <w:tcW w:w="1377" w:type="dxa"/>
            <w:vAlign w:val="center"/>
          </w:tcPr>
          <w:p w14:paraId="569B4E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201二车间</w:t>
            </w:r>
          </w:p>
        </w:tc>
        <w:tc>
          <w:tcPr>
            <w:tcW w:w="2395" w:type="dxa"/>
            <w:vAlign w:val="center"/>
          </w:tcPr>
          <w:p w14:paraId="2305B49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《设备清洁管理程序》SMP-FT3-008/03</w:t>
            </w:r>
          </w:p>
        </w:tc>
        <w:tc>
          <w:tcPr>
            <w:tcW w:w="2959" w:type="dxa"/>
            <w:vAlign w:val="center"/>
          </w:tcPr>
          <w:p w14:paraId="4E2BD06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增加艾默徳斯母核产品转产多拉菌素产品前，必须对公用设备执行强化目视检查的规定</w:t>
            </w:r>
          </w:p>
        </w:tc>
        <w:tc>
          <w:tcPr>
            <w:tcW w:w="1487" w:type="dxa"/>
            <w:vAlign w:val="center"/>
          </w:tcPr>
          <w:p w14:paraId="304EEAE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52F2E6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2026.05.29</w:t>
            </w:r>
          </w:p>
        </w:tc>
        <w:tc>
          <w:tcPr>
            <w:tcW w:w="1514" w:type="dxa"/>
            <w:vAlign w:val="center"/>
          </w:tcPr>
          <w:p w14:paraId="58A62A7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2026.05.29</w:t>
            </w:r>
          </w:p>
        </w:tc>
        <w:tc>
          <w:tcPr>
            <w:tcW w:w="1391" w:type="dxa"/>
            <w:vAlign w:val="center"/>
          </w:tcPr>
          <w:p w14:paraId="02D7466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c>
          <w:tcPr>
            <w:tcW w:w="1268" w:type="dxa"/>
            <w:vAlign w:val="center"/>
          </w:tcPr>
          <w:p w14:paraId="410A80A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r>
      <w:tr w14:paraId="6B03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jc w:val="center"/>
        </w:trPr>
        <w:tc>
          <w:tcPr>
            <w:tcW w:w="637" w:type="dxa"/>
            <w:vAlign w:val="center"/>
          </w:tcPr>
          <w:p w14:paraId="3890F39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6310C9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BG-2605020</w:t>
            </w:r>
          </w:p>
        </w:tc>
        <w:tc>
          <w:tcPr>
            <w:tcW w:w="1377" w:type="dxa"/>
            <w:vAlign w:val="center"/>
          </w:tcPr>
          <w:p w14:paraId="6336100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102二车间</w:t>
            </w:r>
          </w:p>
        </w:tc>
        <w:tc>
          <w:tcPr>
            <w:tcW w:w="2395" w:type="dxa"/>
            <w:vAlign w:val="center"/>
          </w:tcPr>
          <w:p w14:paraId="3E0DE3C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102二车间兽药制剂生产线2%氟苯尼考预混剂包装工序新增一台分页喷码机和计数器，并将原喷码机（XT2-1-1-065E）拆卸进行封存管理</w:t>
            </w:r>
          </w:p>
        </w:tc>
        <w:tc>
          <w:tcPr>
            <w:tcW w:w="2959" w:type="dxa"/>
            <w:vAlign w:val="center"/>
          </w:tcPr>
          <w:p w14:paraId="641453E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102二车间兽药制剂生产线2%氟苯尼考预混剂包装工序新增一台分页喷码机和计数器，并将原喷码机（XT2-1-1-065E）拆卸进行封存管理</w:t>
            </w:r>
          </w:p>
        </w:tc>
        <w:tc>
          <w:tcPr>
            <w:tcW w:w="1487" w:type="dxa"/>
            <w:vAlign w:val="center"/>
          </w:tcPr>
          <w:p w14:paraId="4F9AEDC2">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1F0D4B0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2026.05.29</w:t>
            </w:r>
          </w:p>
        </w:tc>
        <w:tc>
          <w:tcPr>
            <w:tcW w:w="1514" w:type="dxa"/>
            <w:vAlign w:val="center"/>
          </w:tcPr>
          <w:p w14:paraId="336C1EC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2026.05.29</w:t>
            </w:r>
          </w:p>
        </w:tc>
        <w:tc>
          <w:tcPr>
            <w:tcW w:w="1391" w:type="dxa"/>
            <w:vAlign w:val="center"/>
          </w:tcPr>
          <w:p w14:paraId="4EC598F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DAC085B">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7B0D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jc w:val="center"/>
        </w:trPr>
        <w:tc>
          <w:tcPr>
            <w:tcW w:w="637" w:type="dxa"/>
            <w:vAlign w:val="center"/>
          </w:tcPr>
          <w:p w14:paraId="61EA3A9A">
            <w:pPr>
              <w:numPr>
                <w:ilvl w:val="0"/>
                <w:numId w:val="1"/>
              </w:numPr>
              <w:ind w:left="-420" w:leftChars="0" w:firstLine="420" w:firstLineChars="0"/>
              <w:jc w:val="center"/>
              <w:rPr>
                <w:rFonts w:hint="default" w:ascii="Times New Roman" w:hAnsi="Times New Roman" w:eastAsia="宋体" w:cs="Times New Roman"/>
                <w:sz w:val="21"/>
                <w:szCs w:val="21"/>
              </w:rPr>
            </w:pPr>
            <w:bookmarkStart w:id="3" w:name="OLE_LINK5" w:colFirst="8" w:colLast="9"/>
          </w:p>
        </w:tc>
        <w:tc>
          <w:tcPr>
            <w:tcW w:w="1095" w:type="dxa"/>
            <w:vAlign w:val="center"/>
          </w:tcPr>
          <w:p w14:paraId="3AABCE7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BG-2606001</w:t>
            </w:r>
          </w:p>
        </w:tc>
        <w:tc>
          <w:tcPr>
            <w:tcW w:w="1377" w:type="dxa"/>
            <w:vAlign w:val="center"/>
          </w:tcPr>
          <w:p w14:paraId="02FE47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2307C6C9">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重新安装QC-1-2-042高效液相色谱仪连接电脑系统及赛默飞7.2.10ES软件</w:t>
            </w:r>
          </w:p>
        </w:tc>
        <w:tc>
          <w:tcPr>
            <w:tcW w:w="2959" w:type="dxa"/>
            <w:vAlign w:val="center"/>
          </w:tcPr>
          <w:p w14:paraId="3848DB99">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重新安装QC-1-2-042高效液相色谱仪连接电脑系统及赛默飞7.2.10ES软件</w:t>
            </w:r>
          </w:p>
        </w:tc>
        <w:tc>
          <w:tcPr>
            <w:tcW w:w="1487" w:type="dxa"/>
            <w:vAlign w:val="center"/>
          </w:tcPr>
          <w:p w14:paraId="1783744E">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6D8D16E1">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2026.06.02</w:t>
            </w:r>
          </w:p>
        </w:tc>
        <w:tc>
          <w:tcPr>
            <w:tcW w:w="1514" w:type="dxa"/>
            <w:vAlign w:val="center"/>
          </w:tcPr>
          <w:p w14:paraId="1DF5436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2026.06.03</w:t>
            </w:r>
          </w:p>
        </w:tc>
        <w:tc>
          <w:tcPr>
            <w:tcW w:w="1391" w:type="dxa"/>
            <w:vAlign w:val="center"/>
          </w:tcPr>
          <w:p w14:paraId="6CFCDCF1">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70FDEA3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bookmarkEnd w:id="3"/>
      <w:tr w14:paraId="1F36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637" w:type="dxa"/>
            <w:vAlign w:val="center"/>
          </w:tcPr>
          <w:p w14:paraId="64F93D8C">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283588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BG-2606002</w:t>
            </w:r>
          </w:p>
        </w:tc>
        <w:tc>
          <w:tcPr>
            <w:tcW w:w="1377" w:type="dxa"/>
            <w:vAlign w:val="center"/>
          </w:tcPr>
          <w:p w14:paraId="51F79C2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QC</w:t>
            </w:r>
          </w:p>
        </w:tc>
        <w:tc>
          <w:tcPr>
            <w:tcW w:w="2395" w:type="dxa"/>
            <w:vAlign w:val="center"/>
          </w:tcPr>
          <w:p w14:paraId="236201F8">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修订《实验室器皿自动清洗机（M8000D）标准操作规程》SOP-QC-405/03</w:t>
            </w:r>
          </w:p>
        </w:tc>
        <w:tc>
          <w:tcPr>
            <w:tcW w:w="2959" w:type="dxa"/>
            <w:vAlign w:val="center"/>
          </w:tcPr>
          <w:p w14:paraId="4C60730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增加“洗瓶机清洁效果验证应对待清洁物质进行清洗难易程度评估，选取最难清洗物质开展验证，所用HPLC分析方法应有检出限与定量限”</w:t>
            </w:r>
          </w:p>
        </w:tc>
        <w:tc>
          <w:tcPr>
            <w:tcW w:w="1487" w:type="dxa"/>
            <w:vAlign w:val="center"/>
          </w:tcPr>
          <w:p w14:paraId="596667D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37FBEF9">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2026.06.03</w:t>
            </w:r>
          </w:p>
        </w:tc>
        <w:tc>
          <w:tcPr>
            <w:tcW w:w="1514" w:type="dxa"/>
            <w:vAlign w:val="center"/>
          </w:tcPr>
          <w:p w14:paraId="4DB77DE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2026.06.03</w:t>
            </w:r>
          </w:p>
        </w:tc>
        <w:tc>
          <w:tcPr>
            <w:tcW w:w="1391" w:type="dxa"/>
            <w:vAlign w:val="center"/>
          </w:tcPr>
          <w:p w14:paraId="29D4471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2026.06.10</w:t>
            </w:r>
          </w:p>
        </w:tc>
        <w:tc>
          <w:tcPr>
            <w:tcW w:w="1268" w:type="dxa"/>
            <w:vAlign w:val="center"/>
          </w:tcPr>
          <w:p w14:paraId="66FCA61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2026.06.12</w:t>
            </w:r>
          </w:p>
        </w:tc>
      </w:tr>
      <w:tr w14:paraId="2BAB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637" w:type="dxa"/>
            <w:vAlign w:val="center"/>
          </w:tcPr>
          <w:p w14:paraId="3AFA26F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2AB478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BG-2606003</w:t>
            </w:r>
          </w:p>
        </w:tc>
        <w:tc>
          <w:tcPr>
            <w:tcW w:w="1377" w:type="dxa"/>
            <w:vAlign w:val="center"/>
          </w:tcPr>
          <w:p w14:paraId="5F5D21F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15"/>
                <w:highlight w:val="none"/>
                <w:lang w:val="en-US" w:eastAsia="zh-CN" w:bidi="ar-SA"/>
              </w:rPr>
              <w:t>生产管理部</w:t>
            </w:r>
          </w:p>
        </w:tc>
        <w:tc>
          <w:tcPr>
            <w:tcW w:w="2395" w:type="dxa"/>
            <w:vAlign w:val="center"/>
          </w:tcPr>
          <w:p w14:paraId="07981A42">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《试验管理程序》SMP-PM-015/04</w:t>
            </w:r>
          </w:p>
        </w:tc>
        <w:tc>
          <w:tcPr>
            <w:tcW w:w="2959" w:type="dxa"/>
            <w:vAlign w:val="center"/>
          </w:tcPr>
          <w:p w14:paraId="170E5EA4">
            <w:pPr>
              <w:keepNext w:val="0"/>
              <w:keepLines w:val="0"/>
              <w:pageBreakBefore w:val="0"/>
              <w:widowControl w:val="0"/>
              <w:numPr>
                <w:ilvl w:val="0"/>
                <w:numId w:val="4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将试验书面申请变更试验方案</w:t>
            </w:r>
          </w:p>
          <w:p w14:paraId="47E471CB">
            <w:pPr>
              <w:keepNext w:val="0"/>
              <w:keepLines w:val="0"/>
              <w:pageBreakBefore w:val="0"/>
              <w:widowControl w:val="0"/>
              <w:numPr>
                <w:ilvl w:val="0"/>
                <w:numId w:val="4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完善试验需要检测的操作描述</w:t>
            </w:r>
          </w:p>
          <w:p w14:paraId="10956131">
            <w:pPr>
              <w:keepNext w:val="0"/>
              <w:keepLines w:val="0"/>
              <w:pageBreakBefore w:val="0"/>
              <w:widowControl w:val="0"/>
              <w:numPr>
                <w:ilvl w:val="0"/>
                <w:numId w:val="4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明确试验方案、报告归档管理方式</w:t>
            </w:r>
          </w:p>
          <w:p w14:paraId="22E8FF6C">
            <w:pPr>
              <w:keepNext w:val="0"/>
              <w:keepLines w:val="0"/>
              <w:pageBreakBefore w:val="0"/>
              <w:widowControl w:val="0"/>
              <w:numPr>
                <w:ilvl w:val="0"/>
                <w:numId w:val="44"/>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调整试验报告的模板</w:t>
            </w:r>
          </w:p>
        </w:tc>
        <w:tc>
          <w:tcPr>
            <w:tcW w:w="1487" w:type="dxa"/>
            <w:vAlign w:val="center"/>
          </w:tcPr>
          <w:p w14:paraId="6D070C91">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7A946D8">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2026.06.03</w:t>
            </w:r>
          </w:p>
        </w:tc>
        <w:tc>
          <w:tcPr>
            <w:tcW w:w="1514" w:type="dxa"/>
            <w:vAlign w:val="center"/>
          </w:tcPr>
          <w:p w14:paraId="52BCB79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2026.06.03</w:t>
            </w:r>
          </w:p>
        </w:tc>
        <w:tc>
          <w:tcPr>
            <w:tcW w:w="1391" w:type="dxa"/>
            <w:vAlign w:val="center"/>
          </w:tcPr>
          <w:p w14:paraId="6A66CA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2026.06.05</w:t>
            </w:r>
          </w:p>
        </w:tc>
        <w:tc>
          <w:tcPr>
            <w:tcW w:w="1268" w:type="dxa"/>
            <w:vAlign w:val="center"/>
          </w:tcPr>
          <w:p w14:paraId="2240F42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2026.06.05</w:t>
            </w:r>
          </w:p>
        </w:tc>
      </w:tr>
      <w:tr w14:paraId="238C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31EE724D">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13BD25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BG-2606004</w:t>
            </w:r>
          </w:p>
        </w:tc>
        <w:tc>
          <w:tcPr>
            <w:tcW w:w="1377" w:type="dxa"/>
            <w:vAlign w:val="center"/>
          </w:tcPr>
          <w:p w14:paraId="78456E2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4E8456FA">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《变更控制管理程序》SMP-QA-012/13</w:t>
            </w:r>
          </w:p>
        </w:tc>
        <w:tc>
          <w:tcPr>
            <w:tcW w:w="2959" w:type="dxa"/>
            <w:vAlign w:val="center"/>
          </w:tcPr>
          <w:p w14:paraId="4D48649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1、在3.9中增加“并对客户反馈情况进行跟踪。”</w:t>
            </w:r>
          </w:p>
          <w:p w14:paraId="285B067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2、在4.5.8中增加“部门负责人。”</w:t>
            </w:r>
          </w:p>
          <w:p w14:paraId="25B54FEE">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3、完善6.4.1、6.5.1、6.5.2、6.8.8内容。</w:t>
            </w:r>
          </w:p>
          <w:p w14:paraId="55C97C9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4、在6.6.3.6中增加“质量协议中要求通知客户的。”</w:t>
            </w:r>
          </w:p>
          <w:p w14:paraId="3822388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5、增加6.6.3.7变更有效性评估方案：如果变更涉及到生产或检验，应对变更批准后生产或检验的至少3个批次，进行评估；如果变更涉及其他内容，可根据变更的等级及内容，选择跟踪一周、一个月或一个季度。</w:t>
            </w:r>
          </w:p>
          <w:p w14:paraId="6F6C1BC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6、增加6.8.3.4所有变更通知类的邮件，销售人员在通知客户的同时，需要将邮件同步抄送至工厂质量部门邮箱（nxnnrzc@126.com），且后续关于该变更的邮件沟通过程始终保持抄送工厂质量部门邮箱（nxnnrzc@126.com）。</w:t>
            </w:r>
          </w:p>
          <w:p w14:paraId="2D604D6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7、增加6.8.3.5当接到客户批准变更的邮件时，由现场QA对邮件原文打印并确认邮件信息的准确性（如邮件内容与变更内容是否对应，是否有明确的批准或不批准的结论，邮件落款是否为对应的客户公司等），确认无误后签字，并作为变更记录的一部分保存。</w:t>
            </w:r>
          </w:p>
          <w:p w14:paraId="3A8A93A5">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8、6.8.6变更实施后的有效性及风险再评估描述简化为：变更实施后，由QA负责人根据变更有效性评估方案对变更有效性进行确认，同时需对该采取措施后的变更项目进行再评估，以确认风险是否降低至可接受水平。</w:t>
            </w:r>
          </w:p>
          <w:p w14:paraId="6D1652BB">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9、在记录内容不变的基础上，调整记录格式。</w:t>
            </w:r>
          </w:p>
        </w:tc>
        <w:tc>
          <w:tcPr>
            <w:tcW w:w="1487" w:type="dxa"/>
            <w:vAlign w:val="center"/>
          </w:tcPr>
          <w:p w14:paraId="58147F2B">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轻微变更</w:t>
            </w:r>
          </w:p>
        </w:tc>
        <w:tc>
          <w:tcPr>
            <w:tcW w:w="1431" w:type="dxa"/>
            <w:vAlign w:val="center"/>
          </w:tcPr>
          <w:p w14:paraId="0843552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2026.06.03</w:t>
            </w:r>
          </w:p>
        </w:tc>
        <w:tc>
          <w:tcPr>
            <w:tcW w:w="1514" w:type="dxa"/>
            <w:vAlign w:val="center"/>
          </w:tcPr>
          <w:p w14:paraId="5E229D1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2026.06.04</w:t>
            </w:r>
          </w:p>
        </w:tc>
        <w:tc>
          <w:tcPr>
            <w:tcW w:w="1391" w:type="dxa"/>
            <w:vAlign w:val="center"/>
          </w:tcPr>
          <w:p w14:paraId="6655723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268" w:type="dxa"/>
            <w:vAlign w:val="center"/>
          </w:tcPr>
          <w:p w14:paraId="4BE9D1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2026.06.15</w:t>
            </w:r>
          </w:p>
        </w:tc>
      </w:tr>
      <w:tr w14:paraId="401E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2FCF05F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4652D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BG-2606005</w:t>
            </w:r>
          </w:p>
        </w:tc>
        <w:tc>
          <w:tcPr>
            <w:tcW w:w="1377" w:type="dxa"/>
            <w:vAlign w:val="center"/>
          </w:tcPr>
          <w:p w14:paraId="01338AC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203车间</w:t>
            </w:r>
          </w:p>
        </w:tc>
        <w:tc>
          <w:tcPr>
            <w:tcW w:w="2395" w:type="dxa"/>
            <w:vAlign w:val="center"/>
          </w:tcPr>
          <w:p w14:paraId="66520CDD">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修订《清洗残留取样及检测标准操作规程》SOP-QC-005/09、《盐酸林可霉素清洗残留取样及检测方法》APP1-SOP-QC-005/07</w:t>
            </w:r>
          </w:p>
        </w:tc>
        <w:tc>
          <w:tcPr>
            <w:tcW w:w="2959" w:type="dxa"/>
            <w:vAlign w:val="center"/>
          </w:tcPr>
          <w:p w14:paraId="300C943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1、增加中控实验室检测限和定量限浓度</w:t>
            </w:r>
          </w:p>
          <w:p w14:paraId="4AC8B8E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2、将对照品80-240ppm范围的配制过程、浓度变更为对照品2-8μg/mL范围的配制过程、浓度</w:t>
            </w:r>
          </w:p>
        </w:tc>
        <w:tc>
          <w:tcPr>
            <w:tcW w:w="1487" w:type="dxa"/>
            <w:vAlign w:val="center"/>
          </w:tcPr>
          <w:p w14:paraId="2872C2BC">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cstheme="minorBidi"/>
                <w:kern w:val="2"/>
                <w:sz w:val="21"/>
                <w:szCs w:val="15"/>
                <w:highlight w:val="none"/>
                <w:lang w:val="en-US" w:eastAsia="zh-CN" w:bidi="ar-SA"/>
              </w:rPr>
            </w:pPr>
            <w:r>
              <w:rPr>
                <w:rFonts w:hint="eastAsia" w:ascii="Times New Roman" w:hAnsi="Times New Roman" w:eastAsia="宋体"/>
                <w:sz w:val="21"/>
                <w:szCs w:val="84"/>
                <w:highlight w:val="none"/>
                <w:lang w:val="en-US" w:eastAsia="zh-CN"/>
              </w:rPr>
              <w:t>轻微变更</w:t>
            </w:r>
          </w:p>
        </w:tc>
        <w:tc>
          <w:tcPr>
            <w:tcW w:w="1431" w:type="dxa"/>
            <w:vAlign w:val="center"/>
          </w:tcPr>
          <w:p w14:paraId="121E438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heme="minorBidi"/>
                <w:kern w:val="2"/>
                <w:sz w:val="21"/>
                <w:szCs w:val="15"/>
                <w:highlight w:val="none"/>
                <w:lang w:val="en-US" w:eastAsia="zh-CN" w:bidi="ar-SA"/>
              </w:rPr>
            </w:pPr>
            <w:r>
              <w:rPr>
                <w:rFonts w:hint="eastAsia" w:ascii="Times New Roman" w:hAnsi="Times New Roman" w:eastAsia="宋体"/>
                <w:sz w:val="21"/>
                <w:szCs w:val="84"/>
                <w:highlight w:val="none"/>
                <w:lang w:val="en-US" w:eastAsia="zh-CN"/>
              </w:rPr>
              <w:t>2026.06.04</w:t>
            </w:r>
          </w:p>
        </w:tc>
        <w:tc>
          <w:tcPr>
            <w:tcW w:w="1514" w:type="dxa"/>
            <w:vAlign w:val="center"/>
          </w:tcPr>
          <w:p w14:paraId="0A4B4A4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2026.06.30</w:t>
            </w:r>
          </w:p>
        </w:tc>
        <w:tc>
          <w:tcPr>
            <w:tcW w:w="1391" w:type="dxa"/>
            <w:vAlign w:val="center"/>
          </w:tcPr>
          <w:p w14:paraId="4174074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正在进行</w:t>
            </w:r>
          </w:p>
        </w:tc>
        <w:tc>
          <w:tcPr>
            <w:tcW w:w="1268" w:type="dxa"/>
            <w:vAlign w:val="center"/>
          </w:tcPr>
          <w:p w14:paraId="1302F38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正在进行</w:t>
            </w:r>
          </w:p>
        </w:tc>
      </w:tr>
      <w:tr w14:paraId="2DA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16354ED2">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1E2C9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BG-2606006</w:t>
            </w:r>
          </w:p>
        </w:tc>
        <w:tc>
          <w:tcPr>
            <w:tcW w:w="1377" w:type="dxa"/>
            <w:vAlign w:val="center"/>
          </w:tcPr>
          <w:p w14:paraId="5FC3387C">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3D68DC9F">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 xml:space="preserve">新增《多拉菌素客户质量标准》  </w:t>
            </w:r>
          </w:p>
        </w:tc>
        <w:tc>
          <w:tcPr>
            <w:tcW w:w="2959" w:type="dxa"/>
            <w:vAlign w:val="center"/>
          </w:tcPr>
          <w:p w14:paraId="3DCF8497">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新增《多拉菌素客户质量标准》，该标准在《多拉菌素成品质量标准》STP-QS-DR-202/08的基础上增加“细菌内毒素”项目，标准为＜0.3EU/mg</w:t>
            </w:r>
          </w:p>
        </w:tc>
        <w:tc>
          <w:tcPr>
            <w:tcW w:w="1487" w:type="dxa"/>
            <w:vAlign w:val="center"/>
          </w:tcPr>
          <w:p w14:paraId="532B487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轻微变更</w:t>
            </w:r>
          </w:p>
        </w:tc>
        <w:tc>
          <w:tcPr>
            <w:tcW w:w="1431" w:type="dxa"/>
            <w:vAlign w:val="center"/>
          </w:tcPr>
          <w:p w14:paraId="1361044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2026.06.04</w:t>
            </w:r>
          </w:p>
        </w:tc>
        <w:tc>
          <w:tcPr>
            <w:tcW w:w="1514" w:type="dxa"/>
            <w:vAlign w:val="center"/>
          </w:tcPr>
          <w:p w14:paraId="280490C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2026.06.04</w:t>
            </w:r>
          </w:p>
        </w:tc>
        <w:tc>
          <w:tcPr>
            <w:tcW w:w="1391" w:type="dxa"/>
            <w:vAlign w:val="center"/>
          </w:tcPr>
          <w:p w14:paraId="1697D4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2026.06.07</w:t>
            </w:r>
          </w:p>
        </w:tc>
        <w:tc>
          <w:tcPr>
            <w:tcW w:w="1268" w:type="dxa"/>
            <w:vAlign w:val="center"/>
          </w:tcPr>
          <w:p w14:paraId="3F20F81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正在进行</w:t>
            </w:r>
          </w:p>
        </w:tc>
      </w:tr>
      <w:tr w14:paraId="3A67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249C3514">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4CD398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BG-2606007</w:t>
            </w:r>
          </w:p>
        </w:tc>
        <w:tc>
          <w:tcPr>
            <w:tcW w:w="1377" w:type="dxa"/>
            <w:vAlign w:val="center"/>
          </w:tcPr>
          <w:p w14:paraId="34AA3B6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生产管理部</w:t>
            </w:r>
          </w:p>
        </w:tc>
        <w:tc>
          <w:tcPr>
            <w:tcW w:w="2395" w:type="dxa"/>
            <w:vAlign w:val="center"/>
          </w:tcPr>
          <w:p w14:paraId="612EAEFA">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《生产管理程序》SMP-PM-004/11</w:t>
            </w:r>
          </w:p>
        </w:tc>
        <w:tc>
          <w:tcPr>
            <w:tcW w:w="2959" w:type="dxa"/>
            <w:vAlign w:val="center"/>
          </w:tcPr>
          <w:p w14:paraId="74E2391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完善检测类生产辅助耗材优先购买最小包装有批号、有效期信息的材料，若最小包装无批号、有效期追溯信息，使用前在最小包装上粘贴批号、有效期标识</w:t>
            </w:r>
          </w:p>
        </w:tc>
        <w:tc>
          <w:tcPr>
            <w:tcW w:w="1487" w:type="dxa"/>
            <w:vAlign w:val="center"/>
          </w:tcPr>
          <w:p w14:paraId="65533BB5">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轻微变更</w:t>
            </w:r>
          </w:p>
        </w:tc>
        <w:tc>
          <w:tcPr>
            <w:tcW w:w="1431" w:type="dxa"/>
            <w:vAlign w:val="center"/>
          </w:tcPr>
          <w:p w14:paraId="4C97628A">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2026.06.04</w:t>
            </w:r>
          </w:p>
        </w:tc>
        <w:tc>
          <w:tcPr>
            <w:tcW w:w="1514" w:type="dxa"/>
            <w:vAlign w:val="center"/>
          </w:tcPr>
          <w:p w14:paraId="109C535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2026.06.05</w:t>
            </w:r>
          </w:p>
        </w:tc>
        <w:tc>
          <w:tcPr>
            <w:tcW w:w="1391" w:type="dxa"/>
            <w:vAlign w:val="center"/>
          </w:tcPr>
          <w:p w14:paraId="40C35C6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268" w:type="dxa"/>
            <w:vAlign w:val="center"/>
          </w:tcPr>
          <w:p w14:paraId="1D5FF3F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2026.06.15</w:t>
            </w:r>
          </w:p>
        </w:tc>
      </w:tr>
      <w:tr w14:paraId="4385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191A25C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35D65B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BG-2606008</w:t>
            </w:r>
          </w:p>
        </w:tc>
        <w:tc>
          <w:tcPr>
            <w:tcW w:w="1377" w:type="dxa"/>
            <w:vAlign w:val="center"/>
          </w:tcPr>
          <w:p w14:paraId="262F244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15"/>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2783D4C5">
            <w:pPr>
              <w:keepNext w:val="0"/>
              <w:keepLines w:val="0"/>
              <w:widowControl/>
              <w:suppressLineNumbers w:val="0"/>
              <w:jc w:val="both"/>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修订《QA人员岗位职责》QP-QA-004/04</w:t>
            </w:r>
          </w:p>
        </w:tc>
        <w:tc>
          <w:tcPr>
            <w:tcW w:w="2959" w:type="dxa"/>
            <w:vAlign w:val="center"/>
          </w:tcPr>
          <w:p w14:paraId="25F85ED0">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1、增加3.任职条件及相关内容，原序号顺延；</w:t>
            </w:r>
          </w:p>
          <w:p w14:paraId="6B0BE02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删除文件管理员职责中原序号“3.1.5负责QA日常办公用品的申报；3.1.6负责QA日常考勤的统计；3.1.7负责GMP文件变更的处理、跟踪及统计；”的内容，并将该内容增加至体系专员职责4.2.8，4.2.9，4.2.10，其他序号顺延；</w:t>
            </w:r>
          </w:p>
          <w:p w14:paraId="58C45144">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3、删除体系专员职责中 原序号“3.2.6参与产品质量档案的建立；”的内容；</w:t>
            </w:r>
          </w:p>
          <w:p w14:paraId="2223869F">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4、体系专员职责中增加“4.2.6负责生产工艺用水、用气系统的质量监控，对洁净室环境监测的监督；”</w:t>
            </w:r>
          </w:p>
          <w:p w14:paraId="77EC1333">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5、现场专员职责中增加：“4.1.20对于通知客户的变更，应跟踪客户的反馈情况，在收到客户反馈后，应对反馈内容进行确认。”其他序号顺延。</w:t>
            </w:r>
          </w:p>
        </w:tc>
        <w:tc>
          <w:tcPr>
            <w:tcW w:w="1487" w:type="dxa"/>
            <w:vAlign w:val="center"/>
          </w:tcPr>
          <w:p w14:paraId="3FB1D5A1">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轻微变更</w:t>
            </w:r>
          </w:p>
        </w:tc>
        <w:tc>
          <w:tcPr>
            <w:tcW w:w="1431" w:type="dxa"/>
            <w:vAlign w:val="center"/>
          </w:tcPr>
          <w:p w14:paraId="2B1AA2D2">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84"/>
                <w:highlight w:val="none"/>
                <w:lang w:val="en-US" w:eastAsia="zh-CN"/>
              </w:rPr>
              <w:t>2026.06.05</w:t>
            </w:r>
          </w:p>
        </w:tc>
        <w:tc>
          <w:tcPr>
            <w:tcW w:w="1514" w:type="dxa"/>
            <w:vAlign w:val="center"/>
          </w:tcPr>
          <w:p w14:paraId="0C143C2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 xml:space="preserve">2026.06.05    </w:t>
            </w:r>
          </w:p>
        </w:tc>
        <w:tc>
          <w:tcPr>
            <w:tcW w:w="1391" w:type="dxa"/>
            <w:vAlign w:val="center"/>
          </w:tcPr>
          <w:p w14:paraId="79D0EF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268" w:type="dxa"/>
            <w:vAlign w:val="center"/>
          </w:tcPr>
          <w:p w14:paraId="4BB2B65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正在进行</w:t>
            </w:r>
          </w:p>
        </w:tc>
      </w:tr>
      <w:tr w14:paraId="7A36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3E856BBA">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0F85B01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BG-2606009</w:t>
            </w:r>
          </w:p>
        </w:tc>
        <w:tc>
          <w:tcPr>
            <w:tcW w:w="1377" w:type="dxa"/>
            <w:vAlign w:val="center"/>
          </w:tcPr>
          <w:p w14:paraId="051532E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102二车间</w:t>
            </w:r>
          </w:p>
        </w:tc>
        <w:tc>
          <w:tcPr>
            <w:tcW w:w="2395" w:type="dxa"/>
            <w:vAlign w:val="center"/>
          </w:tcPr>
          <w:p w14:paraId="0F87AFB9">
            <w:pPr>
              <w:keepNext w:val="0"/>
              <w:keepLines w:val="0"/>
              <w:widowControl/>
              <w:suppressLineNumbers w:val="0"/>
              <w:jc w:val="both"/>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《102二车间扫码器使用标准操作规程》SOP-XT2-509/01</w:t>
            </w:r>
          </w:p>
        </w:tc>
        <w:tc>
          <w:tcPr>
            <w:tcW w:w="2959" w:type="dxa"/>
            <w:vAlign w:val="center"/>
          </w:tcPr>
          <w:p w14:paraId="0B8B880C">
            <w:pPr>
              <w:keepNext w:val="0"/>
              <w:keepLines w:val="0"/>
              <w:pageBreakBefore w:val="0"/>
              <w:widowControl w:val="0"/>
              <w:numPr>
                <w:ilvl w:val="0"/>
                <w:numId w:val="45"/>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将每批码托方式由“1</w:t>
            </w:r>
            <w:r>
              <w:rPr>
                <w:rFonts w:hint="eastAsia"/>
                <w:b w:val="0"/>
                <w:bCs w:val="0"/>
                <w:color w:val="auto"/>
                <w:sz w:val="21"/>
                <w:szCs w:val="21"/>
                <w:lang w:val="en-US" w:eastAsia="zh-CN"/>
              </w:rPr>
              <w:t>8箱/托×5+9箱/托×1</w:t>
            </w:r>
            <w:r>
              <w:rPr>
                <w:rFonts w:hint="eastAsia" w:ascii="Times New Roman" w:hAnsi="Times New Roman" w:eastAsia="宋体" w:cs="Times New Roman"/>
                <w:sz w:val="21"/>
                <w:szCs w:val="84"/>
                <w:highlight w:val="none"/>
                <w:lang w:val="en-US" w:eastAsia="zh-CN"/>
              </w:rPr>
              <w:t>”调整为“1</w:t>
            </w:r>
            <w:r>
              <w:rPr>
                <w:rFonts w:hint="eastAsia"/>
                <w:b w:val="0"/>
                <w:bCs w:val="0"/>
                <w:color w:val="auto"/>
                <w:sz w:val="21"/>
                <w:szCs w:val="21"/>
                <w:lang w:val="en-US" w:eastAsia="zh-CN"/>
              </w:rPr>
              <w:t>8箱/托×4+27箱/托×1的方式进行码托</w:t>
            </w:r>
            <w:r>
              <w:rPr>
                <w:rFonts w:hint="eastAsia" w:ascii="Times New Roman" w:hAnsi="Times New Roman" w:eastAsia="宋体" w:cs="Times New Roman"/>
                <w:sz w:val="21"/>
                <w:szCs w:val="84"/>
                <w:highlight w:val="none"/>
                <w:lang w:val="en-US" w:eastAsia="zh-CN"/>
              </w:rPr>
              <w:t>”</w:t>
            </w:r>
          </w:p>
          <w:p w14:paraId="50298D2C">
            <w:pPr>
              <w:keepNext w:val="0"/>
              <w:keepLines w:val="0"/>
              <w:pageBreakBefore w:val="0"/>
              <w:widowControl w:val="0"/>
              <w:numPr>
                <w:ilvl w:val="0"/>
                <w:numId w:val="45"/>
              </w:numPr>
              <w:suppressLineNumbers w:val="0"/>
              <w:tabs>
                <w:tab w:val="center" w:pos="1371"/>
              </w:tabs>
              <w:kinsoku/>
              <w:wordWrap/>
              <w:overflowPunct/>
              <w:topLinePunct w:val="0"/>
              <w:autoSpaceDE/>
              <w:autoSpaceDN/>
              <w:bidi w:val="0"/>
              <w:adjustRightInd/>
              <w:snapToGrid/>
              <w:spacing w:before="0" w:beforeAutospacing="0" w:after="0" w:afterAutospacing="0"/>
              <w:ind w:left="0" w:leftChars="0" w:right="0" w:rightChars="0" w:firstLine="0" w:firstLine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将入库扫码方式由“一托一扫，没托对应生成一个独立的数据文件”变更为“整批按照顺序连续扫描，生成一个独立的数据文件”</w:t>
            </w:r>
          </w:p>
        </w:tc>
        <w:tc>
          <w:tcPr>
            <w:tcW w:w="1487" w:type="dxa"/>
            <w:vAlign w:val="center"/>
          </w:tcPr>
          <w:p w14:paraId="3B1991C9">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84"/>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FD0F38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2026.06.05</w:t>
            </w:r>
          </w:p>
        </w:tc>
        <w:tc>
          <w:tcPr>
            <w:tcW w:w="1514" w:type="dxa"/>
            <w:vAlign w:val="center"/>
          </w:tcPr>
          <w:p w14:paraId="28D926F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2026.06.10</w:t>
            </w:r>
          </w:p>
        </w:tc>
        <w:tc>
          <w:tcPr>
            <w:tcW w:w="1391" w:type="dxa"/>
            <w:vAlign w:val="center"/>
          </w:tcPr>
          <w:p w14:paraId="343B814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2026.06.14</w:t>
            </w:r>
          </w:p>
        </w:tc>
        <w:tc>
          <w:tcPr>
            <w:tcW w:w="1268" w:type="dxa"/>
            <w:vAlign w:val="center"/>
          </w:tcPr>
          <w:p w14:paraId="59C9C88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1B46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7BE15798">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2AA26B9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BG-2606010</w:t>
            </w:r>
          </w:p>
        </w:tc>
        <w:tc>
          <w:tcPr>
            <w:tcW w:w="1377" w:type="dxa"/>
            <w:vAlign w:val="center"/>
          </w:tcPr>
          <w:p w14:paraId="2286DF2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3E10A8EC">
            <w:pPr>
              <w:keepNext w:val="0"/>
              <w:keepLines w:val="0"/>
              <w:widowControl/>
              <w:suppressLineNumbers w:val="0"/>
              <w:jc w:val="both"/>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《多拉菌素产品标签审批表》DR-L14/02</w:t>
            </w:r>
          </w:p>
        </w:tc>
        <w:tc>
          <w:tcPr>
            <w:tcW w:w="2959" w:type="dxa"/>
            <w:vAlign w:val="center"/>
          </w:tcPr>
          <w:p w14:paraId="456CDF8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在标签样张中增加邮政编码信息：753400</w:t>
            </w:r>
          </w:p>
        </w:tc>
        <w:tc>
          <w:tcPr>
            <w:tcW w:w="1487" w:type="dxa"/>
            <w:vAlign w:val="center"/>
          </w:tcPr>
          <w:p w14:paraId="40ADBDDA">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B7943CC">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2026.06.15</w:t>
            </w:r>
          </w:p>
        </w:tc>
        <w:tc>
          <w:tcPr>
            <w:tcW w:w="1514" w:type="dxa"/>
            <w:vAlign w:val="center"/>
          </w:tcPr>
          <w:p w14:paraId="777BF8F1">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391" w:type="dxa"/>
            <w:vAlign w:val="center"/>
          </w:tcPr>
          <w:p w14:paraId="4671C8A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268" w:type="dxa"/>
            <w:vAlign w:val="center"/>
          </w:tcPr>
          <w:p w14:paraId="00B0970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2026.06.15</w:t>
            </w:r>
          </w:p>
        </w:tc>
      </w:tr>
      <w:tr w14:paraId="6FA8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600FB33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C86A86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BG-2606011</w:t>
            </w:r>
          </w:p>
        </w:tc>
        <w:tc>
          <w:tcPr>
            <w:tcW w:w="1377" w:type="dxa"/>
            <w:vAlign w:val="center"/>
          </w:tcPr>
          <w:p w14:paraId="1D1E1E8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142FB559">
            <w:pPr>
              <w:keepNext w:val="0"/>
              <w:keepLines w:val="0"/>
              <w:widowControl/>
              <w:suppressLineNumbers w:val="0"/>
              <w:jc w:val="both"/>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新增《霉酚酸客户（Globe）标准一览表》</w:t>
            </w:r>
          </w:p>
        </w:tc>
        <w:tc>
          <w:tcPr>
            <w:tcW w:w="2959" w:type="dxa"/>
            <w:vAlign w:val="center"/>
          </w:tcPr>
          <w:p w14:paraId="110D815D">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新增标准中含量标准为97.0%~101.0%，其余标准与《霉酚酸（内控）成品质量标准》STP-QS-MC-101/09</w:t>
            </w:r>
          </w:p>
        </w:tc>
        <w:tc>
          <w:tcPr>
            <w:tcW w:w="1487" w:type="dxa"/>
            <w:vAlign w:val="center"/>
          </w:tcPr>
          <w:p w14:paraId="1A0DA1A1">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0A19CD17">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2026.06.15</w:t>
            </w:r>
          </w:p>
        </w:tc>
        <w:tc>
          <w:tcPr>
            <w:tcW w:w="1514" w:type="dxa"/>
            <w:vAlign w:val="center"/>
          </w:tcPr>
          <w:p w14:paraId="116C529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2026.06.17</w:t>
            </w:r>
          </w:p>
        </w:tc>
        <w:tc>
          <w:tcPr>
            <w:tcW w:w="1391" w:type="dxa"/>
            <w:vAlign w:val="center"/>
          </w:tcPr>
          <w:p w14:paraId="1546CD1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2026.07.01</w:t>
            </w:r>
          </w:p>
        </w:tc>
        <w:tc>
          <w:tcPr>
            <w:tcW w:w="1268" w:type="dxa"/>
            <w:vAlign w:val="center"/>
          </w:tcPr>
          <w:p w14:paraId="4D0F7C1A">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443D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79660529">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4DBF9322">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bookmarkStart w:id="4" w:name="OLE_LINK4"/>
            <w:r>
              <w:rPr>
                <w:rFonts w:hint="eastAsia" w:ascii="Times New Roman" w:hAnsi="Times New Roman" w:eastAsia="宋体" w:cs="Times New Roman"/>
                <w:sz w:val="21"/>
                <w:szCs w:val="84"/>
                <w:highlight w:val="none"/>
                <w:lang w:val="en-US" w:eastAsia="zh-CN"/>
              </w:rPr>
              <w:t>BG-260601</w:t>
            </w:r>
            <w:bookmarkEnd w:id="4"/>
            <w:r>
              <w:rPr>
                <w:rFonts w:hint="eastAsia" w:ascii="Times New Roman" w:hAnsi="Times New Roman" w:eastAsia="宋体" w:cs="Times New Roman"/>
                <w:sz w:val="21"/>
                <w:szCs w:val="84"/>
                <w:highlight w:val="none"/>
                <w:lang w:val="en-US" w:eastAsia="zh-CN"/>
              </w:rPr>
              <w:t>2</w:t>
            </w:r>
          </w:p>
        </w:tc>
        <w:tc>
          <w:tcPr>
            <w:tcW w:w="1377" w:type="dxa"/>
            <w:vAlign w:val="center"/>
          </w:tcPr>
          <w:p w14:paraId="0E04D8C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QC</w:t>
            </w:r>
          </w:p>
        </w:tc>
        <w:tc>
          <w:tcPr>
            <w:tcW w:w="2395" w:type="dxa"/>
            <w:vAlign w:val="center"/>
          </w:tcPr>
          <w:p w14:paraId="387D2ADD">
            <w:pPr>
              <w:keepNext w:val="0"/>
              <w:keepLines w:val="0"/>
              <w:widowControl/>
              <w:suppressLineNumbers w:val="0"/>
              <w:jc w:val="both"/>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修订《Waters Empower3企业版软件操作规程》SOP-QC-024/13</w:t>
            </w:r>
          </w:p>
        </w:tc>
        <w:tc>
          <w:tcPr>
            <w:tcW w:w="2959" w:type="dxa"/>
            <w:vAlign w:val="center"/>
          </w:tcPr>
          <w:p w14:paraId="2427DAC8">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1、将日备份由“每周日至每周五07:00进行增量备份,保留三个时间节点数据。”变</w:t>
            </w:r>
          </w:p>
          <w:p w14:paraId="23AAC692">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为“”每小时的29分钟(0:29),保留三个星期节点数据"</w:t>
            </w:r>
          </w:p>
          <w:p w14:paraId="1F40EF5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 xml:space="preserve">2、将周备份中“保留三个时间节点数据”描述调整为“保留三个星期节点数据” </w:t>
            </w:r>
          </w:p>
        </w:tc>
        <w:tc>
          <w:tcPr>
            <w:tcW w:w="1487" w:type="dxa"/>
            <w:vAlign w:val="center"/>
          </w:tcPr>
          <w:p w14:paraId="3D260E9F">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278341CE">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2026.06.15</w:t>
            </w:r>
          </w:p>
        </w:tc>
        <w:tc>
          <w:tcPr>
            <w:tcW w:w="1514" w:type="dxa"/>
            <w:vAlign w:val="center"/>
          </w:tcPr>
          <w:p w14:paraId="2EEE443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2026.06.15</w:t>
            </w:r>
          </w:p>
        </w:tc>
        <w:tc>
          <w:tcPr>
            <w:tcW w:w="1391" w:type="dxa"/>
            <w:vAlign w:val="center"/>
          </w:tcPr>
          <w:p w14:paraId="389FF13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2026.06.16</w:t>
            </w:r>
          </w:p>
        </w:tc>
        <w:tc>
          <w:tcPr>
            <w:tcW w:w="1268" w:type="dxa"/>
            <w:vAlign w:val="center"/>
          </w:tcPr>
          <w:p w14:paraId="62DFE97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085C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5D0EB650">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628492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BG-2606013</w:t>
            </w:r>
          </w:p>
        </w:tc>
        <w:tc>
          <w:tcPr>
            <w:tcW w:w="1377" w:type="dxa"/>
            <w:vAlign w:val="center"/>
          </w:tcPr>
          <w:p w14:paraId="67BCD7DD">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QC</w:t>
            </w:r>
          </w:p>
        </w:tc>
        <w:tc>
          <w:tcPr>
            <w:tcW w:w="2395" w:type="dxa"/>
            <w:vAlign w:val="center"/>
          </w:tcPr>
          <w:p w14:paraId="58F22BFB">
            <w:pPr>
              <w:keepNext w:val="0"/>
              <w:keepLines w:val="0"/>
              <w:widowControl/>
              <w:suppressLineNumbers w:val="0"/>
              <w:jc w:val="both"/>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kern w:val="2"/>
                <w:sz w:val="21"/>
                <w:szCs w:val="84"/>
                <w:highlight w:val="none"/>
                <w:lang w:val="en-US" w:eastAsia="zh-CN" w:bidi="ar-SA"/>
              </w:rPr>
              <w:t>修订《多拉菌素成品检验标准操作规程（兽药）》SOP-QC(DR)-203/08</w:t>
            </w:r>
          </w:p>
        </w:tc>
        <w:tc>
          <w:tcPr>
            <w:tcW w:w="2959" w:type="dxa"/>
            <w:vAlign w:val="center"/>
          </w:tcPr>
          <w:p w14:paraId="2354E166">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将含量项下系统适应性溶液配制方式由“精密称取多拉菌素对照品与阿维菌素（B1a）对照品各25mg±5mg置同一50.0ml棕色容量瓶中，用甲醇溶解后定容。然后吸取5.0ml该溶液至25.0ml棕色容量瓶中，用甲醇稀释并定容。”变更为“精密称取多拉菌素对照品20mg±4mg置100.0ml棕色容量瓶中，用甲醇溶解后定容。精密吸取该溶液1.5ml与阿维菌素对照品1.5ml置于同一顶空瓶中，混匀。  ”</w:t>
            </w:r>
          </w:p>
        </w:tc>
        <w:tc>
          <w:tcPr>
            <w:tcW w:w="1487" w:type="dxa"/>
            <w:vAlign w:val="center"/>
          </w:tcPr>
          <w:p w14:paraId="4BB32C60">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BEA4BFD">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2026.06.16</w:t>
            </w:r>
          </w:p>
        </w:tc>
        <w:tc>
          <w:tcPr>
            <w:tcW w:w="1514" w:type="dxa"/>
            <w:vAlign w:val="center"/>
          </w:tcPr>
          <w:p w14:paraId="1292E41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2026.06.16</w:t>
            </w:r>
          </w:p>
        </w:tc>
        <w:tc>
          <w:tcPr>
            <w:tcW w:w="1391" w:type="dxa"/>
            <w:vAlign w:val="center"/>
          </w:tcPr>
          <w:p w14:paraId="2442F39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2026.06.18</w:t>
            </w:r>
          </w:p>
        </w:tc>
        <w:tc>
          <w:tcPr>
            <w:tcW w:w="1268" w:type="dxa"/>
            <w:vAlign w:val="center"/>
          </w:tcPr>
          <w:p w14:paraId="6C8E062C">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4911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429923BB">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7BAEB40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BG-2606014</w:t>
            </w:r>
          </w:p>
        </w:tc>
        <w:tc>
          <w:tcPr>
            <w:tcW w:w="1377" w:type="dxa"/>
            <w:vAlign w:val="center"/>
          </w:tcPr>
          <w:p w14:paraId="118DA17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生产管理部</w:t>
            </w:r>
          </w:p>
        </w:tc>
        <w:tc>
          <w:tcPr>
            <w:tcW w:w="2395" w:type="dxa"/>
            <w:vAlign w:val="center"/>
          </w:tcPr>
          <w:p w14:paraId="6883C60D">
            <w:pPr>
              <w:keepNext w:val="0"/>
              <w:keepLines w:val="0"/>
              <w:widowControl/>
              <w:suppressLineNumbers w:val="0"/>
              <w:jc w:val="both"/>
              <w:rPr>
                <w:rFonts w:hint="eastAsia"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新增承运商</w:t>
            </w:r>
          </w:p>
        </w:tc>
        <w:tc>
          <w:tcPr>
            <w:tcW w:w="2959" w:type="dxa"/>
            <w:vAlign w:val="center"/>
          </w:tcPr>
          <w:p w14:paraId="2CEA0B31">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增加承运商：上海正业国际货物代理有限公司，负责我司各产品国际段海运和空运运输</w:t>
            </w:r>
          </w:p>
        </w:tc>
        <w:tc>
          <w:tcPr>
            <w:tcW w:w="1487" w:type="dxa"/>
            <w:vAlign w:val="center"/>
          </w:tcPr>
          <w:p w14:paraId="7B184D1D">
            <w:pPr>
              <w:keepNext w:val="0"/>
              <w:keepLines w:val="0"/>
              <w:suppressLineNumbers w:val="0"/>
              <w:spacing w:before="0" w:beforeAutospacing="0" w:after="0" w:afterAutospacing="0" w:line="280" w:lineRule="atLeast"/>
              <w:ind w:left="0" w:leftChars="0" w:right="0" w:rightChars="0"/>
              <w:jc w:val="center"/>
              <w:rPr>
                <w:rFonts w:hint="eastAsia"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75156F2F">
            <w:pPr>
              <w:keepNext w:val="0"/>
              <w:keepLines w:val="0"/>
              <w:suppressLineNumbers w:val="0"/>
              <w:spacing w:before="0" w:beforeAutospacing="0" w:after="0" w:afterAutospacing="0"/>
              <w:ind w:left="0" w:leftChars="0" w:right="0" w:rightChars="0"/>
              <w:jc w:val="center"/>
              <w:rPr>
                <w:rFonts w:hint="eastAsia"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2026.06.22</w:t>
            </w:r>
          </w:p>
        </w:tc>
        <w:tc>
          <w:tcPr>
            <w:tcW w:w="1514" w:type="dxa"/>
            <w:vAlign w:val="center"/>
          </w:tcPr>
          <w:p w14:paraId="49DC8EC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2026.06.25</w:t>
            </w:r>
          </w:p>
        </w:tc>
        <w:tc>
          <w:tcPr>
            <w:tcW w:w="1391" w:type="dxa"/>
            <w:vAlign w:val="center"/>
          </w:tcPr>
          <w:p w14:paraId="3AABBF9E">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15"/>
                <w:highlight w:val="none"/>
                <w:lang w:val="en-US" w:eastAsia="zh-CN"/>
              </w:rPr>
              <w:t>正在进行</w:t>
            </w:r>
          </w:p>
        </w:tc>
        <w:tc>
          <w:tcPr>
            <w:tcW w:w="1268" w:type="dxa"/>
            <w:vAlign w:val="center"/>
          </w:tcPr>
          <w:p w14:paraId="40E4685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15"/>
                <w:highlight w:val="none"/>
                <w:lang w:val="en-US" w:eastAsia="zh-CN"/>
              </w:rPr>
              <w:t>正在进行</w:t>
            </w:r>
          </w:p>
        </w:tc>
      </w:tr>
      <w:tr w14:paraId="5692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637" w:type="dxa"/>
            <w:vAlign w:val="center"/>
          </w:tcPr>
          <w:p w14:paraId="75AA3D35">
            <w:pPr>
              <w:numPr>
                <w:ilvl w:val="0"/>
                <w:numId w:val="1"/>
              </w:numPr>
              <w:ind w:left="-420" w:leftChars="0" w:firstLine="420" w:firstLineChars="0"/>
              <w:jc w:val="center"/>
              <w:rPr>
                <w:rFonts w:hint="default" w:ascii="Times New Roman" w:hAnsi="Times New Roman" w:eastAsia="宋体" w:cs="Times New Roman"/>
                <w:sz w:val="21"/>
                <w:szCs w:val="21"/>
              </w:rPr>
            </w:pPr>
          </w:p>
        </w:tc>
        <w:tc>
          <w:tcPr>
            <w:tcW w:w="1095" w:type="dxa"/>
            <w:vAlign w:val="center"/>
          </w:tcPr>
          <w:p w14:paraId="6E6ABC3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BG-2606015</w:t>
            </w:r>
          </w:p>
        </w:tc>
        <w:tc>
          <w:tcPr>
            <w:tcW w:w="1377" w:type="dxa"/>
            <w:vAlign w:val="center"/>
          </w:tcPr>
          <w:p w14:paraId="30C1A64F">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QA</w:t>
            </w:r>
          </w:p>
        </w:tc>
        <w:tc>
          <w:tcPr>
            <w:tcW w:w="2395" w:type="dxa"/>
            <w:vAlign w:val="center"/>
          </w:tcPr>
          <w:p w14:paraId="1103AE97">
            <w:pPr>
              <w:keepNext w:val="0"/>
              <w:keepLines w:val="0"/>
              <w:widowControl/>
              <w:suppressLineNumbers w:val="0"/>
              <w:jc w:val="both"/>
              <w:rPr>
                <w:rFonts w:hint="default" w:ascii="Times New Roman" w:hAnsi="Times New Roman" w:eastAsia="宋体" w:cs="Times New Roman"/>
                <w:kern w:val="2"/>
                <w:sz w:val="21"/>
                <w:szCs w:val="84"/>
                <w:highlight w:val="none"/>
                <w:lang w:val="en-US" w:eastAsia="zh-CN" w:bidi="ar-SA"/>
              </w:rPr>
            </w:pPr>
            <w:r>
              <w:rPr>
                <w:rFonts w:hint="eastAsia" w:ascii="Times New Roman" w:hAnsi="Times New Roman" w:eastAsia="宋体" w:cs="Times New Roman"/>
                <w:kern w:val="2"/>
                <w:sz w:val="21"/>
                <w:szCs w:val="84"/>
                <w:highlight w:val="none"/>
                <w:lang w:val="en-US" w:eastAsia="zh-CN" w:bidi="ar-SA"/>
              </w:rPr>
              <w:t>变更控制管理程序</w:t>
            </w:r>
          </w:p>
        </w:tc>
        <w:tc>
          <w:tcPr>
            <w:tcW w:w="2959" w:type="dxa"/>
            <w:vAlign w:val="center"/>
          </w:tcPr>
          <w:p w14:paraId="0BEFEB3A">
            <w:pPr>
              <w:keepNext w:val="0"/>
              <w:keepLines w:val="0"/>
              <w:pageBreakBefore w:val="0"/>
              <w:widowControl w:val="0"/>
              <w:numPr>
                <w:ilvl w:val="0"/>
                <w:numId w:val="46"/>
              </w:numPr>
              <w:kinsoku/>
              <w:wordWrap/>
              <w:overflowPunct/>
              <w:topLinePunct w:val="0"/>
              <w:bidi w:val="0"/>
              <w:spacing w:line="360" w:lineRule="exact"/>
              <w:textAlignment w:val="baseline"/>
              <w:rPr>
                <w:rFonts w:hint="default" w:ascii="Times New Roman" w:hAnsi="Times New Roman" w:eastAsia="宋体" w:cs="Times New Roman"/>
                <w:sz w:val="21"/>
                <w:szCs w:val="21"/>
                <w:lang w:eastAsia="zh-CN"/>
              </w:rPr>
            </w:pPr>
            <w:r>
              <w:rPr>
                <w:rFonts w:hint="eastAsia" w:ascii="Times New Roman" w:hAnsi="Times New Roman" w:eastAsia="宋体" w:cs="Times New Roman"/>
                <w:sz w:val="21"/>
                <w:szCs w:val="21"/>
                <w:lang w:val="en-US" w:eastAsia="zh-CN"/>
              </w:rPr>
              <w:t>删除6.6.3.6中“</w:t>
            </w:r>
            <w:r>
              <w:rPr>
                <w:rFonts w:hint="eastAsia" w:ascii="Times New Roman" w:hAnsi="Times New Roman" w:eastAsia="宋体" w:cs="Times New Roman"/>
                <w:b w:val="0"/>
                <w:bCs w:val="0"/>
                <w:color w:val="000000"/>
                <w:sz w:val="21"/>
                <w:szCs w:val="21"/>
                <w:highlight w:val="none"/>
                <w:lang w:val="en-US" w:eastAsia="zh-CN"/>
              </w:rPr>
              <w:t>变更涉及的资料是否已经提供给客户。</w:t>
            </w:r>
            <w:r>
              <w:rPr>
                <w:rFonts w:hint="eastAsia" w:ascii="Times New Roman" w:hAnsi="Times New Roman" w:eastAsia="宋体" w:cs="Times New Roman"/>
                <w:sz w:val="21"/>
                <w:szCs w:val="21"/>
                <w:lang w:val="en-US" w:eastAsia="zh-CN"/>
              </w:rPr>
              <w:t>”</w:t>
            </w:r>
          </w:p>
          <w:p w14:paraId="49AC28AE">
            <w:pPr>
              <w:keepNext w:val="0"/>
              <w:keepLines w:val="0"/>
              <w:pageBreakBefore w:val="0"/>
              <w:widowControl w:val="0"/>
              <w:numPr>
                <w:ilvl w:val="0"/>
                <w:numId w:val="46"/>
              </w:numPr>
              <w:kinsoku/>
              <w:wordWrap/>
              <w:overflowPunct/>
              <w:topLinePunct w:val="0"/>
              <w:bidi w:val="0"/>
              <w:spacing w:line="360" w:lineRule="exact"/>
              <w:textAlignment w:val="baseline"/>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在6.8.3中增加</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highlight w:val="none"/>
                <w:lang w:val="en-US" w:eastAsia="zh-CN"/>
              </w:rPr>
              <w:t>通知客户的途径可以为邮件、微信等</w:t>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lang w:val="en-US" w:eastAsia="zh-CN"/>
              </w:rPr>
              <w:t>客户收到变更通知函后，由</w:t>
            </w:r>
            <w:r>
              <w:rPr>
                <w:rFonts w:hint="eastAsia" w:ascii="Times New Roman" w:hAnsi="Times New Roman" w:eastAsia="宋体"/>
                <w:highlight w:val="none"/>
                <w:lang w:val="en-US" w:eastAsia="zh-CN"/>
              </w:rPr>
              <w:t>客户质量管理部门</w:t>
            </w:r>
            <w:r>
              <w:rPr>
                <w:rFonts w:hint="eastAsia" w:ascii="Times New Roman" w:hAnsi="Times New Roman" w:eastAsia="宋体" w:cs="Times New Roman"/>
                <w:sz w:val="21"/>
                <w:szCs w:val="21"/>
                <w:highlight w:val="none"/>
                <w:lang w:val="en-US" w:eastAsia="zh-CN"/>
              </w:rPr>
              <w:t>填写变更通知函中</w:t>
            </w:r>
            <w:r>
              <w:rPr>
                <w:rFonts w:hint="default" w:ascii="Times New Roman" w:hAnsi="Times New Roman" w:eastAsia="宋体" w:cs="Times New Roman"/>
                <w:sz w:val="21"/>
                <w:szCs w:val="21"/>
                <w:highlight w:val="none"/>
                <w:lang w:eastAsia="zh-CN"/>
              </w:rPr>
              <w:t>客户</w:t>
            </w:r>
            <w:r>
              <w:rPr>
                <w:rFonts w:hint="eastAsia" w:ascii="Times New Roman" w:hAnsi="Times New Roman" w:eastAsia="宋体" w:cs="Times New Roman"/>
                <w:sz w:val="21"/>
                <w:szCs w:val="21"/>
                <w:highlight w:val="none"/>
                <w:lang w:val="en-US" w:eastAsia="zh-CN"/>
              </w:rPr>
              <w:t>变更意见反馈表并提供至我司</w:t>
            </w:r>
            <w:r>
              <w:rPr>
                <w:rFonts w:hint="default"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lang w:eastAsia="zh-CN"/>
              </w:rPr>
              <w:t>”</w:t>
            </w:r>
          </w:p>
          <w:p w14:paraId="247FDDE6">
            <w:pPr>
              <w:keepNext w:val="0"/>
              <w:keepLines w:val="0"/>
              <w:pageBreakBefore w:val="0"/>
              <w:widowControl w:val="0"/>
              <w:numPr>
                <w:ilvl w:val="0"/>
                <w:numId w:val="46"/>
              </w:numPr>
              <w:kinsoku/>
              <w:wordWrap/>
              <w:overflowPunct/>
              <w:topLinePunct w:val="0"/>
              <w:bidi w:val="0"/>
              <w:spacing w:line="360" w:lineRule="exact"/>
              <w:textAlignment w:val="baseline"/>
              <w:rPr>
                <w:rFonts w:hint="default" w:ascii="Times New Roman" w:hAnsi="Times New Roman" w:eastAsia="宋体" w:cs="Times New Roman"/>
                <w:sz w:val="21"/>
                <w:szCs w:val="21"/>
                <w:lang w:eastAsia="zh-CN"/>
              </w:rPr>
            </w:pPr>
            <w:r>
              <w:rPr>
                <w:rFonts w:hint="eastAsia" w:ascii="Times New Roman" w:hAnsi="Times New Roman" w:eastAsia="宋体" w:cs="Times New Roman"/>
                <w:b w:val="0"/>
                <w:bCs w:val="0"/>
                <w:color w:val="000000"/>
                <w:kern w:val="2"/>
                <w:sz w:val="21"/>
                <w:szCs w:val="21"/>
                <w:lang w:val="en-US" w:eastAsia="zh-CN" w:bidi="ar-SA"/>
              </w:rPr>
              <w:t>将6.8.3.3“若客户有特殊要求变更通知函的发出时间、回复时间，根据客户要求发出。”变更为“若变更评估时限客户有特殊要求，按客户要求执行。”</w:t>
            </w:r>
          </w:p>
          <w:p w14:paraId="1F941CD8">
            <w:pPr>
              <w:keepNext w:val="0"/>
              <w:keepLines w:val="0"/>
              <w:pageBreakBefore w:val="0"/>
              <w:widowControl w:val="0"/>
              <w:numPr>
                <w:ilvl w:val="0"/>
                <w:numId w:val="46"/>
              </w:numPr>
              <w:kinsoku/>
              <w:wordWrap/>
              <w:overflowPunct/>
              <w:topLinePunct w:val="0"/>
              <w:bidi w:val="0"/>
              <w:spacing w:line="360" w:lineRule="exact"/>
              <w:textAlignment w:val="baseline"/>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在《</w:t>
            </w:r>
            <w:r>
              <w:rPr>
                <w:rFonts w:hint="eastAsia" w:ascii="Times New Roman" w:hAnsi="Times New Roman" w:eastAsia="宋体" w:cs="Times New Roman"/>
                <w:sz w:val="21"/>
                <w:szCs w:val="21"/>
                <w:lang w:val="en-US" w:eastAsia="zh-CN"/>
              </w:rPr>
              <w:t>变更通知函</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color w:val="000000"/>
                <w:sz w:val="21"/>
                <w:szCs w:val="21"/>
              </w:rPr>
              <w:t>APP</w:t>
            </w:r>
            <w:r>
              <w:rPr>
                <w:rFonts w:hint="eastAsia" w:ascii="Times New Roman" w:hAnsi="Times New Roman" w:eastAsia="宋体" w:cs="Times New Roman"/>
                <w:color w:val="000000"/>
                <w:sz w:val="21"/>
                <w:szCs w:val="21"/>
                <w:lang w:val="en-US" w:eastAsia="zh-CN"/>
              </w:rPr>
              <w:t>5</w:t>
            </w:r>
            <w:r>
              <w:rPr>
                <w:rFonts w:hint="default" w:ascii="Times New Roman" w:hAnsi="Times New Roman" w:eastAsia="宋体" w:cs="Times New Roman"/>
                <w:color w:val="000000"/>
                <w:sz w:val="21"/>
                <w:szCs w:val="21"/>
              </w:rPr>
              <w:t>-SMP-QA-012中增加客户</w:t>
            </w:r>
            <w:r>
              <w:rPr>
                <w:rFonts w:hint="eastAsia" w:ascii="Times New Roman" w:hAnsi="Times New Roman" w:eastAsia="宋体" w:cs="Times New Roman"/>
                <w:sz w:val="21"/>
                <w:szCs w:val="21"/>
                <w:highlight w:val="none"/>
                <w:lang w:val="en-US" w:eastAsia="zh-CN"/>
              </w:rPr>
              <w:t>变更意见反馈表。</w:t>
            </w:r>
          </w:p>
          <w:p w14:paraId="689C819C">
            <w:pPr>
              <w:keepNext w:val="0"/>
              <w:keepLines w:val="0"/>
              <w:pageBreakBefore w:val="0"/>
              <w:widowControl w:val="0"/>
              <w:numPr>
                <w:ilvl w:val="0"/>
                <w:numId w:val="0"/>
              </w:numPr>
              <w:suppressLineNumbers w:val="0"/>
              <w:tabs>
                <w:tab w:val="center" w:pos="1371"/>
              </w:tabs>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21"/>
                <w:lang w:val="en-US" w:eastAsia="zh-CN"/>
              </w:rPr>
              <w:t>5、在《变更审批表》QR3-SMP-QA-012</w:t>
            </w:r>
            <w:r>
              <w:rPr>
                <w:rFonts w:hint="eastAsia" w:ascii="Times New Roman" w:hAnsi="Times New Roman" w:eastAsia="宋体"/>
                <w:caps w:val="0"/>
                <w:lang w:val="en-US" w:eastAsia="zh-CN"/>
              </w:rPr>
              <w:t>现场</w:t>
            </w:r>
            <w:r>
              <w:rPr>
                <w:rFonts w:hint="default" w:ascii="Times New Roman" w:hAnsi="Times New Roman" w:eastAsia="宋体" w:cs="Times New Roman"/>
                <w:caps w:val="0"/>
                <w:lang w:val="en-US" w:eastAsia="zh-CN"/>
              </w:rPr>
              <w:t>QA</w:t>
            </w:r>
            <w:r>
              <w:rPr>
                <w:rFonts w:hint="eastAsia" w:ascii="Times New Roman" w:hAnsi="Times New Roman" w:eastAsia="宋体" w:cs="Times New Roman"/>
                <w:caps w:val="0"/>
                <w:lang w:val="en-US" w:eastAsia="zh-CN"/>
              </w:rPr>
              <w:t>意见栏增加</w:t>
            </w:r>
            <w:r>
              <w:rPr>
                <w:rFonts w:hint="eastAsia" w:ascii="Times New Roman" w:hAnsi="Times New Roman" w:eastAsia="宋体"/>
                <w:caps w:val="0"/>
                <w:lang w:eastAsia="zh-CN"/>
              </w:rPr>
              <w:t>是否需要</w:t>
            </w:r>
            <w:r>
              <w:rPr>
                <w:rFonts w:hint="eastAsia" w:ascii="Times New Roman" w:hAnsi="Times New Roman" w:eastAsia="宋体"/>
                <w:caps w:val="0"/>
                <w:lang w:val="en-US" w:eastAsia="zh-CN"/>
              </w:rPr>
              <w:t>告知</w:t>
            </w:r>
            <w:r>
              <w:rPr>
                <w:rFonts w:hint="eastAsia" w:ascii="Times New Roman" w:hAnsi="Times New Roman" w:eastAsia="宋体"/>
                <w:caps w:val="0"/>
              </w:rPr>
              <w:t>客户</w:t>
            </w:r>
            <w:r>
              <w:rPr>
                <w:rFonts w:hint="eastAsia" w:ascii="Times New Roman" w:hAnsi="Times New Roman" w:eastAsia="宋体"/>
                <w:caps w:val="0"/>
                <w:lang w:eastAsia="zh-CN"/>
              </w:rPr>
              <w:t>。</w:t>
            </w:r>
          </w:p>
        </w:tc>
        <w:tc>
          <w:tcPr>
            <w:tcW w:w="1487" w:type="dxa"/>
            <w:vAlign w:val="center"/>
          </w:tcPr>
          <w:p w14:paraId="7702F818">
            <w:pPr>
              <w:keepNext w:val="0"/>
              <w:keepLines w:val="0"/>
              <w:suppressLineNumbers w:val="0"/>
              <w:spacing w:before="0" w:beforeAutospacing="0" w:after="0" w:afterAutospacing="0" w:line="280" w:lineRule="atLeast"/>
              <w:ind w:left="0" w:leftChars="0" w:right="0" w:rightChars="0"/>
              <w:jc w:val="center"/>
              <w:rPr>
                <w:rFonts w:hint="default" w:ascii="Times New Roman" w:hAnsi="Times New Roman" w:eastAsia="宋体"/>
                <w:sz w:val="21"/>
                <w:szCs w:val="15"/>
                <w:highlight w:val="none"/>
                <w:lang w:val="en-US" w:eastAsia="zh-CN"/>
              </w:rPr>
            </w:pPr>
            <w:r>
              <w:rPr>
                <w:rFonts w:hint="eastAsia" w:ascii="Times New Roman" w:hAnsi="Times New Roman" w:eastAsia="宋体"/>
                <w:sz w:val="21"/>
                <w:szCs w:val="15"/>
                <w:highlight w:val="none"/>
                <w:lang w:val="en-US" w:eastAsia="zh-CN"/>
              </w:rPr>
              <w:t>轻微变更</w:t>
            </w:r>
          </w:p>
        </w:tc>
        <w:tc>
          <w:tcPr>
            <w:tcW w:w="1431" w:type="dxa"/>
            <w:vAlign w:val="center"/>
          </w:tcPr>
          <w:p w14:paraId="3D1BE424">
            <w:pPr>
              <w:keepNext w:val="0"/>
              <w:keepLines w:val="0"/>
              <w:suppressLineNumbers w:val="0"/>
              <w:spacing w:before="0" w:beforeAutospacing="0" w:after="0" w:afterAutospacing="0"/>
              <w:ind w:left="0" w:leftChars="0" w:right="0" w:rightChars="0"/>
              <w:jc w:val="center"/>
              <w:rPr>
                <w:rFonts w:hint="default" w:ascii="Times New Roman" w:hAnsi="Times New Roman" w:eastAsia="宋体"/>
                <w:sz w:val="21"/>
                <w:szCs w:val="84"/>
                <w:highlight w:val="none"/>
                <w:lang w:val="en-US" w:eastAsia="zh-CN"/>
              </w:rPr>
            </w:pPr>
            <w:r>
              <w:rPr>
                <w:rFonts w:hint="eastAsia" w:ascii="Times New Roman" w:hAnsi="Times New Roman" w:eastAsia="宋体"/>
                <w:sz w:val="21"/>
                <w:szCs w:val="84"/>
                <w:highlight w:val="none"/>
                <w:lang w:val="en-US" w:eastAsia="zh-CN"/>
              </w:rPr>
              <w:t>2026.06.22</w:t>
            </w:r>
          </w:p>
        </w:tc>
        <w:tc>
          <w:tcPr>
            <w:tcW w:w="1514" w:type="dxa"/>
            <w:vAlign w:val="center"/>
          </w:tcPr>
          <w:p w14:paraId="78C8836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2026.06.22</w:t>
            </w:r>
          </w:p>
        </w:tc>
        <w:tc>
          <w:tcPr>
            <w:tcW w:w="1391" w:type="dxa"/>
            <w:vAlign w:val="center"/>
          </w:tcPr>
          <w:p w14:paraId="7B93059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sz w:val="21"/>
                <w:szCs w:val="84"/>
                <w:highlight w:val="none"/>
                <w:lang w:val="en-US" w:eastAsia="zh-CN"/>
              </w:rPr>
            </w:pPr>
            <w:r>
              <w:rPr>
                <w:rFonts w:hint="eastAsia" w:ascii="Times New Roman" w:hAnsi="Times New Roman" w:eastAsia="宋体" w:cs="Times New Roman"/>
                <w:sz w:val="21"/>
                <w:szCs w:val="84"/>
                <w:highlight w:val="none"/>
                <w:lang w:val="en-US" w:eastAsia="zh-CN"/>
              </w:rPr>
              <w:t>2026.07.01</w:t>
            </w:r>
          </w:p>
        </w:tc>
        <w:tc>
          <w:tcPr>
            <w:tcW w:w="1268" w:type="dxa"/>
            <w:vAlign w:val="center"/>
          </w:tcPr>
          <w:p w14:paraId="13E89F05">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sz w:val="21"/>
                <w:szCs w:val="15"/>
                <w:highlight w:val="none"/>
                <w:lang w:val="en-US" w:eastAsia="zh-CN"/>
              </w:rPr>
            </w:pPr>
            <w:r>
              <w:rPr>
                <w:rFonts w:hint="eastAsia" w:ascii="Times New Roman" w:hAnsi="Times New Roman" w:eastAsia="宋体" w:cs="Times New Roman"/>
                <w:sz w:val="21"/>
                <w:szCs w:val="84"/>
                <w:highlight w:val="none"/>
                <w:lang w:val="en-US" w:eastAsia="zh-CN"/>
              </w:rPr>
              <w:t>2026.07.01</w:t>
            </w:r>
          </w:p>
        </w:tc>
      </w:tr>
      <w:permEnd w:id="8"/>
    </w:tbl>
    <w:p w14:paraId="2A4255A8">
      <w:pPr>
        <w:tabs>
          <w:tab w:val="left" w:pos="1080"/>
        </w:tabs>
        <w:rPr>
          <w:rFonts w:hint="eastAsia"/>
        </w:rPr>
      </w:pPr>
    </w:p>
    <w:p w14:paraId="0C33B3EE">
      <w:pPr>
        <w:tabs>
          <w:tab w:val="left" w:pos="1080"/>
        </w:tabs>
        <w:jc w:val="left"/>
        <w:rPr>
          <w:rFonts w:hint="eastAsia" w:ascii="Times New Roman" w:hAnsi="Times New Roman" w:cs="Times New Roman"/>
          <w:lang w:val="en-US" w:eastAsia="zh-CN"/>
        </w:rPr>
      </w:pPr>
      <w:r>
        <w:rPr>
          <w:rFonts w:hint="default" w:ascii="Times New Roman" w:hAnsi="Times New Roman" w:cs="Times New Roman"/>
          <w:lang w:val="en-US" w:eastAsia="zh-CN"/>
        </w:rPr>
        <w:t xml:space="preserve">QA变更管理员/日期：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QA负责人/日期：</w:t>
      </w:r>
      <w:r>
        <w:rPr>
          <w:rFonts w:hint="eastAsia" w:ascii="Times New Roman" w:hAnsi="Times New Roman" w:cs="Times New Roman"/>
          <w:lang w:val="en-US" w:eastAsia="zh-CN"/>
        </w:rPr>
        <w:t xml:space="preserve">                               </w:t>
      </w:r>
    </w:p>
    <w:sectPr>
      <w:headerReference r:id="rId3" w:type="default"/>
      <w:pgSz w:w="16838" w:h="11906" w:orient="landscape"/>
      <w:pgMar w:top="964" w:right="850" w:bottom="964" w:left="130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865B8">
    <w:pPr>
      <w:rPr>
        <w:rFonts w:hint="eastAsia" w:ascii="宋体" w:hAnsi="宋体" w:eastAsiaTheme="minorEastAsia"/>
        <w:b/>
        <w:bCs/>
        <w:sz w:val="18"/>
        <w:szCs w:val="18"/>
        <w:lang w:val="en-US" w:eastAsia="zh-CN"/>
      </w:rPr>
    </w:pPr>
    <w:r>
      <w:rPr>
        <w:rFonts w:hint="eastAsia"/>
        <w:szCs w:val="21"/>
        <w:lang w:val="en-US" w:eastAsia="zh-CN"/>
      </w:rPr>
      <w:t xml:space="preserve"> </w:t>
    </w:r>
  </w:p>
  <w:tbl>
    <w:tblPr>
      <w:tblStyle w:val="4"/>
      <w:tblW w:w="14700" w:type="dxa"/>
      <w:tblInd w:w="108" w:type="dxa"/>
      <w:tblLayout w:type="fixed"/>
      <w:tblCellMar>
        <w:top w:w="0" w:type="dxa"/>
        <w:left w:w="108" w:type="dxa"/>
        <w:bottom w:w="0" w:type="dxa"/>
        <w:right w:w="108" w:type="dxa"/>
      </w:tblCellMar>
    </w:tblPr>
    <w:tblGrid>
      <w:gridCol w:w="3533"/>
      <w:gridCol w:w="7436"/>
      <w:gridCol w:w="3731"/>
    </w:tblGrid>
    <w:tr w14:paraId="62CAE69B">
      <w:tblPrEx>
        <w:tblCellMar>
          <w:top w:w="0" w:type="dxa"/>
          <w:left w:w="108" w:type="dxa"/>
          <w:bottom w:w="0" w:type="dxa"/>
          <w:right w:w="108" w:type="dxa"/>
        </w:tblCellMar>
      </w:tblPrEx>
      <w:trPr>
        <w:trHeight w:val="521" w:hRule="exact"/>
        <w:tblHeader/>
      </w:trPr>
      <w:tc>
        <w:tcPr>
          <w:tcW w:w="14700" w:type="dxa"/>
          <w:gridSpan w:val="3"/>
          <w:vAlign w:val="bottom"/>
        </w:tcPr>
        <w:p w14:paraId="7D6638FB">
          <w:pPr>
            <w:tabs>
              <w:tab w:val="left" w:pos="2772"/>
            </w:tabs>
            <w:snapToGrid w:val="0"/>
            <w:jc w:val="center"/>
            <w:rPr>
              <w:rFonts w:ascii="Times New Roman" w:hAnsi="Times New Roman"/>
              <w:b/>
              <w:szCs w:val="21"/>
            </w:rPr>
          </w:pPr>
          <w:r>
            <w:rPr>
              <w:rFonts w:ascii="Times New Roman" w:hAnsi="Times New Roman"/>
              <w:b/>
              <w:bCs/>
              <w:spacing w:val="4"/>
              <w:szCs w:val="21"/>
              <w:lang w:val="zh-CN"/>
            </w:rPr>
            <w:drawing>
              <wp:anchor distT="0" distB="0" distL="114300" distR="114300" simplePos="0" relativeHeight="251659264" behindDoc="0" locked="0" layoutInCell="1" allowOverlap="1">
                <wp:simplePos x="0" y="0"/>
                <wp:positionH relativeFrom="page">
                  <wp:posOffset>4198620</wp:posOffset>
                </wp:positionH>
                <wp:positionV relativeFrom="page">
                  <wp:posOffset>45085</wp:posOffset>
                </wp:positionV>
                <wp:extent cx="839470" cy="269875"/>
                <wp:effectExtent l="0" t="0" r="17780" b="15875"/>
                <wp:wrapNone/>
                <wp:docPr id="1" name="图片 1128"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28" descr="丽珠标志2"/>
                        <pic:cNvPicPr>
                          <a:picLocks noChangeAspect="1"/>
                        </pic:cNvPicPr>
                      </pic:nvPicPr>
                      <pic:blipFill>
                        <a:blip r:embed="rId1"/>
                        <a:stretch>
                          <a:fillRect/>
                        </a:stretch>
                      </pic:blipFill>
                      <pic:spPr>
                        <a:xfrm>
                          <a:off x="0" y="0"/>
                          <a:ext cx="839470" cy="269875"/>
                        </a:xfrm>
                        <a:prstGeom prst="rect">
                          <a:avLst/>
                        </a:prstGeom>
                        <a:noFill/>
                        <a:ln w="9525">
                          <a:noFill/>
                          <a:miter/>
                        </a:ln>
                        <a:effectLst/>
                      </pic:spPr>
                    </pic:pic>
                  </a:graphicData>
                </a:graphic>
              </wp:anchor>
            </w:drawing>
          </w:r>
        </w:p>
      </w:tc>
    </w:tr>
    <w:tr w14:paraId="15998C3A">
      <w:tblPrEx>
        <w:tblCellMar>
          <w:top w:w="0" w:type="dxa"/>
          <w:left w:w="108" w:type="dxa"/>
          <w:bottom w:w="0" w:type="dxa"/>
          <w:right w:w="108" w:type="dxa"/>
        </w:tblCellMar>
      </w:tblPrEx>
      <w:trPr>
        <w:trHeight w:val="322" w:hRule="exact"/>
        <w:tblHeader/>
      </w:trPr>
      <w:tc>
        <w:tcPr>
          <w:tcW w:w="3533" w:type="dxa"/>
          <w:vAlign w:val="center"/>
        </w:tcPr>
        <w:p w14:paraId="24E72D56">
          <w:pPr>
            <w:snapToGrid w:val="0"/>
            <w:ind w:left="-77" w:leftChars="-51" w:right="-86" w:rightChars="-41" w:hanging="30" w:hangingChars="16"/>
            <w:jc w:val="both"/>
            <w:rPr>
              <w:rFonts w:hint="default" w:ascii="Times New Roman" w:hAnsi="Times New Roman" w:cs="Times New Roman"/>
              <w:b/>
              <w:bCs/>
              <w:spacing w:val="4"/>
              <w:sz w:val="18"/>
              <w:szCs w:val="18"/>
            </w:rPr>
          </w:pPr>
          <w:r>
            <w:rPr>
              <w:rFonts w:hint="eastAsia" w:ascii="Times New Roman" w:hAnsi="Times New Roman"/>
              <w:b/>
              <w:bCs/>
              <w:spacing w:val="4"/>
              <w:sz w:val="18"/>
              <w:szCs w:val="18"/>
            </w:rPr>
            <w:t>变更控制管理程序</w:t>
          </w:r>
        </w:p>
      </w:tc>
      <w:tc>
        <w:tcPr>
          <w:tcW w:w="7436" w:type="dxa"/>
          <w:vAlign w:val="center"/>
        </w:tcPr>
        <w:p w14:paraId="62A5311C">
          <w:pPr>
            <w:tabs>
              <w:tab w:val="left" w:pos="3780"/>
            </w:tabs>
            <w:snapToGrid w:val="0"/>
            <w:jc w:val="center"/>
            <w:rPr>
              <w:rFonts w:hint="default" w:ascii="Times New Roman" w:hAnsi="Times New Roman" w:cs="Times New Roman"/>
              <w:b/>
              <w:bCs/>
              <w:spacing w:val="4"/>
              <w:sz w:val="18"/>
              <w:szCs w:val="18"/>
            </w:rPr>
          </w:pPr>
          <w:r>
            <w:rPr>
              <w:rFonts w:hint="eastAsia" w:ascii="Times New Roman" w:hAnsi="Times New Roman"/>
              <w:b/>
              <w:bCs/>
              <w:spacing w:val="4"/>
              <w:sz w:val="18"/>
              <w:szCs w:val="18"/>
            </w:rPr>
            <w:t>Change control management procedure</w:t>
          </w:r>
        </w:p>
      </w:tc>
      <w:tc>
        <w:tcPr>
          <w:tcW w:w="3731" w:type="dxa"/>
          <w:vAlign w:val="center"/>
        </w:tcPr>
        <w:p w14:paraId="28AB5778">
          <w:pPr>
            <w:tabs>
              <w:tab w:val="left" w:pos="2772"/>
            </w:tabs>
            <w:snapToGrid w:val="0"/>
            <w:ind w:right="-107" w:rightChars="-51"/>
            <w:jc w:val="right"/>
            <w:rPr>
              <w:rFonts w:hint="default" w:ascii="Times New Roman" w:hAnsi="Times New Roman" w:cs="Times New Roman" w:eastAsiaTheme="minorEastAsia"/>
              <w:b/>
              <w:bCs/>
              <w:spacing w:val="4"/>
              <w:sz w:val="18"/>
              <w:szCs w:val="18"/>
              <w:lang w:val="en-US" w:eastAsia="zh-CN"/>
            </w:rPr>
          </w:pPr>
          <w:r>
            <w:rPr>
              <w:rFonts w:hint="default" w:ascii="Times New Roman" w:hAnsi="Times New Roman" w:cs="Times New Roman"/>
              <w:b/>
              <w:bCs/>
              <w:color w:val="000000"/>
              <w:sz w:val="18"/>
              <w:szCs w:val="18"/>
            </w:rPr>
            <w:t>APP</w:t>
          </w:r>
          <w:r>
            <w:rPr>
              <w:rFonts w:hint="eastAsia" w:ascii="Times New Roman" w:hAnsi="Times New Roman" w:cs="Times New Roman"/>
              <w:b/>
              <w:bCs/>
              <w:color w:val="000000"/>
              <w:sz w:val="18"/>
              <w:szCs w:val="18"/>
              <w:lang w:val="en-US" w:eastAsia="zh-CN"/>
            </w:rPr>
            <w:t>3</w:t>
          </w:r>
          <w:r>
            <w:rPr>
              <w:rFonts w:hint="default" w:ascii="Times New Roman" w:hAnsi="Times New Roman" w:cs="Times New Roman"/>
              <w:b/>
              <w:bCs/>
              <w:color w:val="000000"/>
              <w:sz w:val="18"/>
              <w:szCs w:val="18"/>
            </w:rPr>
            <w:t>-SMP-QA-</w:t>
          </w:r>
          <w:r>
            <w:rPr>
              <w:rFonts w:hint="default" w:ascii="Times New Roman" w:hAnsi="Times New Roman" w:cs="Times New Roman"/>
              <w:b/>
              <w:bCs/>
              <w:color w:val="000000"/>
              <w:sz w:val="18"/>
              <w:szCs w:val="18"/>
              <w:lang w:val="en-US" w:eastAsia="zh-CN"/>
            </w:rPr>
            <w:t>0</w:t>
          </w:r>
          <w:r>
            <w:rPr>
              <w:rFonts w:hint="default" w:ascii="Times New Roman" w:hAnsi="Times New Roman" w:cs="Times New Roman"/>
              <w:b/>
              <w:bCs/>
              <w:color w:val="000000"/>
              <w:sz w:val="18"/>
              <w:szCs w:val="18"/>
            </w:rPr>
            <w:t>1</w:t>
          </w:r>
          <w:r>
            <w:rPr>
              <w:rFonts w:hint="default" w:ascii="Times New Roman" w:hAnsi="Times New Roman" w:cs="Times New Roman"/>
              <w:b/>
              <w:bCs/>
              <w:color w:val="000000"/>
              <w:sz w:val="18"/>
              <w:szCs w:val="18"/>
              <w:lang w:val="en-US" w:eastAsia="zh-CN"/>
            </w:rPr>
            <w:t>2</w:t>
          </w:r>
          <w:r>
            <w:rPr>
              <w:rFonts w:hint="default" w:ascii="Times New Roman" w:hAnsi="Times New Roman" w:cs="Times New Roman"/>
              <w:b/>
              <w:bCs/>
              <w:color w:val="000000"/>
              <w:sz w:val="18"/>
              <w:szCs w:val="18"/>
            </w:rPr>
            <w:t>/</w:t>
          </w:r>
          <w:r>
            <w:rPr>
              <w:rFonts w:hint="eastAsia" w:ascii="Times New Roman" w:hAnsi="Times New Roman" w:cs="Times New Roman"/>
              <w:b/>
              <w:bCs/>
              <w:color w:val="000000"/>
              <w:sz w:val="18"/>
              <w:szCs w:val="18"/>
              <w:lang w:val="en-US" w:eastAsia="zh-CN"/>
            </w:rPr>
            <w:t>15</w:t>
          </w:r>
        </w:p>
      </w:tc>
    </w:tr>
  </w:tbl>
  <w:p w14:paraId="4FDE73E8">
    <w:pPr>
      <w:spacing w:after="120" w:afterLines="50"/>
      <w:jc w:val="both"/>
      <w:rPr>
        <w:rFonts w:hint="default" w:ascii="宋体" w:hAnsi="宋体" w:eastAsiaTheme="minorEastAsia"/>
        <w:b/>
        <w:bCs/>
        <w:sz w:val="18"/>
        <w:szCs w:val="18"/>
        <w:lang w:val="en-US" w:eastAsia="zh-CN"/>
      </w:rPr>
    </w:pPr>
    <w:r>
      <w:rPr>
        <w:rFonts w:hint="eastAsia" w:ascii="Times New Roman" w:hAnsi="Times New Roman" w:cs="Times New Roman"/>
        <w:b w:val="0"/>
        <w:bCs w:val="0"/>
        <w:sz w:val="21"/>
        <w:szCs w:val="21"/>
        <w:lang w:val="en-US" w:eastAsia="zh-CN"/>
      </w:rPr>
      <w:t xml:space="preserve">                                                                                                                                      </w:t>
    </w:r>
    <w:r>
      <w:rPr>
        <w:rFonts w:hint="default" w:ascii="Times New Roman" w:hAnsi="Times New Roman" w:cs="Times New Roman"/>
        <w:b w:val="0"/>
        <w:bCs w:val="0"/>
        <w:sz w:val="21"/>
        <w:szCs w:val="21"/>
        <w:lang w:val="en-US" w:eastAsia="zh-CN"/>
      </w:rPr>
      <w:t>P</w:t>
    </w:r>
    <w:permStart w:id="9" w:edGrp="everyone"/>
    <w:r>
      <w:rPr>
        <w:rFonts w:hint="default" w:ascii="Times New Roman" w:hAnsi="Times New Roman" w:eastAsia="宋体" w:cs="Times New Roman"/>
        <w:b w:val="0"/>
        <w:bCs w:val="0"/>
        <w:sz w:val="21"/>
        <w:szCs w:val="21"/>
        <w:lang w:val="en-US" w:eastAsia="zh-CN"/>
      </w:rPr>
      <w:fldChar w:fldCharType="begin"/>
    </w:r>
    <w:r>
      <w:rPr>
        <w:rFonts w:hint="default" w:ascii="Times New Roman" w:hAnsi="Times New Roman" w:eastAsia="宋体" w:cs="Times New Roman"/>
        <w:b w:val="0"/>
        <w:bCs w:val="0"/>
        <w:sz w:val="21"/>
        <w:szCs w:val="21"/>
        <w:lang w:val="en-US" w:eastAsia="zh-CN"/>
      </w:rPr>
      <w:instrText xml:space="preserve"> PAGE  \* MERGEFORMAT </w:instrText>
    </w:r>
    <w:r>
      <w:rPr>
        <w:rFonts w:hint="default" w:ascii="Times New Roman" w:hAnsi="Times New Roman" w:eastAsia="宋体" w:cs="Times New Roman"/>
        <w:b w:val="0"/>
        <w:bCs w:val="0"/>
        <w:sz w:val="21"/>
        <w:szCs w:val="21"/>
        <w:lang w:val="en-US" w:eastAsia="zh-CN"/>
      </w:rPr>
      <w:fldChar w:fldCharType="separate"/>
    </w:r>
    <w:r>
      <w:rPr>
        <w:rFonts w:hint="default" w:ascii="Times New Roman" w:hAnsi="Times New Roman" w:cs="Times New Roman"/>
        <w:b w:val="0"/>
        <w:bCs w:val="0"/>
        <w:sz w:val="21"/>
        <w:szCs w:val="21"/>
      </w:rPr>
      <w:t>1</w:t>
    </w:r>
    <w:r>
      <w:rPr>
        <w:rFonts w:hint="default" w:ascii="Times New Roman" w:hAnsi="Times New Roman" w:eastAsia="宋体" w:cs="Times New Roman"/>
        <w:b w:val="0"/>
        <w:bCs w:val="0"/>
        <w:sz w:val="21"/>
        <w:szCs w:val="21"/>
        <w:lang w:val="en-US" w:eastAsia="zh-CN"/>
      </w:rPr>
      <w:fldChar w:fldCharType="end"/>
    </w:r>
    <w:permEnd w:id="9"/>
    <w:r>
      <w:rPr>
        <w:rFonts w:hint="default" w:ascii="Times New Roman" w:hAnsi="Times New Roman" w:cs="Times New Roman"/>
        <w:b w:val="0"/>
        <w:bCs w:val="0"/>
        <w:sz w:val="21"/>
        <w:szCs w:val="21"/>
        <w:lang w:val="en-US" w:eastAsia="zh-CN"/>
      </w:rPr>
      <w:t>/</w:t>
    </w:r>
    <w:r>
      <w:rPr>
        <w:rFonts w:hint="eastAsia" w:ascii="Times New Roman" w:hAnsi="Times New Roman" w:cs="Times New Roman"/>
        <w:b w:val="0"/>
        <w:bCs w:val="0"/>
        <w:sz w:val="21"/>
        <w:szCs w:val="21"/>
        <w:lang w:val="en-US" w:eastAsia="zh-CN"/>
      </w:rPr>
      <w:t>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28C4E"/>
    <w:multiLevelType w:val="singleLevel"/>
    <w:tmpl w:val="84B28C4E"/>
    <w:lvl w:ilvl="0" w:tentative="0">
      <w:start w:val="1"/>
      <w:numFmt w:val="decimal"/>
      <w:suff w:val="nothing"/>
      <w:lvlText w:val="%1、"/>
      <w:lvlJc w:val="left"/>
    </w:lvl>
  </w:abstractNum>
  <w:abstractNum w:abstractNumId="1">
    <w:nsid w:val="8570F02D"/>
    <w:multiLevelType w:val="singleLevel"/>
    <w:tmpl w:val="8570F02D"/>
    <w:lvl w:ilvl="0" w:tentative="0">
      <w:start w:val="1"/>
      <w:numFmt w:val="decimal"/>
      <w:suff w:val="nothing"/>
      <w:lvlText w:val="%1、"/>
      <w:lvlJc w:val="left"/>
    </w:lvl>
  </w:abstractNum>
  <w:abstractNum w:abstractNumId="2">
    <w:nsid w:val="8CFE2077"/>
    <w:multiLevelType w:val="singleLevel"/>
    <w:tmpl w:val="8CFE2077"/>
    <w:lvl w:ilvl="0" w:tentative="0">
      <w:start w:val="1"/>
      <w:numFmt w:val="decimal"/>
      <w:suff w:val="nothing"/>
      <w:lvlText w:val="%1、"/>
      <w:lvlJc w:val="left"/>
    </w:lvl>
  </w:abstractNum>
  <w:abstractNum w:abstractNumId="3">
    <w:nsid w:val="9886EE6F"/>
    <w:multiLevelType w:val="singleLevel"/>
    <w:tmpl w:val="9886EE6F"/>
    <w:lvl w:ilvl="0" w:tentative="0">
      <w:start w:val="1"/>
      <w:numFmt w:val="decimal"/>
      <w:suff w:val="nothing"/>
      <w:lvlText w:val="%1、"/>
      <w:lvlJc w:val="left"/>
    </w:lvl>
  </w:abstractNum>
  <w:abstractNum w:abstractNumId="4">
    <w:nsid w:val="9ABDFBAD"/>
    <w:multiLevelType w:val="singleLevel"/>
    <w:tmpl w:val="9ABDFBAD"/>
    <w:lvl w:ilvl="0" w:tentative="0">
      <w:start w:val="1"/>
      <w:numFmt w:val="decimal"/>
      <w:suff w:val="nothing"/>
      <w:lvlText w:val="%1、"/>
      <w:lvlJc w:val="left"/>
    </w:lvl>
  </w:abstractNum>
  <w:abstractNum w:abstractNumId="5">
    <w:nsid w:val="9FE55F63"/>
    <w:multiLevelType w:val="singleLevel"/>
    <w:tmpl w:val="9FE55F63"/>
    <w:lvl w:ilvl="0" w:tentative="0">
      <w:start w:val="1"/>
      <w:numFmt w:val="decimal"/>
      <w:suff w:val="nothing"/>
      <w:lvlText w:val="%1、"/>
      <w:lvlJc w:val="left"/>
    </w:lvl>
  </w:abstractNum>
  <w:abstractNum w:abstractNumId="6">
    <w:nsid w:val="A204E059"/>
    <w:multiLevelType w:val="singleLevel"/>
    <w:tmpl w:val="A204E059"/>
    <w:lvl w:ilvl="0" w:tentative="0">
      <w:start w:val="1"/>
      <w:numFmt w:val="decimal"/>
      <w:suff w:val="nothing"/>
      <w:lvlText w:val="%1、"/>
      <w:lvlJc w:val="left"/>
    </w:lvl>
  </w:abstractNum>
  <w:abstractNum w:abstractNumId="7">
    <w:nsid w:val="A2B6932D"/>
    <w:multiLevelType w:val="singleLevel"/>
    <w:tmpl w:val="A2B6932D"/>
    <w:lvl w:ilvl="0" w:tentative="0">
      <w:start w:val="1"/>
      <w:numFmt w:val="decimal"/>
      <w:suff w:val="nothing"/>
      <w:lvlText w:val="%1、"/>
      <w:lvlJc w:val="left"/>
    </w:lvl>
  </w:abstractNum>
  <w:abstractNum w:abstractNumId="8">
    <w:nsid w:val="AD771B2C"/>
    <w:multiLevelType w:val="singleLevel"/>
    <w:tmpl w:val="AD771B2C"/>
    <w:lvl w:ilvl="0" w:tentative="0">
      <w:start w:val="1"/>
      <w:numFmt w:val="decimal"/>
      <w:suff w:val="nothing"/>
      <w:lvlText w:val="%1、"/>
      <w:lvlJc w:val="left"/>
    </w:lvl>
  </w:abstractNum>
  <w:abstractNum w:abstractNumId="9">
    <w:nsid w:val="B41C7609"/>
    <w:multiLevelType w:val="singleLevel"/>
    <w:tmpl w:val="B41C7609"/>
    <w:lvl w:ilvl="0" w:tentative="0">
      <w:start w:val="1"/>
      <w:numFmt w:val="decimal"/>
      <w:suff w:val="nothing"/>
      <w:lvlText w:val="%1、"/>
      <w:lvlJc w:val="left"/>
    </w:lvl>
  </w:abstractNum>
  <w:abstractNum w:abstractNumId="10">
    <w:nsid w:val="B41F1C4A"/>
    <w:multiLevelType w:val="singleLevel"/>
    <w:tmpl w:val="B41F1C4A"/>
    <w:lvl w:ilvl="0" w:tentative="0">
      <w:start w:val="1"/>
      <w:numFmt w:val="decimal"/>
      <w:suff w:val="nothing"/>
      <w:lvlText w:val="%1、"/>
      <w:lvlJc w:val="left"/>
    </w:lvl>
  </w:abstractNum>
  <w:abstractNum w:abstractNumId="11">
    <w:nsid w:val="B87C6063"/>
    <w:multiLevelType w:val="singleLevel"/>
    <w:tmpl w:val="B87C6063"/>
    <w:lvl w:ilvl="0" w:tentative="0">
      <w:start w:val="1"/>
      <w:numFmt w:val="decimal"/>
      <w:suff w:val="nothing"/>
      <w:lvlText w:val="%1、"/>
      <w:lvlJc w:val="left"/>
    </w:lvl>
  </w:abstractNum>
  <w:abstractNum w:abstractNumId="12">
    <w:nsid w:val="BE255DC4"/>
    <w:multiLevelType w:val="singleLevel"/>
    <w:tmpl w:val="BE255DC4"/>
    <w:lvl w:ilvl="0" w:tentative="0">
      <w:start w:val="1"/>
      <w:numFmt w:val="decimal"/>
      <w:suff w:val="nothing"/>
      <w:lvlText w:val="%1、"/>
      <w:lvlJc w:val="left"/>
    </w:lvl>
  </w:abstractNum>
  <w:abstractNum w:abstractNumId="13">
    <w:nsid w:val="C0B6D1D4"/>
    <w:multiLevelType w:val="singleLevel"/>
    <w:tmpl w:val="C0B6D1D4"/>
    <w:lvl w:ilvl="0" w:tentative="0">
      <w:start w:val="1"/>
      <w:numFmt w:val="decimal"/>
      <w:suff w:val="nothing"/>
      <w:lvlText w:val="%1、"/>
      <w:lvlJc w:val="left"/>
    </w:lvl>
  </w:abstractNum>
  <w:abstractNum w:abstractNumId="14">
    <w:nsid w:val="C1F552E0"/>
    <w:multiLevelType w:val="singleLevel"/>
    <w:tmpl w:val="C1F552E0"/>
    <w:lvl w:ilvl="0" w:tentative="0">
      <w:start w:val="1"/>
      <w:numFmt w:val="decimal"/>
      <w:suff w:val="nothing"/>
      <w:lvlText w:val="%1、"/>
      <w:lvlJc w:val="left"/>
    </w:lvl>
  </w:abstractNum>
  <w:abstractNum w:abstractNumId="15">
    <w:nsid w:val="C23612D6"/>
    <w:multiLevelType w:val="singleLevel"/>
    <w:tmpl w:val="C23612D6"/>
    <w:lvl w:ilvl="0" w:tentative="0">
      <w:start w:val="1"/>
      <w:numFmt w:val="decimal"/>
      <w:suff w:val="nothing"/>
      <w:lvlText w:val="%1、"/>
      <w:lvlJc w:val="left"/>
    </w:lvl>
  </w:abstractNum>
  <w:abstractNum w:abstractNumId="16">
    <w:nsid w:val="C39FEA66"/>
    <w:multiLevelType w:val="singleLevel"/>
    <w:tmpl w:val="C39FEA66"/>
    <w:lvl w:ilvl="0" w:tentative="0">
      <w:start w:val="1"/>
      <w:numFmt w:val="decimal"/>
      <w:suff w:val="nothing"/>
      <w:lvlText w:val="%1、"/>
      <w:lvlJc w:val="left"/>
    </w:lvl>
  </w:abstractNum>
  <w:abstractNum w:abstractNumId="17">
    <w:nsid w:val="C4CED831"/>
    <w:multiLevelType w:val="singleLevel"/>
    <w:tmpl w:val="C4CED831"/>
    <w:lvl w:ilvl="0" w:tentative="0">
      <w:start w:val="1"/>
      <w:numFmt w:val="decimal"/>
      <w:suff w:val="nothing"/>
      <w:lvlText w:val="%1、"/>
      <w:lvlJc w:val="left"/>
    </w:lvl>
  </w:abstractNum>
  <w:abstractNum w:abstractNumId="18">
    <w:nsid w:val="C93368FA"/>
    <w:multiLevelType w:val="singleLevel"/>
    <w:tmpl w:val="C93368FA"/>
    <w:lvl w:ilvl="0" w:tentative="0">
      <w:start w:val="1"/>
      <w:numFmt w:val="decimal"/>
      <w:suff w:val="nothing"/>
      <w:lvlText w:val="%1、"/>
      <w:lvlJc w:val="left"/>
    </w:lvl>
  </w:abstractNum>
  <w:abstractNum w:abstractNumId="19">
    <w:nsid w:val="DCBA66EA"/>
    <w:multiLevelType w:val="singleLevel"/>
    <w:tmpl w:val="DCBA66EA"/>
    <w:lvl w:ilvl="0" w:tentative="0">
      <w:start w:val="1"/>
      <w:numFmt w:val="decimal"/>
      <w:suff w:val="nothing"/>
      <w:lvlText w:val="%1、"/>
      <w:lvlJc w:val="left"/>
    </w:lvl>
  </w:abstractNum>
  <w:abstractNum w:abstractNumId="20">
    <w:nsid w:val="E007FC98"/>
    <w:multiLevelType w:val="singleLevel"/>
    <w:tmpl w:val="E007FC98"/>
    <w:lvl w:ilvl="0" w:tentative="0">
      <w:start w:val="1"/>
      <w:numFmt w:val="decimal"/>
      <w:suff w:val="nothing"/>
      <w:lvlText w:val="%1、"/>
      <w:lvlJc w:val="left"/>
    </w:lvl>
  </w:abstractNum>
  <w:abstractNum w:abstractNumId="21">
    <w:nsid w:val="E5A803ED"/>
    <w:multiLevelType w:val="singleLevel"/>
    <w:tmpl w:val="E5A803ED"/>
    <w:lvl w:ilvl="0" w:tentative="0">
      <w:start w:val="1"/>
      <w:numFmt w:val="decimal"/>
      <w:suff w:val="nothing"/>
      <w:lvlText w:val="%1、"/>
      <w:lvlJc w:val="left"/>
    </w:lvl>
  </w:abstractNum>
  <w:abstractNum w:abstractNumId="22">
    <w:nsid w:val="E6237E8C"/>
    <w:multiLevelType w:val="singleLevel"/>
    <w:tmpl w:val="E6237E8C"/>
    <w:lvl w:ilvl="0" w:tentative="0">
      <w:start w:val="1"/>
      <w:numFmt w:val="decimal"/>
      <w:suff w:val="nothing"/>
      <w:lvlText w:val="%1、"/>
      <w:lvlJc w:val="left"/>
    </w:lvl>
  </w:abstractNum>
  <w:abstractNum w:abstractNumId="23">
    <w:nsid w:val="EEC0E85C"/>
    <w:multiLevelType w:val="singleLevel"/>
    <w:tmpl w:val="EEC0E85C"/>
    <w:lvl w:ilvl="0" w:tentative="0">
      <w:start w:val="1"/>
      <w:numFmt w:val="decimal"/>
      <w:suff w:val="nothing"/>
      <w:lvlText w:val="%1、"/>
      <w:lvlJc w:val="left"/>
    </w:lvl>
  </w:abstractNum>
  <w:abstractNum w:abstractNumId="24">
    <w:nsid w:val="F330FA4E"/>
    <w:multiLevelType w:val="singleLevel"/>
    <w:tmpl w:val="F330FA4E"/>
    <w:lvl w:ilvl="0" w:tentative="0">
      <w:start w:val="1"/>
      <w:numFmt w:val="decimal"/>
      <w:suff w:val="nothing"/>
      <w:lvlText w:val="%1、"/>
      <w:lvlJc w:val="left"/>
    </w:lvl>
  </w:abstractNum>
  <w:abstractNum w:abstractNumId="25">
    <w:nsid w:val="032F2E2D"/>
    <w:multiLevelType w:val="singleLevel"/>
    <w:tmpl w:val="032F2E2D"/>
    <w:lvl w:ilvl="0" w:tentative="0">
      <w:start w:val="1"/>
      <w:numFmt w:val="decimal"/>
      <w:suff w:val="nothing"/>
      <w:lvlText w:val="%1、"/>
      <w:lvlJc w:val="left"/>
    </w:lvl>
  </w:abstractNum>
  <w:abstractNum w:abstractNumId="26">
    <w:nsid w:val="069EDEA3"/>
    <w:multiLevelType w:val="singleLevel"/>
    <w:tmpl w:val="069EDEA3"/>
    <w:lvl w:ilvl="0" w:tentative="0">
      <w:start w:val="1"/>
      <w:numFmt w:val="decimal"/>
      <w:suff w:val="nothing"/>
      <w:lvlText w:val="%1、"/>
      <w:lvlJc w:val="left"/>
    </w:lvl>
  </w:abstractNum>
  <w:abstractNum w:abstractNumId="27">
    <w:nsid w:val="08F7376A"/>
    <w:multiLevelType w:val="singleLevel"/>
    <w:tmpl w:val="08F7376A"/>
    <w:lvl w:ilvl="0" w:tentative="0">
      <w:start w:val="1"/>
      <w:numFmt w:val="decimal"/>
      <w:suff w:val="nothing"/>
      <w:lvlText w:val="%1、"/>
      <w:lvlJc w:val="left"/>
    </w:lvl>
  </w:abstractNum>
  <w:abstractNum w:abstractNumId="28">
    <w:nsid w:val="0A35F0F4"/>
    <w:multiLevelType w:val="singleLevel"/>
    <w:tmpl w:val="0A35F0F4"/>
    <w:lvl w:ilvl="0" w:tentative="0">
      <w:start w:val="1"/>
      <w:numFmt w:val="decimal"/>
      <w:suff w:val="nothing"/>
      <w:lvlText w:val="%1、"/>
      <w:lvlJc w:val="left"/>
    </w:lvl>
  </w:abstractNum>
  <w:abstractNum w:abstractNumId="29">
    <w:nsid w:val="0E2407B5"/>
    <w:multiLevelType w:val="singleLevel"/>
    <w:tmpl w:val="0E2407B5"/>
    <w:lvl w:ilvl="0" w:tentative="0">
      <w:start w:val="1"/>
      <w:numFmt w:val="decimal"/>
      <w:suff w:val="nothing"/>
      <w:lvlText w:val="%1、"/>
      <w:lvlJc w:val="left"/>
    </w:lvl>
  </w:abstractNum>
  <w:abstractNum w:abstractNumId="30">
    <w:nsid w:val="104CAB02"/>
    <w:multiLevelType w:val="singleLevel"/>
    <w:tmpl w:val="104CAB02"/>
    <w:lvl w:ilvl="0" w:tentative="0">
      <w:start w:val="1"/>
      <w:numFmt w:val="decimal"/>
      <w:suff w:val="nothing"/>
      <w:lvlText w:val="%1、"/>
      <w:lvlJc w:val="left"/>
    </w:lvl>
  </w:abstractNum>
  <w:abstractNum w:abstractNumId="31">
    <w:nsid w:val="1718F440"/>
    <w:multiLevelType w:val="singleLevel"/>
    <w:tmpl w:val="1718F440"/>
    <w:lvl w:ilvl="0" w:tentative="0">
      <w:start w:val="1"/>
      <w:numFmt w:val="decimal"/>
      <w:suff w:val="nothing"/>
      <w:lvlText w:val="%1、"/>
      <w:lvlJc w:val="left"/>
    </w:lvl>
  </w:abstractNum>
  <w:abstractNum w:abstractNumId="32">
    <w:nsid w:val="1D826B99"/>
    <w:multiLevelType w:val="singleLevel"/>
    <w:tmpl w:val="1D826B99"/>
    <w:lvl w:ilvl="0" w:tentative="0">
      <w:start w:val="1"/>
      <w:numFmt w:val="decimal"/>
      <w:suff w:val="nothing"/>
      <w:lvlText w:val="%1、"/>
      <w:lvlJc w:val="left"/>
    </w:lvl>
  </w:abstractNum>
  <w:abstractNum w:abstractNumId="33">
    <w:nsid w:val="1F81A723"/>
    <w:multiLevelType w:val="singleLevel"/>
    <w:tmpl w:val="1F81A723"/>
    <w:lvl w:ilvl="0" w:tentative="0">
      <w:start w:val="1"/>
      <w:numFmt w:val="decimal"/>
      <w:suff w:val="nothing"/>
      <w:lvlText w:val="%1、"/>
      <w:lvlJc w:val="left"/>
    </w:lvl>
  </w:abstractNum>
  <w:abstractNum w:abstractNumId="34">
    <w:nsid w:val="2B3368C6"/>
    <w:multiLevelType w:val="singleLevel"/>
    <w:tmpl w:val="2B3368C6"/>
    <w:lvl w:ilvl="0" w:tentative="0">
      <w:start w:val="1"/>
      <w:numFmt w:val="decimal"/>
      <w:suff w:val="nothing"/>
      <w:lvlText w:val="%1、"/>
      <w:lvlJc w:val="left"/>
    </w:lvl>
  </w:abstractNum>
  <w:abstractNum w:abstractNumId="35">
    <w:nsid w:val="4BB93D7B"/>
    <w:multiLevelType w:val="singleLevel"/>
    <w:tmpl w:val="4BB93D7B"/>
    <w:lvl w:ilvl="0" w:tentative="0">
      <w:start w:val="1"/>
      <w:numFmt w:val="decimal"/>
      <w:suff w:val="nothing"/>
      <w:lvlText w:val="%1、"/>
      <w:lvlJc w:val="left"/>
    </w:lvl>
  </w:abstractNum>
  <w:abstractNum w:abstractNumId="36">
    <w:nsid w:val="4E8101F6"/>
    <w:multiLevelType w:val="singleLevel"/>
    <w:tmpl w:val="4E8101F6"/>
    <w:lvl w:ilvl="0" w:tentative="0">
      <w:start w:val="1"/>
      <w:numFmt w:val="decimal"/>
      <w:suff w:val="nothing"/>
      <w:lvlText w:val="%1．"/>
      <w:lvlJc w:val="left"/>
      <w:pPr>
        <w:ind w:left="-420" w:firstLine="400"/>
      </w:pPr>
      <w:rPr>
        <w:rFonts w:hint="default"/>
      </w:rPr>
    </w:lvl>
  </w:abstractNum>
  <w:abstractNum w:abstractNumId="37">
    <w:nsid w:val="56F90942"/>
    <w:multiLevelType w:val="singleLevel"/>
    <w:tmpl w:val="56F90942"/>
    <w:lvl w:ilvl="0" w:tentative="0">
      <w:start w:val="1"/>
      <w:numFmt w:val="decimal"/>
      <w:suff w:val="nothing"/>
      <w:lvlText w:val="%1、"/>
      <w:lvlJc w:val="left"/>
    </w:lvl>
  </w:abstractNum>
  <w:abstractNum w:abstractNumId="38">
    <w:nsid w:val="5E160634"/>
    <w:multiLevelType w:val="singleLevel"/>
    <w:tmpl w:val="5E160634"/>
    <w:lvl w:ilvl="0" w:tentative="0">
      <w:start w:val="1"/>
      <w:numFmt w:val="decimal"/>
      <w:suff w:val="nothing"/>
      <w:lvlText w:val="%1、"/>
      <w:lvlJc w:val="left"/>
    </w:lvl>
  </w:abstractNum>
  <w:abstractNum w:abstractNumId="39">
    <w:nsid w:val="667011A9"/>
    <w:multiLevelType w:val="singleLevel"/>
    <w:tmpl w:val="667011A9"/>
    <w:lvl w:ilvl="0" w:tentative="0">
      <w:start w:val="1"/>
      <w:numFmt w:val="decimal"/>
      <w:suff w:val="nothing"/>
      <w:lvlText w:val="%1、"/>
      <w:lvlJc w:val="left"/>
    </w:lvl>
  </w:abstractNum>
  <w:abstractNum w:abstractNumId="40">
    <w:nsid w:val="6D54AB18"/>
    <w:multiLevelType w:val="singleLevel"/>
    <w:tmpl w:val="6D54AB18"/>
    <w:lvl w:ilvl="0" w:tentative="0">
      <w:start w:val="1"/>
      <w:numFmt w:val="decimal"/>
      <w:suff w:val="nothing"/>
      <w:lvlText w:val="%1、"/>
      <w:lvlJc w:val="left"/>
    </w:lvl>
  </w:abstractNum>
  <w:abstractNum w:abstractNumId="41">
    <w:nsid w:val="6E39D98C"/>
    <w:multiLevelType w:val="singleLevel"/>
    <w:tmpl w:val="6E39D98C"/>
    <w:lvl w:ilvl="0" w:tentative="0">
      <w:start w:val="1"/>
      <w:numFmt w:val="decimal"/>
      <w:suff w:val="nothing"/>
      <w:lvlText w:val="%1、"/>
      <w:lvlJc w:val="left"/>
    </w:lvl>
  </w:abstractNum>
  <w:abstractNum w:abstractNumId="42">
    <w:nsid w:val="723CF2E4"/>
    <w:multiLevelType w:val="singleLevel"/>
    <w:tmpl w:val="723CF2E4"/>
    <w:lvl w:ilvl="0" w:tentative="0">
      <w:start w:val="1"/>
      <w:numFmt w:val="decimal"/>
      <w:suff w:val="nothing"/>
      <w:lvlText w:val="（%1）"/>
      <w:lvlJc w:val="left"/>
    </w:lvl>
  </w:abstractNum>
  <w:abstractNum w:abstractNumId="43">
    <w:nsid w:val="7577A625"/>
    <w:multiLevelType w:val="singleLevel"/>
    <w:tmpl w:val="7577A625"/>
    <w:lvl w:ilvl="0" w:tentative="0">
      <w:start w:val="1"/>
      <w:numFmt w:val="decimal"/>
      <w:suff w:val="nothing"/>
      <w:lvlText w:val="%1、"/>
      <w:lvlJc w:val="left"/>
    </w:lvl>
  </w:abstractNum>
  <w:abstractNum w:abstractNumId="44">
    <w:nsid w:val="7BA334BE"/>
    <w:multiLevelType w:val="singleLevel"/>
    <w:tmpl w:val="7BA334BE"/>
    <w:lvl w:ilvl="0" w:tentative="0">
      <w:start w:val="1"/>
      <w:numFmt w:val="decimal"/>
      <w:suff w:val="nothing"/>
      <w:lvlText w:val="%1、"/>
      <w:lvlJc w:val="left"/>
    </w:lvl>
  </w:abstractNum>
  <w:abstractNum w:abstractNumId="45">
    <w:nsid w:val="7C664597"/>
    <w:multiLevelType w:val="singleLevel"/>
    <w:tmpl w:val="7C664597"/>
    <w:lvl w:ilvl="0" w:tentative="0">
      <w:start w:val="1"/>
      <w:numFmt w:val="decimal"/>
      <w:suff w:val="nothing"/>
      <w:lvlText w:val="%1、"/>
      <w:lvlJc w:val="left"/>
    </w:lvl>
  </w:abstractNum>
  <w:num w:numId="1">
    <w:abstractNumId w:val="36"/>
  </w:num>
  <w:num w:numId="2">
    <w:abstractNumId w:val="29"/>
  </w:num>
  <w:num w:numId="3">
    <w:abstractNumId w:val="19"/>
  </w:num>
  <w:num w:numId="4">
    <w:abstractNumId w:val="30"/>
  </w:num>
  <w:num w:numId="5">
    <w:abstractNumId w:val="11"/>
  </w:num>
  <w:num w:numId="6">
    <w:abstractNumId w:val="13"/>
  </w:num>
  <w:num w:numId="7">
    <w:abstractNumId w:val="35"/>
  </w:num>
  <w:num w:numId="8">
    <w:abstractNumId w:val="17"/>
  </w:num>
  <w:num w:numId="9">
    <w:abstractNumId w:val="25"/>
  </w:num>
  <w:num w:numId="10">
    <w:abstractNumId w:val="16"/>
  </w:num>
  <w:num w:numId="11">
    <w:abstractNumId w:val="31"/>
  </w:num>
  <w:num w:numId="12">
    <w:abstractNumId w:val="33"/>
  </w:num>
  <w:num w:numId="13">
    <w:abstractNumId w:val="6"/>
  </w:num>
  <w:num w:numId="14">
    <w:abstractNumId w:val="3"/>
  </w:num>
  <w:num w:numId="15">
    <w:abstractNumId w:val="42"/>
  </w:num>
  <w:num w:numId="16">
    <w:abstractNumId w:val="38"/>
  </w:num>
  <w:num w:numId="17">
    <w:abstractNumId w:val="26"/>
  </w:num>
  <w:num w:numId="18">
    <w:abstractNumId w:val="43"/>
  </w:num>
  <w:num w:numId="19">
    <w:abstractNumId w:val="39"/>
  </w:num>
  <w:num w:numId="20">
    <w:abstractNumId w:val="20"/>
  </w:num>
  <w:num w:numId="21">
    <w:abstractNumId w:val="4"/>
  </w:num>
  <w:num w:numId="22">
    <w:abstractNumId w:val="8"/>
  </w:num>
  <w:num w:numId="23">
    <w:abstractNumId w:val="28"/>
  </w:num>
  <w:num w:numId="24">
    <w:abstractNumId w:val="0"/>
  </w:num>
  <w:num w:numId="25">
    <w:abstractNumId w:val="12"/>
  </w:num>
  <w:num w:numId="26">
    <w:abstractNumId w:val="44"/>
  </w:num>
  <w:num w:numId="27">
    <w:abstractNumId w:val="5"/>
  </w:num>
  <w:num w:numId="28">
    <w:abstractNumId w:val="2"/>
  </w:num>
  <w:num w:numId="29">
    <w:abstractNumId w:val="14"/>
  </w:num>
  <w:num w:numId="30">
    <w:abstractNumId w:val="21"/>
  </w:num>
  <w:num w:numId="31">
    <w:abstractNumId w:val="24"/>
  </w:num>
  <w:num w:numId="32">
    <w:abstractNumId w:val="45"/>
  </w:num>
  <w:num w:numId="33">
    <w:abstractNumId w:val="40"/>
  </w:num>
  <w:num w:numId="34">
    <w:abstractNumId w:val="34"/>
  </w:num>
  <w:num w:numId="35">
    <w:abstractNumId w:val="1"/>
  </w:num>
  <w:num w:numId="36">
    <w:abstractNumId w:val="10"/>
  </w:num>
  <w:num w:numId="37">
    <w:abstractNumId w:val="27"/>
  </w:num>
  <w:num w:numId="38">
    <w:abstractNumId w:val="18"/>
  </w:num>
  <w:num w:numId="39">
    <w:abstractNumId w:val="37"/>
  </w:num>
  <w:num w:numId="40">
    <w:abstractNumId w:val="7"/>
  </w:num>
  <w:num w:numId="41">
    <w:abstractNumId w:val="41"/>
  </w:num>
  <w:num w:numId="42">
    <w:abstractNumId w:val="9"/>
  </w:num>
  <w:num w:numId="43">
    <w:abstractNumId w:val="15"/>
  </w:num>
  <w:num w:numId="44">
    <w:abstractNumId w:val="22"/>
  </w:num>
  <w:num w:numId="45">
    <w:abstractNumId w:val="23"/>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dit="readOnly" w:enforcement="1"/>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mMmYzNGQ5MGVmYmRkNTIwMWM1NDNjNTZjZDYzODgifQ=="/>
  </w:docVars>
  <w:rsids>
    <w:rsidRoot w:val="2E2C3DD3"/>
    <w:rsid w:val="006E4A75"/>
    <w:rsid w:val="009A38D5"/>
    <w:rsid w:val="010231DA"/>
    <w:rsid w:val="01401F29"/>
    <w:rsid w:val="015C30F1"/>
    <w:rsid w:val="01CA5884"/>
    <w:rsid w:val="02102371"/>
    <w:rsid w:val="02187410"/>
    <w:rsid w:val="0283164C"/>
    <w:rsid w:val="029F64F4"/>
    <w:rsid w:val="02EF77E1"/>
    <w:rsid w:val="03177891"/>
    <w:rsid w:val="03356BE7"/>
    <w:rsid w:val="03660724"/>
    <w:rsid w:val="043C4DC3"/>
    <w:rsid w:val="04B0375D"/>
    <w:rsid w:val="04DB3BD2"/>
    <w:rsid w:val="051739D5"/>
    <w:rsid w:val="05285504"/>
    <w:rsid w:val="054D7031"/>
    <w:rsid w:val="055243F0"/>
    <w:rsid w:val="05802F92"/>
    <w:rsid w:val="05AC3DD4"/>
    <w:rsid w:val="05EB2256"/>
    <w:rsid w:val="06E149DD"/>
    <w:rsid w:val="06FF469E"/>
    <w:rsid w:val="07195BD1"/>
    <w:rsid w:val="072C35BF"/>
    <w:rsid w:val="0763106A"/>
    <w:rsid w:val="077E4B33"/>
    <w:rsid w:val="07C4566C"/>
    <w:rsid w:val="08855808"/>
    <w:rsid w:val="08866CD4"/>
    <w:rsid w:val="08EF312E"/>
    <w:rsid w:val="095B3E20"/>
    <w:rsid w:val="09C94D34"/>
    <w:rsid w:val="09EE6D21"/>
    <w:rsid w:val="0A7C7161"/>
    <w:rsid w:val="0B0A7575"/>
    <w:rsid w:val="0B1A34B3"/>
    <w:rsid w:val="0B394BAD"/>
    <w:rsid w:val="0B847343"/>
    <w:rsid w:val="0BF96E40"/>
    <w:rsid w:val="0CA352C8"/>
    <w:rsid w:val="0CAE4EF7"/>
    <w:rsid w:val="0D3949A7"/>
    <w:rsid w:val="0DC519B0"/>
    <w:rsid w:val="0E672CFC"/>
    <w:rsid w:val="0E6D56BD"/>
    <w:rsid w:val="0F484B0E"/>
    <w:rsid w:val="0F5F0539"/>
    <w:rsid w:val="0F62105B"/>
    <w:rsid w:val="0FDB5463"/>
    <w:rsid w:val="106C1484"/>
    <w:rsid w:val="10755C1C"/>
    <w:rsid w:val="111953F3"/>
    <w:rsid w:val="113A6976"/>
    <w:rsid w:val="11550379"/>
    <w:rsid w:val="115A59EC"/>
    <w:rsid w:val="11991EA3"/>
    <w:rsid w:val="11A15511"/>
    <w:rsid w:val="11F755A9"/>
    <w:rsid w:val="12680DC7"/>
    <w:rsid w:val="126A634C"/>
    <w:rsid w:val="12BF503A"/>
    <w:rsid w:val="12D41759"/>
    <w:rsid w:val="13D75170"/>
    <w:rsid w:val="13DF14C8"/>
    <w:rsid w:val="14022BB7"/>
    <w:rsid w:val="147579F4"/>
    <w:rsid w:val="14776FC7"/>
    <w:rsid w:val="149C7F76"/>
    <w:rsid w:val="152F20C8"/>
    <w:rsid w:val="15AA1A3A"/>
    <w:rsid w:val="15C527C6"/>
    <w:rsid w:val="15FB759E"/>
    <w:rsid w:val="16463771"/>
    <w:rsid w:val="18393AE9"/>
    <w:rsid w:val="18447CC1"/>
    <w:rsid w:val="185815FC"/>
    <w:rsid w:val="1891116A"/>
    <w:rsid w:val="18A46E00"/>
    <w:rsid w:val="18B21968"/>
    <w:rsid w:val="1A2D2445"/>
    <w:rsid w:val="1B672F1C"/>
    <w:rsid w:val="1B826DBB"/>
    <w:rsid w:val="1BBD4D13"/>
    <w:rsid w:val="1BC4020E"/>
    <w:rsid w:val="1D0609AB"/>
    <w:rsid w:val="1D370E0E"/>
    <w:rsid w:val="1DDB3163"/>
    <w:rsid w:val="1E217DB0"/>
    <w:rsid w:val="1E471419"/>
    <w:rsid w:val="1EF51313"/>
    <w:rsid w:val="1F0A62C2"/>
    <w:rsid w:val="1FB31A39"/>
    <w:rsid w:val="1FB61136"/>
    <w:rsid w:val="1FB7573A"/>
    <w:rsid w:val="1FCF1C84"/>
    <w:rsid w:val="1FEC48D3"/>
    <w:rsid w:val="201E4F66"/>
    <w:rsid w:val="2031368A"/>
    <w:rsid w:val="20773142"/>
    <w:rsid w:val="21B56177"/>
    <w:rsid w:val="21B81E64"/>
    <w:rsid w:val="22923234"/>
    <w:rsid w:val="23742929"/>
    <w:rsid w:val="23F703F3"/>
    <w:rsid w:val="245944D3"/>
    <w:rsid w:val="247D16C3"/>
    <w:rsid w:val="24E404DB"/>
    <w:rsid w:val="24E5185B"/>
    <w:rsid w:val="250E7D6B"/>
    <w:rsid w:val="27C937C5"/>
    <w:rsid w:val="282C212D"/>
    <w:rsid w:val="28387426"/>
    <w:rsid w:val="285E221A"/>
    <w:rsid w:val="28990348"/>
    <w:rsid w:val="28B95A56"/>
    <w:rsid w:val="28E6062C"/>
    <w:rsid w:val="28F05539"/>
    <w:rsid w:val="290D0BF1"/>
    <w:rsid w:val="291E3029"/>
    <w:rsid w:val="293D155D"/>
    <w:rsid w:val="296E052C"/>
    <w:rsid w:val="29943409"/>
    <w:rsid w:val="29E103B9"/>
    <w:rsid w:val="2A073DB4"/>
    <w:rsid w:val="2A7A15B5"/>
    <w:rsid w:val="2AFB244B"/>
    <w:rsid w:val="2B3D303A"/>
    <w:rsid w:val="2B4B6FC9"/>
    <w:rsid w:val="2B5D0537"/>
    <w:rsid w:val="2BA33FB6"/>
    <w:rsid w:val="2C4214B4"/>
    <w:rsid w:val="2C5170C8"/>
    <w:rsid w:val="2D440E37"/>
    <w:rsid w:val="2D9A6EBF"/>
    <w:rsid w:val="2DD6224C"/>
    <w:rsid w:val="2DDD7B4F"/>
    <w:rsid w:val="2DF853FF"/>
    <w:rsid w:val="2E2C3DD3"/>
    <w:rsid w:val="2E6C11EB"/>
    <w:rsid w:val="2EB77DF6"/>
    <w:rsid w:val="2EC63537"/>
    <w:rsid w:val="2F965679"/>
    <w:rsid w:val="2FCA48D0"/>
    <w:rsid w:val="2FE46B6B"/>
    <w:rsid w:val="303C312D"/>
    <w:rsid w:val="30895640"/>
    <w:rsid w:val="30DD39BD"/>
    <w:rsid w:val="30E5485D"/>
    <w:rsid w:val="319B0429"/>
    <w:rsid w:val="320B4ABA"/>
    <w:rsid w:val="322C0806"/>
    <w:rsid w:val="33017EB7"/>
    <w:rsid w:val="33B7167A"/>
    <w:rsid w:val="33E867C1"/>
    <w:rsid w:val="344F7093"/>
    <w:rsid w:val="348E2B6D"/>
    <w:rsid w:val="34AE4BBC"/>
    <w:rsid w:val="351132D2"/>
    <w:rsid w:val="351949F4"/>
    <w:rsid w:val="35250E70"/>
    <w:rsid w:val="35805FBD"/>
    <w:rsid w:val="36104B4D"/>
    <w:rsid w:val="36765C17"/>
    <w:rsid w:val="36A719B4"/>
    <w:rsid w:val="372462E9"/>
    <w:rsid w:val="37E17B2F"/>
    <w:rsid w:val="38945C89"/>
    <w:rsid w:val="38E84658"/>
    <w:rsid w:val="38F4259E"/>
    <w:rsid w:val="392A1D9D"/>
    <w:rsid w:val="396C7975"/>
    <w:rsid w:val="397367D6"/>
    <w:rsid w:val="3AAD6032"/>
    <w:rsid w:val="3AC3146A"/>
    <w:rsid w:val="3B9E2CAA"/>
    <w:rsid w:val="3C991E3C"/>
    <w:rsid w:val="3C9B451D"/>
    <w:rsid w:val="3CA30C52"/>
    <w:rsid w:val="3CB50608"/>
    <w:rsid w:val="3CE755A4"/>
    <w:rsid w:val="3D661D5A"/>
    <w:rsid w:val="3DB21EBE"/>
    <w:rsid w:val="3DF20648"/>
    <w:rsid w:val="3DFB0B50"/>
    <w:rsid w:val="3E3B6289"/>
    <w:rsid w:val="3EA31A55"/>
    <w:rsid w:val="3EC9619E"/>
    <w:rsid w:val="3EF01445"/>
    <w:rsid w:val="3F5F5834"/>
    <w:rsid w:val="3FCD1C2B"/>
    <w:rsid w:val="40785C05"/>
    <w:rsid w:val="4079794B"/>
    <w:rsid w:val="409B6338"/>
    <w:rsid w:val="40EB6CC9"/>
    <w:rsid w:val="41294A90"/>
    <w:rsid w:val="43334EEF"/>
    <w:rsid w:val="434A29F1"/>
    <w:rsid w:val="43522746"/>
    <w:rsid w:val="435C06C8"/>
    <w:rsid w:val="443A3867"/>
    <w:rsid w:val="453A7E7F"/>
    <w:rsid w:val="46843AFA"/>
    <w:rsid w:val="46884719"/>
    <w:rsid w:val="468C1965"/>
    <w:rsid w:val="46CF1339"/>
    <w:rsid w:val="46DF4B55"/>
    <w:rsid w:val="46F65662"/>
    <w:rsid w:val="47065730"/>
    <w:rsid w:val="479F3DCC"/>
    <w:rsid w:val="48101A35"/>
    <w:rsid w:val="481C5279"/>
    <w:rsid w:val="48434B52"/>
    <w:rsid w:val="48646E74"/>
    <w:rsid w:val="48914E24"/>
    <w:rsid w:val="48E80FAD"/>
    <w:rsid w:val="493C635A"/>
    <w:rsid w:val="49707490"/>
    <w:rsid w:val="49DC700C"/>
    <w:rsid w:val="4A427C3C"/>
    <w:rsid w:val="4B083F9D"/>
    <w:rsid w:val="4B0D3B54"/>
    <w:rsid w:val="4B2577DC"/>
    <w:rsid w:val="4B353936"/>
    <w:rsid w:val="4B867F1B"/>
    <w:rsid w:val="4C3F500A"/>
    <w:rsid w:val="4C61236B"/>
    <w:rsid w:val="4CA35CD3"/>
    <w:rsid w:val="4D3D52BC"/>
    <w:rsid w:val="4D8C1637"/>
    <w:rsid w:val="4DA81F90"/>
    <w:rsid w:val="4E29621A"/>
    <w:rsid w:val="4ECE1F10"/>
    <w:rsid w:val="4EED6DBC"/>
    <w:rsid w:val="4EF010F5"/>
    <w:rsid w:val="4F4A5824"/>
    <w:rsid w:val="4F7464BD"/>
    <w:rsid w:val="4F796EC4"/>
    <w:rsid w:val="500043A0"/>
    <w:rsid w:val="50571691"/>
    <w:rsid w:val="50BF59D5"/>
    <w:rsid w:val="50D25B2A"/>
    <w:rsid w:val="5170369B"/>
    <w:rsid w:val="519A482B"/>
    <w:rsid w:val="51C74B73"/>
    <w:rsid w:val="523A332C"/>
    <w:rsid w:val="52676903"/>
    <w:rsid w:val="52BA1244"/>
    <w:rsid w:val="52D162E8"/>
    <w:rsid w:val="54782AA9"/>
    <w:rsid w:val="550C2AB7"/>
    <w:rsid w:val="55E24B7D"/>
    <w:rsid w:val="561E2EAD"/>
    <w:rsid w:val="562D69E6"/>
    <w:rsid w:val="570D360E"/>
    <w:rsid w:val="571D0437"/>
    <w:rsid w:val="572220E7"/>
    <w:rsid w:val="57393EFE"/>
    <w:rsid w:val="574F6340"/>
    <w:rsid w:val="57B633D4"/>
    <w:rsid w:val="58772CD6"/>
    <w:rsid w:val="58903760"/>
    <w:rsid w:val="58CD71C1"/>
    <w:rsid w:val="59063104"/>
    <w:rsid w:val="59E116B6"/>
    <w:rsid w:val="5A0111DD"/>
    <w:rsid w:val="5A022E85"/>
    <w:rsid w:val="5A5B6AF3"/>
    <w:rsid w:val="5AAA7BA6"/>
    <w:rsid w:val="5AAB0D5F"/>
    <w:rsid w:val="5AE10980"/>
    <w:rsid w:val="5AF56CB6"/>
    <w:rsid w:val="5B590A8C"/>
    <w:rsid w:val="5BDD3749"/>
    <w:rsid w:val="5BE660E2"/>
    <w:rsid w:val="5C2257C5"/>
    <w:rsid w:val="5C9D3707"/>
    <w:rsid w:val="5DB17B79"/>
    <w:rsid w:val="5E041492"/>
    <w:rsid w:val="5E5926DA"/>
    <w:rsid w:val="5EDE0B28"/>
    <w:rsid w:val="5F4905DE"/>
    <w:rsid w:val="5F8B5CA8"/>
    <w:rsid w:val="60CA1BD7"/>
    <w:rsid w:val="60F610BE"/>
    <w:rsid w:val="610C7FDA"/>
    <w:rsid w:val="61AE3561"/>
    <w:rsid w:val="62444A13"/>
    <w:rsid w:val="626A55FF"/>
    <w:rsid w:val="637A68D2"/>
    <w:rsid w:val="63F5137E"/>
    <w:rsid w:val="641F5912"/>
    <w:rsid w:val="645275D6"/>
    <w:rsid w:val="645A689B"/>
    <w:rsid w:val="65490998"/>
    <w:rsid w:val="656D2F29"/>
    <w:rsid w:val="665629C0"/>
    <w:rsid w:val="668A6AFB"/>
    <w:rsid w:val="66E86ADC"/>
    <w:rsid w:val="66FA4B41"/>
    <w:rsid w:val="677100F3"/>
    <w:rsid w:val="68297BED"/>
    <w:rsid w:val="68D8170E"/>
    <w:rsid w:val="69324FB0"/>
    <w:rsid w:val="69456E40"/>
    <w:rsid w:val="69490B10"/>
    <w:rsid w:val="6AD55F8D"/>
    <w:rsid w:val="6AD71004"/>
    <w:rsid w:val="6AFD3D42"/>
    <w:rsid w:val="6B3742AD"/>
    <w:rsid w:val="6C3E286A"/>
    <w:rsid w:val="6C5067D3"/>
    <w:rsid w:val="6C941E98"/>
    <w:rsid w:val="6CBA31DB"/>
    <w:rsid w:val="6D4B5FFD"/>
    <w:rsid w:val="6D4D1D7C"/>
    <w:rsid w:val="6DAD02FE"/>
    <w:rsid w:val="6E4E1AA4"/>
    <w:rsid w:val="6E6F0675"/>
    <w:rsid w:val="6F256CCB"/>
    <w:rsid w:val="6F2C5D9F"/>
    <w:rsid w:val="6FA36245"/>
    <w:rsid w:val="6FB736F2"/>
    <w:rsid w:val="6FF34E38"/>
    <w:rsid w:val="706D1347"/>
    <w:rsid w:val="70B64968"/>
    <w:rsid w:val="71752909"/>
    <w:rsid w:val="72360CB8"/>
    <w:rsid w:val="72831DD0"/>
    <w:rsid w:val="732B70FF"/>
    <w:rsid w:val="73CB234B"/>
    <w:rsid w:val="73D75D81"/>
    <w:rsid w:val="73EB753D"/>
    <w:rsid w:val="74620891"/>
    <w:rsid w:val="74A967C7"/>
    <w:rsid w:val="74B91E5B"/>
    <w:rsid w:val="74C4456A"/>
    <w:rsid w:val="74F526C3"/>
    <w:rsid w:val="751021ED"/>
    <w:rsid w:val="75195E6E"/>
    <w:rsid w:val="758F1AFF"/>
    <w:rsid w:val="75F40C85"/>
    <w:rsid w:val="769F3BDF"/>
    <w:rsid w:val="77013E66"/>
    <w:rsid w:val="77D13C43"/>
    <w:rsid w:val="783E6F69"/>
    <w:rsid w:val="788662E4"/>
    <w:rsid w:val="78EF61E9"/>
    <w:rsid w:val="7A2F73CA"/>
    <w:rsid w:val="7A635FC7"/>
    <w:rsid w:val="7A6B3727"/>
    <w:rsid w:val="7A9910B5"/>
    <w:rsid w:val="7AB20CC9"/>
    <w:rsid w:val="7BE002FC"/>
    <w:rsid w:val="7C040A87"/>
    <w:rsid w:val="7CC65DFA"/>
    <w:rsid w:val="7CD2622D"/>
    <w:rsid w:val="7D1823F7"/>
    <w:rsid w:val="7D4F0BEF"/>
    <w:rsid w:val="7DB90826"/>
    <w:rsid w:val="7E0432CA"/>
    <w:rsid w:val="7E545C03"/>
    <w:rsid w:val="7F0D3312"/>
    <w:rsid w:val="7F176DB8"/>
    <w:rsid w:val="7F5561DD"/>
    <w:rsid w:val="7FCB6A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4795</Words>
  <Characters>7251</Characters>
  <Lines>0</Lines>
  <Paragraphs>0</Paragraphs>
  <TotalTime>0</TotalTime>
  <ScaleCrop>false</ScaleCrop>
  <LinksUpToDate>false</LinksUpToDate>
  <CharactersWithSpaces>7313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2016-03-16T03:09:00Z</dcterms:created>
  <dc:creator>QA1</dc:creator>
  <cp:lastModifiedBy>莫小张</cp:lastModifiedBy>
  <cp:lastPrinted>2026-06-15T07:59:00Z</cp:lastPrinted>
  <dcterms:modified xsi:type="dcterms:W3CDTF">2026-08-18T13:42:42Z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B1075AA54B5A40A7A25FC40CB9306FF5_13</vt:lpwstr>
  </property>
</Properties>
</file>