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宋体"/>
          <w:b/>
          <w:sz w:val="40"/>
        </w:rPr>
        <w:t>偏差报告</w:t>
      </w:r>
    </w:p>
    <w:p>
      <w:pPr>
        <w:spacing w:line="360" w:lineRule="auto"/>
        <w:jc w:val="both"/>
      </w:pPr>
      <w:r>
        <w:rPr>
          <w:rFonts w:ascii="Times New Roman" w:hAnsi="Times New Roman" w:eastAsia="宋体"/>
          <w:b/>
          <w:sz w:val="24"/>
        </w:rPr>
        <w:t>1 总结概述 Executive Summary</w:t>
      </w:r>
    </w:p>
    <w:p>
      <w:pPr>
        <w:spacing w:line="360" w:lineRule="auto"/>
        <w:jc w:val="both"/>
      </w:pPr>
      <w:r>
        <w:rPr>
          <w:rFonts w:ascii="Times New Roman" w:hAnsi="Times New Roman" w:eastAsia="宋体"/>
          <w:b/>
          <w:sz w:val="24"/>
        </w:rPr>
        <w:t>1.1 偏差描述</w:t>
      </w:r>
    </w:p>
    <w:p>
      <w:pPr>
        <w:spacing w:line="360" w:lineRule="auto"/>
        <w:ind w:firstLine="480"/>
        <w:jc w:val="both"/>
      </w:pPr>
      <w:r>
        <w:rPr>
          <w:rFonts w:ascii="Times New Roman" w:hAnsi="Times New Roman" w:eastAsia="宋体"/>
          <w:b w:val="0"/>
          <w:sz w:val="24"/>
        </w:rPr>
        <w:t>&lt;think&gt;The user wants me to extract information from a deviation report and output it in a specific JSON format. Let me analyze the deviation report and extract the relevant information.</w:t>
        <w:br/>
        <w:br/>
        <w:t>The deviation report is about a pH value measurement deviation for injection water (批号: W20260610). Let me extract the key information:</w:t>
        <w:br/>
        <w:br/>
        <w:t>1. 偏差描述: 2026年6月10日，质量控制部检验人员在按照SOP-C003010-03《pH值测定法标准操作规程》对注射用水（批号：W20260610）进行pH值测定时，发现该批次注射用水的pH值检测结果为6.82，超出《中国药典》2025版规定的注射用水pH值范围（5.0～7.0）的上限附近临界值。经复核确认，测定结果为6.82，虽未超出规定上限，但与标准缓冲液核对误差达到0.05pH单位，超过SOP规定的±0.02pH单位误差要求，因此判定本次pH值测定结果不可信，属于偏差。</w:t>
        <w:br/>
        <w:br/>
        <w:t>2. 根本原因: 经调查，本次偏差的根本原因为：检验人员在pH值测定前进行酸度计校正时，选用磷酸盐标准缓冲液（pH=6.86）和硼砂标准缓冲液（pH=9.18）进行两点校正，校正斜率为92.3%，低于SOP规定的97%～103%范围要求。由于斜率偏低，导致仪器在6.86附近的pH值响应存在系统性偏差，使得测定结果误差增大。</w:t>
        <w:br/>
        <w:t xml:space="preserve"> </w:t>
        <w:br/>
        <w:t>I'll focus on the corrective and preventive actions to address the pH measurement deviation. The team will immediately re-sample and test the injection water batch, ensuring the pH meter meets calibration standards. They'll recalibrate the specific pH meter using three standard buffer solutions, verifying the slope falls within the 97%～103% range. Additionally, they'll update the standard operating procedure to include more rigorous calibration requirements for pH measurement.</w:t>
        <w:br/>
        <w:br/>
        <w:t>The detection method follows strict protocols outlined in SOP-C003010-03, using a precise pH meter with glass and silver-silver chloride electrodes. They'll carefully control the sample solution temperature between 25±2℃, ensuring accurate pH measurement for the injection water batch.</w:t>
        <w:br/>
        <w:br/>
        <w:t>The solution preparation involves direct testing of injection water, using newly boiled and cooled purified water with a pH range of 5.5～7.0. Standard buffer solutions include phosphate and borax buffers, carefully selected to calibrate the pH meter.</w:t>
        <w:br/>
        <w:br/>
        <w:t>Detection results reveal a significant deviation: the phosphate buffer calibration shows a measurement error of +0.05 pH units, exceeding the acceptable ±0.02 range. The calibration slope of 92.3% falls below the required 97%～103% standard, with a drift value of -18mV within acceptable limits. The injection water pH measurement is recorded at 6.82 at 25.1℃.</w:t>
        <w:br/>
        <w:br/>
        <w:t>Initial analysis points to potential causes including low pH meter calibration slope, possible electrode aging or contamination, and potential deviations in standard operating procedures during calibration process.</w:t>
        <w:br/>
        <w:br/>
        <w:t>Detailed investigation uncovered the root cause: the pH composite electrode had been in use for approximately 10 months, exceeding the recommended replacement cycle. New electrode calibration with standard buffer solutions (pH 4.01, 6.86, 9.18) demonstrated a slope of 99.1%, confirming the electrode's degraded performance.</w:t>
        <w:br/>
        <w:br/>
        <w:t>The deviation's impact reveals critical quality concerns. While the actual pH might be lower than 6.82, the measurement remains within acceptable ranges (6.77～6.82). However, the unreliable result necessitates retesting before batch release. Nearby batches W20260609 and W20260611 showed acceptable pH values after retesting, with no systemic issues detected.</w:t>
        <w:br/>
        <w:br/>
        <w:t>The investigation concluded that prolonged electrode use was the primary root cause, triggering corrective actions to prevent future measurement uncertainties.</w:t>
        <w:br/>
        <w:br/>
        <w:t>The proposed corrective and preventive actions include:</w:t>
        <w:br/>
        <w:t>1. Re-sampling using a calibrated pH meter</w:t>
        <w:br/>
        <w:t>2. Replacing the pH electrode</w:t>
        <w:br/>
        <w:t>3. Revising standard operating procedures</w:t>
        <w:br/>
        <w:t>4. Conducting comprehensive staff training</w:t>
        <w:br/>
        <w:br/>
        <w:t>The deviation report has been processed, with all key details extracted and formatted into a structured JSON report.</w:t>
        <w:br/>
        <w:t>&lt;/think&gt;</w:t>
        <w:br/>
        <w:br/>
        <w:t>{</w:t>
        <w:br/>
        <w:t xml:space="preserve">    "偏差描述": "2026年6月10日，质量控制部检验人员在按照SOP-C003010-03《pH值测定法标准操作规程》对注射用水（批号：W20260610）进行pH值测定时，发现该批次注射用水的pH值检测结果为6.82，超出《中国药典》2025版规定的注射用水pH值范围（5.0～7.0）的上限附近临界值。经复核确认，测定结果为6.82，虽未超出规定上限，但与标准缓冲液核对误差达到0.05pH单位，超过SOP规定的±0.02pH单位误差要求，因此判定本次pH值测定结果不可信，属于偏差。",</w:t>
        <w:br/>
        <w:t xml:space="preserve">    "根本原因": "酸度计PH-2026-003的pH复合电极使用时间过长（约10个月），电极响应性能下降，导致校正斜率偏低（92.3%），低于SOP规定的97%～103%范围要求。检验人员在校正发现斜率偏低时，未按SOP要求停止检测并重新校正至符合要求，而是继续使用该仪器进行检测，属于人员操作不当叠加设备性能下降的双重因素。",</w:t>
        <w:br/>
        <w:t xml:space="preserve">    "纠正预防措施": [</w:t>
        <w:br/>
        <w:t xml:space="preserve">        "立即对该批次注射用水进行重新取样和重新检测，使用校正合格的酸度计进行pH值测定，确保结果准确可靠",</w:t>
        <w:br/>
        <w:t xml:space="preserve">        "对该批次酸度计（编号：PH-2026-003）进行重新校正，选用三种标准缓冲液（pH=4.01、6.86、9.18）进行校正和验证，确保斜率在97%～103%范围内",</w:t>
        <w:br/>
        <w:t xml:space="preserve">        "修订SOP-C003010-03相关条款，明确要求pH值测定前必须使用三种标准缓冲液进行校正和验证，确保校正斜率符合要求后方可进行样品检测",</w:t>
        <w:br/>
        <w:t xml:space="preserve">        "对质量控制部全体检验人员进行pH值测定操作规程的再培训，重点强化酸度计校正流程和斜率判定标准，培训完成后进行考核"</w:t>
        <w:br/>
        <w:t xml:space="preserve">    ],</w:t>
        <w:br/>
        <w:t xml:space="preserve">    "检测方法": "依据SOP-C003010-03《pH值测定法标准操作规程》（版本03，生效日期2026-03-25）及《中国药典》2025版四部0631 pH值测定法。检测方法为：以玻璃电极为指示电极、银-氯化银电极为参比电极，使用酸度计（型号：PHS-3C，编号：PH-2026-003）测定注射用水的pH值。供试品溶液温度控制在25±2℃，先以两种标准缓冲液对仪器进行校正定位，再测定供试品溶液pH值并记录打印。",</w:t>
        <w:br/>
        <w:t xml:space="preserve">    "溶液制备过程": "注射用水（批号：W20260610）为直接检测项目，无需配制供试品溶液。检测用水为新沸过并放冷的纯化水（pH值5.5～7.0）。标准缓冲液：选用磷酸盐标准缓冲液（pH=6.86，25℃）和硼砂标准缓冲液（pH=9.18，25℃）进行校正，均为市售标准缓冲液（有效期至2026-12），外观清澈无浑浊。",</w:t>
        <w:br/>
        <w:t xml:space="preserve">    "检测结果": "酸度计校正数据：磷酸盐标准缓冲液定位（pH=6.86），校正后测定硼砂标准缓冲液，测定值9.23，理论值9.18，误差+0.05pH单位，超过±0.02pH单位要求；校正斜率92.3%，低于97%～103%要求；漂移值-18mV，在-30mV～+30mV范围内。注射用水pH值测定结果：6.82（温度25.1℃）。",</w:t>
        <w:br/>
        <w:t xml:space="preserve">    "初步原因分析": "初步分析认为偏差可能由以下原因导致：（1）酸度计校正斜率偏低（92.3%），仪器响应存在偏差；（2）电极可能存在老化或污染，导致斜率不符合要求；（3）检验人员在校正过程中可能未严格按SOP执行斜率调节操作，当斜率偏低时应调节斜率并重新校正至符合要求。",</w:t>
        <w:br/>
        <w:t xml:space="preserve">    "深入调查": "对酸度计PH-2026-003进行详细调查：（1）检查电极外观：玻璃电极球泡完整无破损，甘汞电极内饱和氯化钾溶液充足，未见气泡；（2）核实电极使用记录：该电极自2025年8月起使用，已连续使用约10个月，超过一般推荐更换周期（6～8个月）；（3）重新校正测试：使用新电极进行三种标准缓冲液校正（pH=4.01、6.86、9.18），斜率为99.1%，符合97%～103%要求，验证缓冲液核对误差为0.01pH单位，符合要求。由此确认原电极因使用时间过长导致响应性能下降，斜率偏低是本次偏差的直接原因。",</w:t>
        <w:br/>
        <w:t xml:space="preserve">    "对目前批次产品质量的影响": "本次偏差涉及的注射用水（批号：W20260610）pH值测定结果6.82不可信。由于校正斜率偏低，实际pH值可能低于6.82，但无法确认精确偏差幅度。注射用水pH值标准为5.0～7.0，考虑仪器偏差方向（斜率偏低使测定值偏高），实际pH值可能在6.77～6.82范围内，仍在合格范围内。但鉴于测定结果不可信，该批次注射用水pH值项目需重新检测后方可判定合格。",</w:t>
        <w:br/>
        <w:t xml:space="preserve">    "对相邻批次质量的影响": "经排查，与W20260610批次相邻的注射用水批次W20260609和W20260611均使用同一酸度计PH-2026-003进行pH值检测。经重新取样检测，W20260609批次pH值为6.78（重测），W20260611批次pH值为6.75（重测），均在5.0～7.0范围内，且校正斜率合格，确认相邻批次不受影响。",</w:t>
        <w:br/>
        <w:t xml:space="preserve">    "对其他产品质量或系统的影响": "本次偏差仅涉及注射用水pH值检测，不影响其他产品或系统。酸度计PH-2026-003仅用于注射用水和纯化水pH值检测，已对该仪器近期所有检测结果进行回顾性审核，未发现其他异常。",</w:t>
        <w:br/>
        <w:t xml:space="preserve">    "历史偏差": "回顾过去6个月（2025年12月至2026年6月）偏差记录，未发现与pH值测定相关的重复性偏差。本次偏差为首次发生此类问题。",</w:t>
        <w:br/>
        <w:t xml:space="preserve">    "其他影响": "本次偏差对客户无直接影响。注射用水复验期不受影响（重新检测合格后可正常使用）。稳定性研究不受影响（pH值为常规检测项目，非稳定性重点考察项目）。该酸度计的计量检定证书（有效期至2026年8月）仍有效，验证/确认状态不受影响，但需更换电极后重新确认仪器性能。",</w:t>
        <w:br/>
        <w:t xml:space="preserve">    "调查结论": "本次偏差的根本原因为酸度计PH-2026-003的pH复合电极使用时间过长（约10个月），电极响应性能下降，导致校正斜率偏低（92.3%），低于SOP规定的97%～103%范围要求。检验人员在校正发现斜率偏低时，未按SOP要求停止检测并重新校正至符合要求，而是继续使用该仪器进行检测，属于人员操作不当叠加设备性能下降的双重因素。",</w:t>
        <w:br/>
        <w:t xml:space="preserve">    "根本原因类别": ["校验/预防维修", "人员失误"],</w:t>
        <w:br/>
        <w:t xml:space="preserve">    "CA_PA措施": [</w:t>
        <w:br/>
        <w:t xml:space="preserve">        {"措施": "立即对注射用水（批号：W20260610）重新取样检测，使用校正合格的酸度计和新电极进行pH值测定", "说明": "已完成重新取样检测，pH值结果为6.79（合格），该批次注射用水可放行"},</w:t>
        <w:br/>
        <w:t xml:space="preserve">        {"措施": "更换酸度计PH-2026-003的pH复合电极，使用新电极重新进行三种标准缓冲液校正验证", "说明": "已完成电极更换和仪器校正，新电极斜率99.1%，验证误差0.01pH单位，仪器恢复正常"},</w:t>
        <w:br/>
        <w:t xml:space="preserve">        {"措施": "修订SOP-C003010-03，增加\"校正斜率不合格时禁止进行样品检测\"的明确要求，并将默认校正方式改为三种标准缓冲液校正", "说明": "SOP修订草案已完成，待QA审核批准"},</w:t>
        <w:br/>
        <w:t xml:space="preserve">        {"措施": "对质量控制部全体检验人员进行pH值测定操作规程再培训及考核", "说明": "培训计划已制定，预计2026年6月20日前完成"}</w:t>
        <w:br/>
        <w:t xml:space="preserve">    ]</w:t>
        <w:br/>
        <w:t>}</w:t>
      </w:r>
    </w:p>
    <w:p>
      <w:pPr>
        <w:spacing w:line="360" w:lineRule="auto"/>
        <w:jc w:val="both"/>
      </w:pPr>
      <w:r>
        <w:rPr>
          <w:rFonts w:ascii="Times New Roman" w:hAnsi="Times New Roman" w:eastAsia="宋体"/>
          <w:b/>
          <w:sz w:val="24"/>
        </w:rPr>
        <w:t>1.2 根本原因</w:t>
      </w:r>
    </w:p>
    <w:p>
      <w:pPr>
        <w:spacing w:line="360" w:lineRule="auto"/>
        <w:ind w:firstLine="480"/>
        <w:jc w:val="both"/>
      </w:pPr>
      <w:r>
        <w:rPr>
          <w:rFonts w:ascii="Times New Roman" w:hAnsi="Times New Roman" w:eastAsia="宋体"/>
          <w:b w:val="0"/>
          <w:sz w:val="24"/>
        </w:rPr>
      </w:r>
    </w:p>
    <w:p>
      <w:pPr>
        <w:spacing w:line="360" w:lineRule="auto"/>
        <w:jc w:val="both"/>
      </w:pPr>
      <w:r>
        <w:rPr>
          <w:rFonts w:ascii="Times New Roman" w:hAnsi="Times New Roman" w:eastAsia="宋体"/>
          <w:b/>
          <w:sz w:val="24"/>
        </w:rPr>
        <w:t>1.3 纠正预防措施</w:t>
      </w:r>
    </w:p>
    <w:p>
      <w:pPr>
        <w:spacing w:line="360" w:lineRule="auto"/>
        <w:ind w:firstLine="480"/>
        <w:jc w:val="both"/>
      </w:pPr>
      <w:r>
        <w:rPr>
          <w:rFonts w:ascii="Times New Roman" w:hAnsi="Times New Roman" w:eastAsia="宋体"/>
          <w:b w:val="0"/>
          <w:sz w:val="24"/>
        </w:rPr>
        <w:t>1）</w:t>
      </w:r>
    </w:p>
    <w:p>
      <w:pPr>
        <w:spacing w:line="360" w:lineRule="auto"/>
        <w:ind w:firstLine="480"/>
        <w:jc w:val="both"/>
      </w:pPr>
      <w:r>
        <w:rPr>
          <w:rFonts w:ascii="Times New Roman" w:hAnsi="Times New Roman" w:eastAsia="宋体"/>
          <w:b w:val="0"/>
          <w:sz w:val="24"/>
        </w:rPr>
        <w:t>2）</w:t>
      </w:r>
    </w:p>
    <w:p>
      <w:pPr>
        <w:spacing w:line="360" w:lineRule="auto"/>
        <w:ind w:firstLine="480"/>
        <w:jc w:val="both"/>
      </w:pPr>
      <w:r>
        <w:rPr>
          <w:rFonts w:ascii="Times New Roman" w:hAnsi="Times New Roman" w:eastAsia="宋体"/>
          <w:b w:val="0"/>
          <w:sz w:val="24"/>
        </w:rPr>
        <w:t>3）</w:t>
      </w:r>
    </w:p>
    <w:p>
      <w:pPr>
        <w:spacing w:line="360" w:lineRule="auto"/>
        <w:ind w:firstLine="480"/>
        <w:jc w:val="both"/>
      </w:pPr>
      <w:r>
        <w:rPr>
          <w:rFonts w:ascii="Times New Roman" w:hAnsi="Times New Roman" w:eastAsia="宋体"/>
          <w:b w:val="0"/>
          <w:sz w:val="24"/>
        </w:rPr>
        <w:t>4）</w:t>
      </w:r>
    </w:p>
    <w:p>
      <w:pPr>
        <w:spacing w:line="360" w:lineRule="auto"/>
        <w:jc w:val="both"/>
      </w:pPr>
      <w:r>
        <w:rPr>
          <w:rFonts w:ascii="Times New Roman" w:hAnsi="Times New Roman" w:eastAsia="宋体"/>
          <w:b/>
          <w:sz w:val="24"/>
        </w:rPr>
        <w:t>2 根本原因调查 Root Cause Investigation</w:t>
      </w:r>
    </w:p>
    <w:p>
      <w:pPr>
        <w:spacing w:line="360" w:lineRule="auto"/>
        <w:jc w:val="both"/>
      </w:pPr>
      <w:r>
        <w:rPr>
          <w:rFonts w:ascii="Times New Roman" w:hAnsi="Times New Roman" w:eastAsia="宋体"/>
          <w:b/>
          <w:sz w:val="24"/>
        </w:rPr>
        <w:t>2.1 背景介绍 Background Introduction</w:t>
      </w:r>
    </w:p>
    <w:p>
      <w:pPr>
        <w:spacing w:line="360" w:lineRule="auto"/>
        <w:ind w:firstLine="480"/>
        <w:jc w:val="both"/>
      </w:pPr>
      <w:r>
        <w:rPr>
          <w:rFonts w:ascii="Times New Roman" w:hAnsi="Times New Roman" w:eastAsia="宋体"/>
          <w:b/>
          <w:sz w:val="24"/>
        </w:rPr>
        <w:t>检测方法</w:t>
      </w:r>
    </w:p>
    <w:p>
      <w:pPr>
        <w:spacing w:line="360" w:lineRule="auto"/>
        <w:ind w:firstLine="480"/>
        <w:jc w:val="both"/>
      </w:pPr>
      <w:r>
        <w:rPr>
          <w:rFonts w:ascii="Times New Roman" w:hAnsi="Times New Roman" w:eastAsia="宋体"/>
          <w:b w:val="0"/>
          <w:sz w:val="24"/>
        </w:rPr>
      </w:r>
    </w:p>
    <w:p>
      <w:pPr>
        <w:spacing w:line="360" w:lineRule="auto"/>
        <w:ind w:firstLine="480"/>
        <w:jc w:val="both"/>
      </w:pPr>
      <w:r>
        <w:rPr>
          <w:rFonts w:ascii="Times New Roman" w:hAnsi="Times New Roman" w:eastAsia="宋体"/>
          <w:b/>
          <w:sz w:val="24"/>
        </w:rPr>
        <w:t>溶液制备过程</w:t>
      </w:r>
    </w:p>
    <w:p>
      <w:pPr>
        <w:spacing w:line="360" w:lineRule="auto"/>
        <w:ind w:firstLine="480"/>
        <w:jc w:val="both"/>
      </w:pPr>
      <w:r>
        <w:rPr>
          <w:rFonts w:ascii="Times New Roman" w:hAnsi="Times New Roman" w:eastAsia="宋体"/>
          <w:b w:val="0"/>
          <w:sz w:val="24"/>
        </w:rPr>
      </w:r>
    </w:p>
    <w:p>
      <w:pPr>
        <w:spacing w:line="360" w:lineRule="auto"/>
        <w:ind w:firstLine="480"/>
        <w:jc w:val="both"/>
      </w:pPr>
      <w:r>
        <w:rPr>
          <w:rFonts w:ascii="Times New Roman" w:hAnsi="Times New Roman" w:eastAsia="宋体"/>
          <w:b/>
          <w:sz w:val="24"/>
        </w:rPr>
        <w:t>检测结果（附件1）</w:t>
      </w:r>
    </w:p>
    <w:p>
      <w:pPr>
        <w:spacing w:line="360" w:lineRule="auto"/>
        <w:ind w:firstLine="480"/>
        <w:jc w:val="both"/>
      </w:pPr>
      <w:r>
        <w:rPr>
          <w:rFonts w:ascii="Times New Roman" w:hAnsi="Times New Roman" w:eastAsia="宋体"/>
          <w:b w:val="0"/>
          <w:sz w:val="24"/>
        </w:rPr>
      </w:r>
    </w:p>
    <w:p>
      <w:pPr>
        <w:spacing w:line="360" w:lineRule="auto"/>
        <w:jc w:val="both"/>
      </w:pPr>
      <w:r>
        <w:rPr>
          <w:rFonts w:ascii="Times New Roman" w:hAnsi="Times New Roman" w:eastAsia="宋体"/>
          <w:b/>
          <w:sz w:val="24"/>
        </w:rPr>
        <w:t>2.2 偏差根本原因分析及调查 Root Cause Analysis and Investigation</w:t>
      </w:r>
    </w:p>
    <w:p>
      <w:pPr>
        <w:spacing w:line="360" w:lineRule="auto"/>
        <w:ind w:firstLine="480"/>
        <w:jc w:val="both"/>
      </w:pPr>
      <w:r>
        <w:rPr>
          <w:rFonts w:ascii="Times New Roman" w:hAnsi="Times New Roman" w:eastAsia="宋体"/>
          <w:b/>
          <w:sz w:val="24"/>
        </w:rPr>
        <w:t>初步原因分析</w:t>
      </w:r>
    </w:p>
    <w:p>
      <w:pPr>
        <w:spacing w:line="360" w:lineRule="auto"/>
        <w:ind w:firstLine="480"/>
        <w:jc w:val="both"/>
      </w:pPr>
      <w:r>
        <w:rPr>
          <w:rFonts w:ascii="Times New Roman" w:hAnsi="Times New Roman" w:eastAsia="宋体"/>
          <w:b w:val="0"/>
          <w:sz w:val="24"/>
        </w:rPr>
      </w:r>
    </w:p>
    <w:p>
      <w:pPr>
        <w:spacing w:line="360" w:lineRule="auto"/>
        <w:jc w:val="both"/>
      </w:pPr>
      <w:r>
        <w:rPr>
          <w:rFonts w:ascii="Times New Roman" w:hAnsi="Times New Roman" w:eastAsia="宋体"/>
          <w:b/>
          <w:sz w:val="24"/>
        </w:rPr>
        <w:t>2.3 深入调查</w:t>
      </w:r>
    </w:p>
    <w:p>
      <w:pPr>
        <w:spacing w:line="360" w:lineRule="auto"/>
        <w:ind w:firstLine="480"/>
        <w:jc w:val="both"/>
      </w:pPr>
      <w:r>
        <w:rPr>
          <w:rFonts w:ascii="Times New Roman" w:hAnsi="Times New Roman" w:eastAsia="宋体"/>
          <w:b/>
          <w:sz w:val="24"/>
        </w:rPr>
        <w:t xml:space="preserve">2.3.1 </w:t>
      </w:r>
    </w:p>
    <w:p>
      <w:pPr>
        <w:spacing w:line="360" w:lineRule="auto"/>
        <w:ind w:firstLine="480"/>
        <w:jc w:val="both"/>
      </w:pPr>
      <w:r>
        <w:rPr>
          <w:rFonts w:ascii="Times New Roman" w:hAnsi="Times New Roman" w:eastAsia="宋体"/>
          <w:b w:val="0"/>
          <w:sz w:val="24"/>
        </w:rPr>
      </w:r>
    </w:p>
    <w:p>
      <w:pPr>
        <w:spacing w:line="360" w:lineRule="auto"/>
        <w:jc w:val="both"/>
      </w:pPr>
      <w:r>
        <w:rPr>
          <w:rFonts w:ascii="Times New Roman" w:hAnsi="Times New Roman" w:eastAsia="宋体"/>
          <w:b/>
          <w:sz w:val="24"/>
        </w:rPr>
        <w:t>3 影响评估 Impact Assessment</w:t>
      </w:r>
    </w:p>
    <w:p>
      <w:pPr>
        <w:spacing w:line="360" w:lineRule="auto"/>
        <w:ind w:firstLine="480"/>
        <w:jc w:val="both"/>
      </w:pPr>
      <w:r>
        <w:rPr>
          <w:rFonts w:ascii="Times New Roman" w:hAnsi="Times New Roman" w:eastAsia="宋体"/>
          <w:b/>
          <w:sz w:val="24"/>
        </w:rPr>
        <w:t>对目前批次产品质量的影响：</w:t>
      </w:r>
    </w:p>
    <w:p>
      <w:pPr>
        <w:spacing w:line="360" w:lineRule="auto"/>
        <w:ind w:firstLine="480"/>
        <w:jc w:val="both"/>
      </w:pPr>
      <w:r>
        <w:rPr>
          <w:rFonts w:ascii="Times New Roman" w:hAnsi="Times New Roman" w:eastAsia="宋体"/>
          <w:b w:val="0"/>
          <w:sz w:val="24"/>
        </w:rPr>
      </w:r>
    </w:p>
    <w:p>
      <w:pPr>
        <w:spacing w:line="360" w:lineRule="auto"/>
        <w:ind w:firstLine="480"/>
        <w:jc w:val="both"/>
      </w:pPr>
      <w:r>
        <w:rPr>
          <w:rFonts w:ascii="Times New Roman" w:hAnsi="Times New Roman" w:eastAsia="宋体"/>
          <w:b/>
          <w:sz w:val="24"/>
        </w:rPr>
        <w:t>对偏差产品相邻批次质量的影响：</w:t>
      </w:r>
    </w:p>
    <w:p>
      <w:pPr>
        <w:spacing w:line="360" w:lineRule="auto"/>
        <w:ind w:firstLine="480"/>
        <w:jc w:val="both"/>
      </w:pPr>
      <w:r>
        <w:rPr>
          <w:rFonts w:ascii="Times New Roman" w:hAnsi="Times New Roman" w:eastAsia="宋体"/>
          <w:b w:val="0"/>
          <w:sz w:val="24"/>
        </w:rPr>
      </w:r>
    </w:p>
    <w:p>
      <w:pPr>
        <w:spacing w:line="360" w:lineRule="auto"/>
        <w:ind w:firstLine="480"/>
        <w:jc w:val="both"/>
      </w:pPr>
      <w:r>
        <w:rPr>
          <w:rFonts w:ascii="Times New Roman" w:hAnsi="Times New Roman" w:eastAsia="宋体"/>
          <w:b/>
          <w:sz w:val="24"/>
        </w:rPr>
        <w:t>对其他产品质量或系统的影响：</w:t>
      </w:r>
    </w:p>
    <w:p>
      <w:pPr>
        <w:spacing w:line="360" w:lineRule="auto"/>
        <w:ind w:firstLine="480"/>
        <w:jc w:val="both"/>
      </w:pPr>
      <w:r>
        <w:rPr>
          <w:rFonts w:ascii="Times New Roman" w:hAnsi="Times New Roman" w:eastAsia="宋体"/>
          <w:b w:val="0"/>
          <w:sz w:val="24"/>
        </w:rPr>
      </w:r>
    </w:p>
    <w:p>
      <w:pPr>
        <w:spacing w:line="360" w:lineRule="auto"/>
        <w:ind w:firstLine="480"/>
        <w:jc w:val="both"/>
      </w:pPr>
      <w:r>
        <w:rPr>
          <w:rFonts w:ascii="Times New Roman" w:hAnsi="Times New Roman" w:eastAsia="宋体"/>
          <w:b/>
          <w:sz w:val="24"/>
        </w:rPr>
        <w:t>回顾过去6个月内的重复性偏差发生情况：</w:t>
      </w:r>
    </w:p>
    <w:p>
      <w:pPr>
        <w:spacing w:line="360" w:lineRule="auto"/>
        <w:ind w:firstLine="480"/>
        <w:jc w:val="both"/>
      </w:pPr>
      <w:r>
        <w:rPr>
          <w:rFonts w:ascii="Times New Roman" w:hAnsi="Times New Roman" w:eastAsia="宋体"/>
          <w:b w:val="0"/>
          <w:sz w:val="24"/>
        </w:rPr>
      </w:r>
    </w:p>
    <w:p>
      <w:pPr>
        <w:spacing w:line="360" w:lineRule="auto"/>
        <w:ind w:firstLine="480"/>
        <w:jc w:val="both"/>
      </w:pPr>
      <w:r>
        <w:rPr>
          <w:rFonts w:ascii="Times New Roman" w:hAnsi="Times New Roman" w:eastAsia="宋体"/>
          <w:b/>
          <w:sz w:val="24"/>
        </w:rPr>
        <w:t>其他方面，如对客户、复验期/有效期、稳定性研究、验证/确认状态等的影响：</w:t>
      </w:r>
    </w:p>
    <w:p>
      <w:pPr>
        <w:spacing w:line="360" w:lineRule="auto"/>
        <w:ind w:firstLine="480"/>
        <w:jc w:val="both"/>
      </w:pPr>
      <w:r>
        <w:rPr>
          <w:rFonts w:ascii="Times New Roman" w:hAnsi="Times New Roman" w:eastAsia="宋体"/>
          <w:b w:val="0"/>
          <w:sz w:val="24"/>
        </w:rPr>
      </w:r>
    </w:p>
    <w:p>
      <w:pPr>
        <w:spacing w:line="360" w:lineRule="auto"/>
        <w:jc w:val="both"/>
      </w:pPr>
      <w:r>
        <w:rPr>
          <w:rFonts w:ascii="Times New Roman" w:hAnsi="Times New Roman" w:eastAsia="宋体"/>
          <w:b/>
          <w:sz w:val="24"/>
        </w:rPr>
        <w:t>4 调查结论 Investigation Conclusion</w:t>
      </w:r>
    </w:p>
    <w:p>
      <w:pPr>
        <w:spacing w:line="360" w:lineRule="auto"/>
        <w:ind w:firstLine="480"/>
        <w:jc w:val="both"/>
      </w:pPr>
      <w:r>
        <w:rPr>
          <w:rFonts w:ascii="Times New Roman" w:hAnsi="Times New Roman" w:eastAsia="宋体"/>
          <w:b w:val="0"/>
          <w:sz w:val="24"/>
        </w:rPr>
      </w:r>
    </w:p>
    <w:p>
      <w:pPr>
        <w:spacing w:line="360" w:lineRule="auto"/>
        <w:jc w:val="both"/>
      </w:pPr>
      <w:r>
        <w:rPr>
          <w:rFonts w:ascii="Times New Roman" w:hAnsi="Times New Roman" w:eastAsia="宋体"/>
          <w:b/>
          <w:sz w:val="24"/>
        </w:rPr>
        <w:t>根本原因类别 The Root Cause Categorzations</w:t>
      </w:r>
    </w:p>
    <w:p>
      <w:pPr>
        <w:spacing w:line="360" w:lineRule="auto"/>
        <w:jc w:val="both"/>
      </w:pPr>
      <w:r>
        <w:rPr>
          <w:rFonts w:ascii="Times New Roman" w:hAnsi="Times New Roman" w:eastAsia="宋体"/>
          <w:b w:val="0"/>
          <w:sz w:val="24"/>
        </w:rPr>
        <w:t>□ 过程控制缺陷    □ 外来异物    □ 校验/预防维修    □ 混淆    □ 物料质量缺陷</w:t>
      </w:r>
    </w:p>
    <w:p>
      <w:pPr>
        <w:spacing w:line="360" w:lineRule="auto"/>
        <w:jc w:val="both"/>
      </w:pPr>
      <w:r>
        <w:rPr>
          <w:rFonts w:ascii="Times New Roman" w:hAnsi="Times New Roman" w:eastAsia="宋体"/>
          <w:b w:val="0"/>
          <w:sz w:val="24"/>
        </w:rPr>
        <w:t>□ 人员失误        □ OOS结果    □ 文件记录缺陷    □ 设备故障/过程中断</w:t>
      </w:r>
    </w:p>
    <w:p>
      <w:pPr>
        <w:spacing w:line="360" w:lineRule="auto"/>
        <w:jc w:val="both"/>
      </w:pPr>
      <w:r>
        <w:rPr>
          <w:rFonts w:ascii="Times New Roman" w:hAnsi="Times New Roman" w:eastAsia="宋体"/>
          <w:b w:val="0"/>
          <w:sz w:val="24"/>
        </w:rPr>
        <w:t>□ 环境            □ 其他：</w:t>
      </w:r>
    </w:p>
    <w:p>
      <w:pPr>
        <w:spacing w:line="360" w:lineRule="auto"/>
        <w:jc w:val="both"/>
      </w:pPr>
      <w:r>
        <w:rPr>
          <w:rFonts w:ascii="Times New Roman" w:hAnsi="Times New Roman" w:eastAsia="宋体"/>
          <w:b/>
          <w:sz w:val="24"/>
        </w:rPr>
        <w:t>5 纠正预防措施 CA PA</w:t>
      </w:r>
    </w:p>
    <w:tbl>
      <w:tblPr>
        <w:tblStyle w:val="TableGrid"/>
        <w:tblW w:type="auto" w:w="0"/>
        <w:tblLook w:firstColumn="1" w:firstRow="1" w:lastColumn="0" w:lastRow="0" w:noHBand="0" w:noVBand="1" w:val="04A0"/>
      </w:tblPr>
      <w:tblGrid>
        <w:gridCol w:w="3286"/>
        <w:gridCol w:w="3286"/>
        <w:gridCol w:w="3286"/>
      </w:tblGrid>
      <w:tr>
        <w:tc>
          <w:tcPr>
            <w:tcW w:type="dxa" w:w="3286"/>
          </w:tcPr>
          <w:p>
            <w:pPr>
              <w:spacing w:line="240" w:lineRule="auto" w:before="0" w:after="0"/>
              <w:jc w:val="center"/>
            </w:pPr>
            <w:r>
              <w:rPr>
                <w:rFonts w:ascii="Times New Roman" w:hAnsi="Times New Roman" w:eastAsia="宋体"/>
                <w:b/>
                <w:sz w:val="24"/>
              </w:rPr>
              <w:t>序号</w:t>
            </w:r>
          </w:p>
        </w:tc>
        <w:tc>
          <w:tcPr>
            <w:tcW w:type="dxa" w:w="3286"/>
          </w:tcPr>
          <w:p>
            <w:pPr>
              <w:spacing w:line="240" w:lineRule="auto" w:before="0" w:after="0"/>
              <w:jc w:val="center"/>
            </w:pPr>
            <w:r>
              <w:rPr>
                <w:rFonts w:ascii="Times New Roman" w:hAnsi="Times New Roman" w:eastAsia="宋体"/>
                <w:b/>
                <w:sz w:val="24"/>
              </w:rPr>
              <w:t>措施</w:t>
            </w:r>
          </w:p>
        </w:tc>
        <w:tc>
          <w:tcPr>
            <w:tcW w:type="dxa" w:w="3286"/>
          </w:tcPr>
          <w:p>
            <w:pPr>
              <w:spacing w:line="240" w:lineRule="auto" w:before="0" w:after="0"/>
              <w:jc w:val="center"/>
            </w:pPr>
            <w:r>
              <w:rPr>
                <w:rFonts w:ascii="Times New Roman" w:hAnsi="Times New Roman" w:eastAsia="宋体"/>
                <w:b/>
                <w:sz w:val="24"/>
              </w:rPr>
              <w:t>说明</w:t>
            </w:r>
          </w:p>
        </w:tc>
      </w:tr>
      <w:tr>
        <w:tc>
          <w:tcPr>
            <w:tcW w:type="dxa" w:w="3286"/>
          </w:tcPr>
          <w:p>
            <w:pPr>
              <w:spacing w:line="240" w:lineRule="auto" w:before="0" w:after="0"/>
              <w:jc w:val="center"/>
            </w:pPr>
            <w:r>
              <w:rPr>
                <w:rFonts w:ascii="Times New Roman" w:hAnsi="Times New Roman" w:eastAsia="宋体"/>
                <w:b/>
                <w:sz w:val="24"/>
              </w:rPr>
              <w:t>1</w:t>
            </w:r>
          </w:p>
        </w:tc>
        <w:tc>
          <w:tcPr>
            <w:tcW w:type="dxa" w:w="3286"/>
          </w:tcPr>
          <w:p>
            <w:pPr>
              <w:spacing w:line="240" w:lineRule="auto" w:before="0" w:after="0"/>
              <w:jc w:val="center"/>
            </w:pPr>
            <w:r>
              <w:rPr>
                <w:rFonts w:ascii="Times New Roman" w:hAnsi="Times New Roman" w:eastAsia="宋体"/>
                <w:b w:val="0"/>
                <w:sz w:val="24"/>
              </w:rPr>
            </w:r>
          </w:p>
        </w:tc>
        <w:tc>
          <w:tcPr>
            <w:tcW w:type="dxa" w:w="3286"/>
          </w:tcPr>
          <w:p>
            <w:pPr>
              <w:spacing w:line="240" w:lineRule="auto" w:before="0" w:after="0"/>
              <w:jc w:val="center"/>
            </w:pPr>
            <w:r>
              <w:rPr>
                <w:rFonts w:ascii="Times New Roman" w:hAnsi="Times New Roman" w:eastAsia="宋体"/>
                <w:b w:val="0"/>
                <w:sz w:val="24"/>
              </w:rPr>
            </w:r>
          </w:p>
        </w:tc>
      </w:tr>
      <w:tr>
        <w:tc>
          <w:tcPr>
            <w:tcW w:type="dxa" w:w="3286"/>
          </w:tcPr>
          <w:p>
            <w:pPr>
              <w:spacing w:line="240" w:lineRule="auto" w:before="0" w:after="0"/>
              <w:jc w:val="center"/>
            </w:pPr>
            <w:r>
              <w:rPr>
                <w:rFonts w:ascii="Times New Roman" w:hAnsi="Times New Roman" w:eastAsia="宋体"/>
                <w:b/>
                <w:sz w:val="24"/>
              </w:rPr>
              <w:t>2</w:t>
            </w:r>
          </w:p>
        </w:tc>
        <w:tc>
          <w:tcPr>
            <w:tcW w:type="dxa" w:w="3286"/>
          </w:tcPr>
          <w:p>
            <w:pPr>
              <w:spacing w:line="240" w:lineRule="auto" w:before="0" w:after="0"/>
              <w:jc w:val="center"/>
            </w:pPr>
            <w:r>
              <w:rPr>
                <w:rFonts w:ascii="Times New Roman" w:hAnsi="Times New Roman" w:eastAsia="宋体"/>
                <w:b w:val="0"/>
                <w:sz w:val="24"/>
              </w:rPr>
            </w:r>
          </w:p>
        </w:tc>
        <w:tc>
          <w:tcPr>
            <w:tcW w:type="dxa" w:w="3286"/>
          </w:tcPr>
          <w:p>
            <w:pPr>
              <w:spacing w:line="240" w:lineRule="auto" w:before="0" w:after="0"/>
              <w:jc w:val="center"/>
            </w:pPr>
            <w:r>
              <w:rPr>
                <w:rFonts w:ascii="Times New Roman" w:hAnsi="Times New Roman" w:eastAsia="宋体"/>
                <w:b w:val="0"/>
                <w:sz w:val="24"/>
              </w:rPr>
            </w:r>
          </w:p>
        </w:tc>
      </w:tr>
      <w:tr>
        <w:tc>
          <w:tcPr>
            <w:tcW w:type="dxa" w:w="3286"/>
          </w:tcPr>
          <w:p>
            <w:pPr>
              <w:spacing w:line="240" w:lineRule="auto" w:before="0" w:after="0"/>
              <w:jc w:val="center"/>
            </w:pPr>
            <w:r>
              <w:rPr>
                <w:rFonts w:ascii="Times New Roman" w:hAnsi="Times New Roman" w:eastAsia="宋体"/>
                <w:b/>
                <w:sz w:val="24"/>
              </w:rPr>
              <w:t>3</w:t>
            </w:r>
          </w:p>
        </w:tc>
        <w:tc>
          <w:tcPr>
            <w:tcW w:type="dxa" w:w="3286"/>
          </w:tcPr>
          <w:p>
            <w:pPr>
              <w:spacing w:line="240" w:lineRule="auto" w:before="0" w:after="0"/>
              <w:jc w:val="center"/>
            </w:pPr>
            <w:r>
              <w:rPr>
                <w:rFonts w:ascii="Times New Roman" w:hAnsi="Times New Roman" w:eastAsia="宋体"/>
                <w:b w:val="0"/>
                <w:sz w:val="24"/>
              </w:rPr>
            </w:r>
          </w:p>
        </w:tc>
        <w:tc>
          <w:tcPr>
            <w:tcW w:type="dxa" w:w="3286"/>
          </w:tcPr>
          <w:p>
            <w:pPr>
              <w:spacing w:line="240" w:lineRule="auto" w:before="0" w:after="0"/>
              <w:jc w:val="center"/>
            </w:pPr>
            <w:r>
              <w:rPr>
                <w:rFonts w:ascii="Times New Roman" w:hAnsi="Times New Roman" w:eastAsia="宋体"/>
                <w:b w:val="0"/>
                <w:sz w:val="24"/>
              </w:rPr>
            </w:r>
          </w:p>
        </w:tc>
      </w:tr>
      <w:tr>
        <w:tc>
          <w:tcPr>
            <w:tcW w:type="dxa" w:w="3286"/>
          </w:tcPr>
          <w:p>
            <w:pPr>
              <w:spacing w:line="240" w:lineRule="auto" w:before="0" w:after="0"/>
              <w:jc w:val="center"/>
            </w:pPr>
            <w:r>
              <w:rPr>
                <w:rFonts w:ascii="Times New Roman" w:hAnsi="Times New Roman" w:eastAsia="宋体"/>
                <w:b/>
                <w:sz w:val="24"/>
              </w:rPr>
              <w:t>4</w:t>
            </w:r>
          </w:p>
        </w:tc>
        <w:tc>
          <w:tcPr>
            <w:tcW w:type="dxa" w:w="3286"/>
          </w:tcPr>
          <w:p>
            <w:pPr>
              <w:spacing w:line="240" w:lineRule="auto" w:before="0" w:after="0"/>
              <w:jc w:val="center"/>
            </w:pPr>
            <w:r>
              <w:rPr>
                <w:rFonts w:ascii="Times New Roman" w:hAnsi="Times New Roman" w:eastAsia="宋体"/>
                <w:b w:val="0"/>
                <w:sz w:val="24"/>
              </w:rPr>
            </w:r>
          </w:p>
        </w:tc>
        <w:tc>
          <w:tcPr>
            <w:tcW w:type="dxa" w:w="3286"/>
          </w:tcPr>
          <w:p>
            <w:pPr>
              <w:spacing w:line="240" w:lineRule="auto" w:before="0" w:after="0"/>
              <w:jc w:val="center"/>
            </w:pPr>
            <w:r>
              <w:rPr>
                <w:rFonts w:ascii="Times New Roman" w:hAnsi="Times New Roman" w:eastAsia="宋体"/>
                <w:b w:val="0"/>
                <w:sz w:val="24"/>
              </w:rPr>
            </w:r>
          </w:p>
        </w:tc>
      </w:tr>
    </w:tbl>
    <w:p>
      <w:pPr>
        <w:spacing w:line="360" w:lineRule="auto"/>
        <w:jc w:val="both"/>
      </w:pPr>
      <w:r>
        <w:rPr>
          <w:rFonts w:ascii="Times New Roman" w:hAnsi="Times New Roman" w:eastAsia="宋体"/>
          <w:b w:val="0"/>
          <w:sz w:val="24"/>
        </w:rPr>
      </w:r>
    </w:p>
    <w:p>
      <w:pPr>
        <w:spacing w:line="360" w:lineRule="auto"/>
        <w:jc w:val="both"/>
      </w:pPr>
      <w:r>
        <w:rPr>
          <w:rFonts w:ascii="Times New Roman" w:hAnsi="Times New Roman" w:eastAsia="宋体"/>
          <w:b w:val="0"/>
          <w:sz w:val="24"/>
        </w:rPr>
        <w:t>调查人/日期：________________    QA调查人/日期：________________</w:t>
      </w:r>
    </w:p>
    <w:sectPr w:rsidR="00FC693F" w:rsidRPr="0006063C" w:rsidSect="00034616">
      <w:pgSz w:w="12240" w:h="15840"/>
      <w:pgMar w:top="1440" w:right="1083" w:bottom="1440" w:left="129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