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宋体"/>
          <w:b/>
          <w:sz w:val="40"/>
        </w:rPr>
        <w:t>偏差报告</w:t>
      </w:r>
    </w:p>
    <w:p/>
    <w:tbl>
      <w:tblPr>
        <w:tblStyle w:val="TableGrid"/>
        <w:tblW w:type="auto" w:w="0"/>
        <w:tblLook w:firstColumn="1" w:firstRow="1" w:lastColumn="0" w:lastRow="0" w:noHBand="0" w:noVBand="1" w:val="04A0"/>
      </w:tblPr>
      <w:tblGrid>
        <w:gridCol w:w="4764"/>
        <w:gridCol w:w="4764"/>
      </w:tblGrid>
      <w:tr>
        <w:tc>
          <w:tcPr>
            <w:tcW w:type="dxa" w:w="4764"/>
          </w:tcPr>
          <w:p>
            <w:pPr>
              <w:jc w:val="center"/>
            </w:pPr>
            <w:r>
              <w:rPr>
                <w:rFonts w:ascii="Times New Roman" w:hAnsi="Times New Roman" w:eastAsia="宋体"/>
                <w:sz w:val="24"/>
              </w:rPr>
              <w:t>偏差编号</w:t>
            </w:r>
          </w:p>
        </w:tc>
        <w:tc>
          <w:tcPr>
            <w:tcW w:type="dxa" w:w="4764"/>
          </w:tcPr>
          <w:p>
            <w:pPr>
              <w:jc w:val="center"/>
            </w:pPr>
            <w:r>
              <w:rPr>
                <w:rFonts w:ascii="Times New Roman" w:hAnsi="Times New Roman" w:eastAsia="宋体"/>
                <w:sz w:val="24"/>
              </w:rPr>
              <w:t>TEST-001</w:t>
            </w:r>
          </w:p>
        </w:tc>
      </w:tr>
      <w:tr>
        <w:tc>
          <w:tcPr>
            <w:tcW w:type="dxa" w:w="4764"/>
          </w:tcPr>
          <w:p>
            <w:pPr>
              <w:jc w:val="center"/>
            </w:pPr>
            <w:r>
              <w:rPr>
                <w:rFonts w:ascii="Times New Roman" w:hAnsi="Times New Roman" w:eastAsia="宋体"/>
                <w:sz w:val="24"/>
              </w:rPr>
              <w:t>报告编制人</w:t>
            </w:r>
          </w:p>
        </w:tc>
        <w:tc>
          <w:tcPr>
            <w:tcW w:type="dxa" w:w="4764"/>
          </w:tcPr>
          <w:p>
            <w:pPr>
              <w:jc w:val="center"/>
            </w:pPr>
            <w:r>
              <w:rPr>
                <w:rFonts w:ascii="Times New Roman" w:hAnsi="Times New Roman" w:eastAsia="宋体"/>
                <w:sz w:val="24"/>
              </w:rPr>
              <w:t>test</w:t>
            </w:r>
          </w:p>
        </w:tc>
      </w:tr>
      <w:tr>
        <w:tc>
          <w:tcPr>
            <w:tcW w:type="dxa" w:w="4764"/>
          </w:tcPr>
          <w:p>
            <w:pPr>
              <w:jc w:val="center"/>
            </w:pPr>
            <w:r>
              <w:rPr>
                <w:rFonts w:ascii="Times New Roman" w:hAnsi="Times New Roman" w:eastAsia="宋体"/>
                <w:sz w:val="24"/>
              </w:rPr>
              <w:t>QA审核人</w:t>
            </w:r>
          </w:p>
        </w:tc>
        <w:tc>
          <w:tcPr>
            <w:tcW w:type="dxa" w:w="4764"/>
          </w:tcPr>
          <w:p>
            <w:pPr>
              <w:jc w:val="center"/>
            </w:pPr>
            <w:r>
              <w:rPr>
                <w:rFonts w:ascii="Times New Roman" w:hAnsi="Times New Roman" w:eastAsia="宋体"/>
                <w:sz w:val="24"/>
              </w:rPr>
              <w:t>qa</w:t>
            </w:r>
          </w:p>
        </w:tc>
      </w:tr>
      <w:tr>
        <w:tc>
          <w:tcPr>
            <w:tcW w:type="dxa" w:w="4764"/>
          </w:tcPr>
          <w:p>
            <w:pPr>
              <w:jc w:val="center"/>
            </w:pPr>
            <w:r>
              <w:rPr>
                <w:rFonts w:ascii="Times New Roman" w:hAnsi="Times New Roman" w:eastAsia="宋体"/>
                <w:sz w:val="24"/>
              </w:rPr>
              <w:t>编制日期</w:t>
            </w:r>
          </w:p>
        </w:tc>
        <w:tc>
          <w:tcPr>
            <w:tcW w:type="dxa" w:w="4764"/>
          </w:tcPr>
          <w:p>
            <w:pPr>
              <w:jc w:val="center"/>
            </w:pPr>
            <w:r>
              <w:rPr>
                <w:rFonts w:ascii="Times New Roman" w:hAnsi="Times New Roman" w:eastAsia="宋体"/>
                <w:sz w:val="24"/>
              </w:rPr>
              <w:t>2026-06-14</w:t>
            </w:r>
          </w:p>
        </w:tc>
      </w:tr>
    </w:tbl>
    <w:p/>
    <w:p>
      <w:pPr>
        <w:spacing w:line="360" w:lineRule="auto"/>
        <w:jc w:val="both"/>
      </w:pPr>
      <w:r>
        <w:rPr>
          <w:rFonts w:ascii="Times New Roman" w:hAnsi="Times New Roman" w:eastAsia="宋体"/>
          <w:sz w:val="24"/>
        </w:rPr>
        <w:t>&lt;think&gt;让我分析这个任务。用户要求我作为专业的偏差报告处理助手，根据提供的SOP规则库对原始偏差报告进行标准化处理。</w:t>
      </w:r>
    </w:p>
    <w:p>
      <w:pPr>
        <w:spacing w:line="360" w:lineRule="auto"/>
        <w:jc w:val="both"/>
      </w:pPr>
      <w:r>
        <w:rPr>
          <w:rFonts w:ascii="Times New Roman" w:hAnsi="Times New Roman" w:eastAsia="宋体"/>
          <w:sz w:val="24"/>
        </w:rPr>
        <w:t>首先，我需要理解：</w:t>
      </w:r>
    </w:p>
    <w:p>
      <w:pPr>
        <w:spacing w:line="360" w:lineRule="auto"/>
        <w:jc w:val="both"/>
      </w:pPr>
      <w:r>
        <w:rPr>
          <w:rFonts w:ascii="Times New Roman" w:hAnsi="Times New Roman" w:eastAsia="宋体"/>
          <w:sz w:val="24"/>
        </w:rPr>
        <w:t>1. SOP规则库是关于高处作业安全管理制度</w:t>
      </w:r>
    </w:p>
    <w:p>
      <w:pPr>
        <w:spacing w:line="360" w:lineRule="auto"/>
        <w:jc w:val="both"/>
      </w:pPr>
      <w:r>
        <w:rPr>
          <w:rFonts w:ascii="Times New Roman" w:hAnsi="Times New Roman" w:eastAsia="宋体"/>
          <w:sz w:val="24"/>
        </w:rPr>
        <w:t>2. 原始偏差报告是一个模板，包含多个占位符（{{}}）</w:t>
      </w:r>
    </w:p>
    <w:p>
      <w:pPr>
        <w:spacing w:line="360" w:lineRule="auto"/>
        <w:jc w:val="both"/>
      </w:pPr>
      <w:r>
        <w:rPr>
          <w:rFonts w:ascii="Times New Roman" w:hAnsi="Times New Roman" w:eastAsia="宋体"/>
          <w:sz w:val="24"/>
        </w:rPr>
        <w:t>3. 用户需要我完成的任务：</w:t>
      </w:r>
    </w:p>
    <w:p>
      <w:pPr>
        <w:spacing w:line="360" w:lineRule="auto"/>
        <w:jc w:val="both"/>
      </w:pPr>
      <w:r>
        <w:rPr>
          <w:rFonts w:ascii="Times New Roman" w:hAnsi="Times New Roman" w:eastAsia="宋体"/>
          <w:sz w:val="24"/>
        </w:rPr>
        <w:t>- 识别原始报告中的SOP编号，替换为标准编号</w:t>
      </w:r>
    </w:p>
    <w:p>
      <w:pPr>
        <w:spacing w:line="360" w:lineRule="auto"/>
        <w:jc w:val="both"/>
      </w:pPr>
      <w:r>
        <w:rPr>
          <w:rFonts w:ascii="Times New Roman" w:hAnsi="Times New Roman" w:eastAsia="宋体"/>
          <w:sz w:val="24"/>
        </w:rPr>
        <w:t>- 识别业务关键词，匹配对应的SOP规则</w:t>
      </w:r>
    </w:p>
    <w:p>
      <w:pPr>
        <w:spacing w:line="360" w:lineRule="auto"/>
        <w:jc w:val="both"/>
      </w:pPr>
      <w:r>
        <w:rPr>
          <w:rFonts w:ascii="Times New Roman" w:hAnsi="Times New Roman" w:eastAsia="宋体"/>
          <w:sz w:val="24"/>
        </w:rPr>
        <w:t>- 标准化报告用语，统一术语</w:t>
      </w:r>
    </w:p>
    <w:p>
      <w:pPr>
        <w:spacing w:line="360" w:lineRule="auto"/>
        <w:jc w:val="both"/>
      </w:pPr>
      <w:r>
        <w:rPr>
          <w:rFonts w:ascii="Times New Roman" w:hAnsi="Times New Roman" w:eastAsia="宋体"/>
          <w:sz w:val="24"/>
        </w:rPr>
        <w:t>- 规整表格数据</w:t>
      </w:r>
    </w:p>
    <w:p>
      <w:pPr>
        <w:spacing w:line="360" w:lineRule="auto"/>
        <w:jc w:val="both"/>
      </w:pPr>
      <w:r>
        <w:rPr>
          <w:rFonts w:ascii="Times New Roman" w:hAnsi="Times New Roman" w:eastAsia="宋体"/>
          <w:sz w:val="24"/>
        </w:rPr>
        <w:t>- 输出标准化报告内容</w:t>
      </w:r>
    </w:p>
    <w:p>
      <w:pPr>
        <w:spacing w:line="360" w:lineRule="auto"/>
        <w:jc w:val="both"/>
      </w:pPr>
      <w:r>
        <w:rPr>
          <w:rFonts w:ascii="Times New Roman" w:hAnsi="Times New Roman" w:eastAsia="宋体"/>
          <w:sz w:val="24"/>
        </w:rPr>
        <w:t>但是，这里有个问题：原始偏差报告是一个模板，包含许多占位符（{{偏差描述内容}}、{{根本原因内容}}等），这些占位符需要被替换成实际内容。但是用户没有提供实际的偏差报告内容。</w:t>
      </w:r>
    </w:p>
    <w:p>
      <w:pPr>
        <w:spacing w:line="360" w:lineRule="auto"/>
        <w:jc w:val="both"/>
      </w:pPr>
      <w:r>
        <w:rPr>
          <w:rFonts w:ascii="Times New Roman" w:hAnsi="Times New Roman" w:eastAsia="宋体"/>
          <w:sz w:val="24"/>
        </w:rPr>
        <w:t>让我重新审视这个请求。用户说"请直接输出处理后的报告内容，不要添加任何解释说明。"，然后说"标准化报告："，意思是希望我输出一个标准化的报告。</w:t>
      </w:r>
    </w:p>
    <w:p>
      <w:pPr>
        <w:spacing w:line="360" w:lineRule="auto"/>
        <w:jc w:val="both"/>
      </w:pPr>
      <w:r>
        <w:rPr>
          <w:rFonts w:ascii="Times New Roman" w:hAnsi="Times New Roman" w:eastAsia="宋体"/>
          <w:sz w:val="24"/>
        </w:rPr>
        <w:t>但是，由于原始报告只有模板，没有实际内容，我无法进行实际的内容处理。我应该：</w:t>
      </w:r>
    </w:p>
    <w:p>
      <w:pPr>
        <w:spacing w:line="360" w:lineRule="auto"/>
        <w:jc w:val="both"/>
      </w:pPr>
      <w:r>
        <w:rPr>
          <w:rFonts w:ascii="Times New Roman" w:hAnsi="Times New Roman" w:eastAsia="宋体"/>
          <w:sz w:val="24"/>
        </w:rPr>
        <w:t>1. 首先识别原始报告中的SOP编号 - 但原始报告中没有SOP编号</w:t>
      </w:r>
    </w:p>
    <w:p>
      <w:pPr>
        <w:spacing w:line="360" w:lineRule="auto"/>
        <w:jc w:val="both"/>
      </w:pPr>
      <w:r>
        <w:rPr>
          <w:rFonts w:ascii="Times New Roman" w:hAnsi="Times New Roman" w:eastAsia="宋体"/>
          <w:sz w:val="24"/>
        </w:rPr>
        <w:t>2. 识别业务关键词 - 但原始报告是通用模板，没有具体业务关键词</w:t>
      </w:r>
    </w:p>
    <w:p>
      <w:pPr>
        <w:spacing w:line="360" w:lineRule="auto"/>
        <w:jc w:val="both"/>
      </w:pPr>
      <w:r>
        <w:rPr>
          <w:rFonts w:ascii="Times New Roman" w:hAnsi="Times New Roman" w:eastAsia="宋体"/>
          <w:sz w:val="24"/>
        </w:rPr>
        <w:t>3. 标准化报告用语 - 可以统一术语</w:t>
      </w:r>
    </w:p>
    <w:p>
      <w:pPr>
        <w:spacing w:line="360" w:lineRule="auto"/>
        <w:jc w:val="both"/>
      </w:pPr>
      <w:r>
        <w:rPr>
          <w:rFonts w:ascii="Times New Roman" w:hAnsi="Times New Roman" w:eastAsia="宋体"/>
          <w:sz w:val="24"/>
        </w:rPr>
        <w:t>4. 规整表格数据 - 原始报告的表格结构已经相对规整</w:t>
      </w:r>
    </w:p>
    <w:p>
      <w:pPr>
        <w:spacing w:line="360" w:lineRule="auto"/>
        <w:jc w:val="both"/>
      </w:pPr>
      <w:r>
        <w:rPr>
          <w:rFonts w:ascii="Times New Roman" w:hAnsi="Times New Roman" w:eastAsia="宋体"/>
          <w:sz w:val="24"/>
        </w:rPr>
        <w:t>看起来用户可能希望我基于SOP规则库，将这个通用模板转换成一个符合高处作业安全管理制度规范的标准化偏差报告模板。</w:t>
      </w:r>
    </w:p>
    <w:p>
      <w:pPr>
        <w:spacing w:line="360" w:lineRule="auto"/>
        <w:jc w:val="both"/>
      </w:pPr>
      <w:r>
        <w:rPr>
          <w:rFonts w:ascii="Times New Roman" w:hAnsi="Times New Roman" w:eastAsia="宋体"/>
          <w:sz w:val="24"/>
        </w:rPr>
        <w:t>但实际上，原始模板是通用的偏差报告格式，并非专门针对高处作业。我应该根据SOP规则库对报告模板进行标准化调整和优化。</w:t>
      </w:r>
    </w:p>
    <w:p>
      <w:pPr>
        <w:spacing w:line="360" w:lineRule="auto"/>
        <w:jc w:val="both"/>
      </w:pPr>
      <w:r>
        <w:rPr>
          <w:rFonts w:ascii="Times New Roman" w:hAnsi="Times New Roman" w:eastAsia="宋体"/>
          <w:sz w:val="24"/>
        </w:rPr>
        <w:t>&lt;/think&gt;</w:t>
      </w:r>
    </w:p>
    <w:p>
      <w:pPr>
        <w:spacing w:line="360" w:lineRule="auto"/>
        <w:jc w:val="both"/>
      </w:pPr>
      <w:r>
        <w:rPr>
          <w:rFonts w:ascii="Times New Roman" w:hAnsi="Times New Roman" w:eastAsia="宋体"/>
          <w:sz w:val="24"/>
        </w:rPr>
        <w:t>标准化报告</w:t>
      </w:r>
    </w:p>
    <w:p>
      <w:pPr>
        <w:pStyle w:val="Heading2"/>
      </w:pPr>
      <w:r>
        <w:rPr>
          <w:rFonts w:ascii="Times New Roman" w:hAnsi="Times New Roman" w:eastAsia="宋体"/>
          <w:b/>
          <w:sz w:val="24"/>
        </w:rPr>
        <w:t>偏差调查报告</w:t>
      </w:r>
    </w:p>
    <w:p>
      <w:r>
        <w:rPr>
          <w:rFonts w:ascii="Times New Roman" w:hAnsi="Times New Roman" w:eastAsia="宋体"/>
          <w:sz w:val="24"/>
        </w:rPr>
        <w:t>| 编号 | 内容 |</w:t>
      </w:r>
    </w:p>
    <w:p>
      <w:r>
        <w:rPr>
          <w:rFonts w:ascii="Times New Roman" w:hAnsi="Times New Roman" w:eastAsia="宋体"/>
          <w:sz w:val="24"/>
        </w:rPr>
        <w:t>|------|------|</w:t>
      </w:r>
    </w:p>
    <w:p>
      <w:r>
        <w:rPr>
          <w:rFonts w:ascii="Times New Roman" w:hAnsi="Times New Roman" w:eastAsia="宋体"/>
          <w:sz w:val="24"/>
        </w:rPr>
        <w:t>| 偏差编号 | （自动生成） |</w:t>
      </w:r>
    </w:p>
    <w:p>
      <w:r>
        <w:rPr>
          <w:rFonts w:ascii="Times New Roman" w:hAnsi="Times New Roman" w:eastAsia="宋体"/>
          <w:sz w:val="24"/>
        </w:rPr>
        <w:t>| SOP编号 | [JZLZ/EHS-SOP(009)-AQ(A/1)] |</w:t>
      </w:r>
    </w:p>
    <w:p>
      <w:r>
        <w:rPr>
          <w:rFonts w:ascii="Times New Roman" w:hAnsi="Times New Roman" w:eastAsia="宋体"/>
          <w:sz w:val="24"/>
        </w:rPr>
        <w:t>| 业务标签 | 安全生产;高处作业管理;特殊作业安全 |</w:t>
      </w:r>
    </w:p>
    <w:p>
      <w:r>
        <w:rPr>
          <w:rFonts w:ascii="Times New Roman" w:hAnsi="Times New Roman" w:eastAsia="宋体"/>
          <w:sz w:val="24"/>
        </w:rPr>
        <w:t>| 报告日期 | （填写） |</w:t>
      </w:r>
    </w:p>
    <w:p>
      <w:pPr>
        <w:pStyle w:val="Heading2"/>
      </w:pPr>
      <w:r>
        <w:rPr>
          <w:rFonts w:ascii="Times New Roman" w:hAnsi="Times New Roman" w:eastAsia="宋体"/>
          <w:b/>
          <w:sz w:val="24"/>
        </w:rPr>
        <w:t>1. 偏差概述 Executive Summary</w:t>
      </w:r>
    </w:p>
    <w:p>
      <w:pPr>
        <w:pStyle w:val="Heading2"/>
      </w:pPr>
      <w:r>
        <w:rPr>
          <w:rFonts w:ascii="Times New Roman" w:hAnsi="Times New Roman" w:eastAsia="宋体"/>
          <w:b/>
          <w:sz w:val="24"/>
        </w:rPr>
        <w:t>1.1 偏差描述</w:t>
      </w:r>
    </w:p>
    <w:p>
      <w:pPr>
        <w:spacing w:line="360" w:lineRule="auto"/>
        <w:jc w:val="both"/>
      </w:pPr>
      <w:r>
        <w:rPr>
          <w:rFonts w:ascii="Times New Roman" w:hAnsi="Times New Roman" w:eastAsia="宋体"/>
          <w:sz w:val="24"/>
        </w:rPr>
        <w:t>{{偏差描述内容}}</w:t>
      </w:r>
    </w:p>
    <w:p>
      <w:pPr>
        <w:pStyle w:val="Heading2"/>
      </w:pPr>
      <w:r>
        <w:rPr>
          <w:rFonts w:ascii="Times New Roman" w:hAnsi="Times New Roman" w:eastAsia="宋体"/>
          <w:b/>
          <w:sz w:val="24"/>
        </w:rPr>
        <w:t>1.2 根本原因</w:t>
      </w:r>
    </w:p>
    <w:p>
      <w:pPr>
        <w:spacing w:line="360" w:lineRule="auto"/>
        <w:jc w:val="both"/>
      </w:pPr>
      <w:r>
        <w:rPr>
          <w:rFonts w:ascii="Times New Roman" w:hAnsi="Times New Roman" w:eastAsia="宋体"/>
          <w:sz w:val="24"/>
        </w:rPr>
        <w:t>{{根本原因内容}}</w:t>
      </w:r>
    </w:p>
    <w:p>
      <w:pPr>
        <w:pStyle w:val="Heading2"/>
      </w:pPr>
      <w:r>
        <w:rPr>
          <w:rFonts w:ascii="Times New Roman" w:hAnsi="Times New Roman" w:eastAsia="宋体"/>
          <w:b/>
          <w:sz w:val="24"/>
        </w:rPr>
        <w:t>1.3 纠正预防措施</w:t>
      </w:r>
    </w:p>
    <w:p>
      <w:r>
        <w:rPr>
          <w:rFonts w:ascii="Times New Roman" w:hAnsi="Times New Roman" w:eastAsia="宋体"/>
          <w:sz w:val="24"/>
        </w:rPr>
        <w:t>| 序号 | 措施类型 | 具体措施 | 说明 |</w:t>
      </w:r>
    </w:p>
    <w:p>
      <w:r>
        <w:rPr>
          <w:rFonts w:ascii="Times New Roman" w:hAnsi="Times New Roman" w:eastAsia="宋体"/>
          <w:sz w:val="24"/>
        </w:rPr>
        <w:t>|------|----------|----------|------|</w:t>
      </w:r>
    </w:p>
    <w:p>
      <w:r>
        <w:rPr>
          <w:rFonts w:ascii="Times New Roman" w:hAnsi="Times New Roman" w:eastAsia="宋体"/>
          <w:sz w:val="24"/>
        </w:rPr>
        <w:t>| 1 | 纠正措施 | {{措施1}} | - |</w:t>
      </w:r>
    </w:p>
    <w:p>
      <w:r>
        <w:rPr>
          <w:rFonts w:ascii="Times New Roman" w:hAnsi="Times New Roman" w:eastAsia="宋体"/>
          <w:sz w:val="24"/>
        </w:rPr>
        <w:t>| 2 | 纠正措施 | {{措施2}} | - |</w:t>
      </w:r>
    </w:p>
    <w:p>
      <w:r>
        <w:rPr>
          <w:rFonts w:ascii="Times New Roman" w:hAnsi="Times New Roman" w:eastAsia="宋体"/>
          <w:sz w:val="24"/>
        </w:rPr>
        <w:t>| 3 | 预防措施 | {{措施3}} | - |</w:t>
      </w:r>
    </w:p>
    <w:p>
      <w:r>
        <w:rPr>
          <w:rFonts w:ascii="Times New Roman" w:hAnsi="Times New Roman" w:eastAsia="宋体"/>
          <w:sz w:val="24"/>
        </w:rPr>
        <w:t>| 4 | 预防措施 | {{措施4}} | - |</w:t>
      </w:r>
    </w:p>
    <w:p>
      <w:pPr>
        <w:pStyle w:val="Heading2"/>
      </w:pPr>
      <w:r>
        <w:rPr>
          <w:rFonts w:ascii="Times New Roman" w:hAnsi="Times New Roman" w:eastAsia="宋体"/>
          <w:b/>
          <w:sz w:val="24"/>
        </w:rPr>
        <w:t>2. 根本原因调查 Root Cause Investigation</w:t>
      </w:r>
    </w:p>
    <w:p>
      <w:pPr>
        <w:pStyle w:val="Heading2"/>
      </w:pPr>
      <w:r>
        <w:rPr>
          <w:rFonts w:ascii="Times New Roman" w:hAnsi="Times New Roman" w:eastAsia="宋体"/>
          <w:b/>
          <w:sz w:val="24"/>
        </w:rPr>
        <w:t>2.1 背景介绍 Background Introduction</w:t>
      </w:r>
    </w:p>
    <w:p>
      <w:r>
        <w:rPr>
          <w:rFonts w:ascii="Times New Roman" w:hAnsi="Times New Roman" w:eastAsia="宋体"/>
          <w:sz w:val="24"/>
        </w:rPr>
        <w:t>| 项目 | 内容 |</w:t>
      </w:r>
    </w:p>
    <w:p>
      <w:r>
        <w:rPr>
          <w:rFonts w:ascii="Times New Roman" w:hAnsi="Times New Roman" w:eastAsia="宋体"/>
          <w:sz w:val="24"/>
        </w:rPr>
        <w:t>|------|------|</w:t>
      </w:r>
    </w:p>
    <w:p>
      <w:r>
        <w:rPr>
          <w:rFonts w:ascii="Times New Roman" w:hAnsi="Times New Roman" w:eastAsia="宋体"/>
          <w:sz w:val="24"/>
        </w:rPr>
        <w:t>| 作业类型 | 高处作业 |</w:t>
      </w:r>
    </w:p>
    <w:p>
      <w:r>
        <w:rPr>
          <w:rFonts w:ascii="Times New Roman" w:hAnsi="Times New Roman" w:eastAsia="宋体"/>
          <w:sz w:val="24"/>
        </w:rPr>
        <w:t>| 作业高度 | m（距坠落高度基准面2米及以上） |</w:t>
      </w:r>
    </w:p>
    <w:p>
      <w:r>
        <w:rPr>
          <w:rFonts w:ascii="Times New Roman" w:hAnsi="Times New Roman" w:eastAsia="宋体"/>
          <w:sz w:val="24"/>
        </w:rPr>
        <w:t>| 作业级别 | □一级(2m≤h≤5m) □二级(5m&lt;h≤15m) □三级(15m&lt;h≤30m) □特级(h&gt;30m) |</w:t>
      </w:r>
    </w:p>
    <w:p>
      <w:r>
        <w:rPr>
          <w:rFonts w:ascii="Times New Roman" w:hAnsi="Times New Roman" w:eastAsia="宋体"/>
          <w:sz w:val="24"/>
        </w:rPr>
        <w:t>| 作业票编号 | （附件：高处安全作业票） |</w:t>
      </w:r>
    </w:p>
    <w:p>
      <w:r>
        <w:rPr>
          <w:rFonts w:ascii="Times New Roman" w:hAnsi="Times New Roman" w:eastAsia="宋体"/>
          <w:sz w:val="24"/>
        </w:rPr>
        <w:t>| 检测方法 | {{检测方法内容}} |</w:t>
      </w:r>
    </w:p>
    <w:p>
      <w:r>
        <w:rPr>
          <w:rFonts w:ascii="Times New Roman" w:hAnsi="Times New Roman" w:eastAsia="宋体"/>
          <w:sz w:val="24"/>
        </w:rPr>
        <w:t>| 溶液制备过程 | {{溶液制备过程}} |</w:t>
      </w:r>
    </w:p>
    <w:p>
      <w:r>
        <w:rPr>
          <w:rFonts w:ascii="Times New Roman" w:hAnsi="Times New Roman" w:eastAsia="宋体"/>
          <w:sz w:val="24"/>
        </w:rPr>
        <w:t>| 检测结果 | {{检测结果}}（附件1） |</w:t>
      </w:r>
    </w:p>
    <w:p>
      <w:pPr>
        <w:pStyle w:val="Heading2"/>
      </w:pPr>
      <w:r>
        <w:rPr>
          <w:rFonts w:ascii="Times New Roman" w:hAnsi="Times New Roman" w:eastAsia="宋体"/>
          <w:b/>
          <w:sz w:val="24"/>
        </w:rPr>
        <w:t>2.2 偏差根本原因分析及调查 Root Cause Analysis and Investigation</w:t>
      </w:r>
    </w:p>
    <w:p>
      <w:pPr>
        <w:pStyle w:val="Heading2"/>
      </w:pPr>
      <w:r>
        <w:rPr>
          <w:rFonts w:ascii="Times New Roman" w:hAnsi="Times New Roman" w:eastAsia="宋体"/>
          <w:b/>
          <w:sz w:val="24"/>
        </w:rPr>
        <w:t>初步原因分析</w:t>
      </w:r>
    </w:p>
    <w:p>
      <w:pPr>
        <w:spacing w:line="360" w:lineRule="auto"/>
        <w:jc w:val="both"/>
      </w:pPr>
      <w:r>
        <w:rPr>
          <w:rFonts w:ascii="Times New Roman" w:hAnsi="Times New Roman" w:eastAsia="宋体"/>
          <w:sz w:val="24"/>
        </w:rPr>
        <w:t>{{初步原因分析}}</w:t>
      </w:r>
    </w:p>
    <w:p>
      <w:pPr>
        <w:pStyle w:val="Heading2"/>
      </w:pPr>
      <w:r>
        <w:rPr>
          <w:rFonts w:ascii="Times New Roman" w:hAnsi="Times New Roman" w:eastAsia="宋体"/>
          <w:b/>
          <w:sz w:val="24"/>
        </w:rPr>
        <w:t>2.3 深入调查</w:t>
      </w:r>
    </w:p>
    <w:p>
      <w:r>
        <w:rPr>
          <w:rFonts w:ascii="Times New Roman" w:hAnsi="Times New Roman" w:eastAsia="宋体"/>
          <w:sz w:val="24"/>
        </w:rPr>
        <w:t>| 调查项目 | 调查内容 | 调查结果 |</w:t>
      </w:r>
    </w:p>
    <w:p>
      <w:r>
        <w:rPr>
          <w:rFonts w:ascii="Times New Roman" w:hAnsi="Times New Roman" w:eastAsia="宋体"/>
          <w:sz w:val="24"/>
        </w:rPr>
        <w:t>|----------|----------|----------|</w:t>
      </w:r>
    </w:p>
    <w:p>
      <w:r>
        <w:rPr>
          <w:rFonts w:ascii="Times New Roman" w:hAnsi="Times New Roman" w:eastAsia="宋体"/>
          <w:sz w:val="24"/>
        </w:rPr>
        <w:t>| 2.3.1 {{调查项}} | {{调查内容}} | （填写） |</w:t>
      </w:r>
    </w:p>
    <w:p>
      <w:pPr>
        <w:pStyle w:val="Heading2"/>
      </w:pPr>
      <w:r>
        <w:rPr>
          <w:rFonts w:ascii="Times New Roman" w:hAnsi="Times New Roman" w:eastAsia="宋体"/>
          <w:b/>
          <w:sz w:val="24"/>
        </w:rPr>
        <w:t>3. 影响评估 Impact Assessment</w:t>
      </w:r>
    </w:p>
    <w:p>
      <w:r>
        <w:rPr>
          <w:rFonts w:ascii="Times New Roman" w:hAnsi="Times New Roman" w:eastAsia="宋体"/>
          <w:sz w:val="24"/>
        </w:rPr>
        <w:t>| 影响范围 | 影响内容 |</w:t>
      </w:r>
    </w:p>
    <w:p>
      <w:r>
        <w:rPr>
          <w:rFonts w:ascii="Times New Roman" w:hAnsi="Times New Roman" w:eastAsia="宋体"/>
          <w:sz w:val="24"/>
        </w:rPr>
        <w:t>|----------|----------|</w:t>
      </w:r>
    </w:p>
    <w:p>
      <w:r>
        <w:rPr>
          <w:rFonts w:ascii="Times New Roman" w:hAnsi="Times New Roman" w:eastAsia="宋体"/>
          <w:sz w:val="24"/>
        </w:rPr>
        <w:t>| 对目前批次产品质量的影响 | {{影响1}} |</w:t>
      </w:r>
    </w:p>
    <w:p>
      <w:r>
        <w:rPr>
          <w:rFonts w:ascii="Times New Roman" w:hAnsi="Times New Roman" w:eastAsia="宋体"/>
          <w:sz w:val="24"/>
        </w:rPr>
        <w:t>| 对偏差产品相邻批次质量的影响 | {{影响2}} |</w:t>
      </w:r>
    </w:p>
    <w:p>
      <w:r>
        <w:rPr>
          <w:rFonts w:ascii="Times New Roman" w:hAnsi="Times New Roman" w:eastAsia="宋体"/>
          <w:sz w:val="24"/>
        </w:rPr>
        <w:t>| 对其他产品质量或系统的影响 | {{影响3}} |</w:t>
      </w:r>
    </w:p>
    <w:p>
      <w:r>
        <w:rPr>
          <w:rFonts w:ascii="Times New Roman" w:hAnsi="Times New Roman" w:eastAsia="宋体"/>
          <w:sz w:val="24"/>
        </w:rPr>
        <w:t>| 过去6个月内重复性偏差发生情况 | {{历史偏差}} |</w:t>
      </w:r>
    </w:p>
    <w:p>
      <w:r>
        <w:rPr>
          <w:rFonts w:ascii="Times New Roman" w:hAnsi="Times New Roman" w:eastAsia="宋体"/>
          <w:sz w:val="24"/>
        </w:rPr>
        <w:t>| 其他方面（客户、复验期/有效期、稳定性研究、验证/确认状态等） | {{其他影响}} |</w:t>
      </w:r>
    </w:p>
    <w:p>
      <w:pPr>
        <w:pStyle w:val="Heading2"/>
      </w:pPr>
      <w:r>
        <w:rPr>
          <w:rFonts w:ascii="Times New Roman" w:hAnsi="Times New Roman" w:eastAsia="宋体"/>
          <w:b/>
          <w:sz w:val="24"/>
        </w:rPr>
        <w:t>4. 调查结论 Investigation Conclusion</w:t>
      </w:r>
    </w:p>
    <w:p>
      <w:pPr>
        <w:spacing w:line="360" w:lineRule="auto"/>
        <w:jc w:val="both"/>
      </w:pPr>
      <w:r>
        <w:rPr>
          <w:rFonts w:ascii="Times New Roman" w:hAnsi="Times New Roman" w:eastAsia="宋体"/>
          <w:sz w:val="24"/>
        </w:rPr>
        <w:t>{{调查结论}}</w:t>
      </w:r>
    </w:p>
    <w:p>
      <w:pPr>
        <w:pStyle w:val="Heading2"/>
      </w:pPr>
      <w:r>
        <w:rPr>
          <w:rFonts w:ascii="Times New Roman" w:hAnsi="Times New Roman" w:eastAsia="宋体"/>
          <w:b/>
          <w:sz w:val="24"/>
        </w:rPr>
        <w:t>根本原因类别 The Root Cause Categorzations</w:t>
      </w:r>
    </w:p>
    <w:p>
      <w:r>
        <w:rPr>
          <w:rFonts w:ascii="Times New Roman" w:hAnsi="Times New Roman" w:eastAsia="宋体"/>
          <w:sz w:val="24"/>
        </w:rPr>
        <w:t>| 类别 | 选择 |</w:t>
      </w:r>
    </w:p>
    <w:p>
      <w:r>
        <w:rPr>
          <w:rFonts w:ascii="Times New Roman" w:hAnsi="Times New Roman" w:eastAsia="宋体"/>
          <w:sz w:val="24"/>
        </w:rPr>
        <w:t>|------|------|</w:t>
      </w:r>
    </w:p>
    <w:p>
      <w:r>
        <w:rPr>
          <w:rFonts w:ascii="Times New Roman" w:hAnsi="Times New Roman" w:eastAsia="宋体"/>
          <w:sz w:val="24"/>
        </w:rPr>
        <w:t>| □ 过程控制缺陷 | □ |</w:t>
      </w:r>
    </w:p>
    <w:p>
      <w:r>
        <w:rPr>
          <w:rFonts w:ascii="Times New Roman" w:hAnsi="Times New Roman" w:eastAsia="宋体"/>
          <w:sz w:val="24"/>
        </w:rPr>
        <w:t>| □ 外来异物 | □ |</w:t>
      </w:r>
    </w:p>
    <w:p>
      <w:r>
        <w:rPr>
          <w:rFonts w:ascii="Times New Roman" w:hAnsi="Times New Roman" w:eastAsia="宋体"/>
          <w:sz w:val="24"/>
        </w:rPr>
        <w:t>| □ 校验/预防维修 | □ |</w:t>
      </w:r>
    </w:p>
    <w:p>
      <w:r>
        <w:rPr>
          <w:rFonts w:ascii="Times New Roman" w:hAnsi="Times New Roman" w:eastAsia="宋体"/>
          <w:sz w:val="24"/>
        </w:rPr>
        <w:t>| □ 混淆 | □ |</w:t>
      </w:r>
    </w:p>
    <w:p>
      <w:r>
        <w:rPr>
          <w:rFonts w:ascii="Times New Roman" w:hAnsi="Times New Roman" w:eastAsia="宋体"/>
          <w:sz w:val="24"/>
        </w:rPr>
        <w:t>| □ 物料质量缺陷 | □ |</w:t>
      </w:r>
    </w:p>
    <w:p>
      <w:r>
        <w:rPr>
          <w:rFonts w:ascii="Times New Roman" w:hAnsi="Times New Roman" w:eastAsia="宋体"/>
          <w:sz w:val="24"/>
        </w:rPr>
        <w:t>| □ 人员失误 | □ |</w:t>
      </w:r>
    </w:p>
    <w:p>
      <w:r>
        <w:rPr>
          <w:rFonts w:ascii="Times New Roman" w:hAnsi="Times New Roman" w:eastAsia="宋体"/>
          <w:sz w:val="24"/>
        </w:rPr>
        <w:t>| □ OOS结果 | □ |</w:t>
      </w:r>
    </w:p>
    <w:p>
      <w:r>
        <w:rPr>
          <w:rFonts w:ascii="Times New Roman" w:hAnsi="Times New Roman" w:eastAsia="宋体"/>
          <w:sz w:val="24"/>
        </w:rPr>
        <w:t>| □ 文件记录缺陷 | □ |</w:t>
      </w:r>
    </w:p>
    <w:p>
      <w:r>
        <w:rPr>
          <w:rFonts w:ascii="Times New Roman" w:hAnsi="Times New Roman" w:eastAsia="宋体"/>
          <w:sz w:val="24"/>
        </w:rPr>
        <w:t>| □ 设备故障/过程中断 | □ |</w:t>
      </w:r>
    </w:p>
    <w:p>
      <w:r>
        <w:rPr>
          <w:rFonts w:ascii="Times New Roman" w:hAnsi="Times New Roman" w:eastAsia="宋体"/>
          <w:sz w:val="24"/>
        </w:rPr>
        <w:t>| □ 环境 | □ |</w:t>
      </w:r>
    </w:p>
    <w:p>
      <w:r>
        <w:rPr>
          <w:rFonts w:ascii="Times New Roman" w:hAnsi="Times New Roman" w:eastAsia="宋体"/>
          <w:sz w:val="24"/>
        </w:rPr>
        <w:t>| □ 其他：{{其他原因}} | □ |</w:t>
      </w:r>
    </w:p>
    <w:p>
      <w:pPr>
        <w:pStyle w:val="Heading2"/>
      </w:pPr>
      <w:r>
        <w:rPr>
          <w:rFonts w:ascii="Times New Roman" w:hAnsi="Times New Roman" w:eastAsia="宋体"/>
          <w:b/>
          <w:sz w:val="24"/>
        </w:rPr>
        <w:t>5. 纠正预防措施 CA PA</w:t>
      </w:r>
    </w:p>
    <w:p>
      <w:r>
        <w:rPr>
          <w:rFonts w:ascii="Times New Roman" w:hAnsi="Times New Roman" w:eastAsia="宋体"/>
          <w:sz w:val="24"/>
        </w:rPr>
        <w:t>| 序号 | 措施类型 | 措施内容 | 责任人 | 完成期限 | 说明 |</w:t>
      </w:r>
    </w:p>
    <w:p>
      <w:r>
        <w:rPr>
          <w:rFonts w:ascii="Times New Roman" w:hAnsi="Times New Roman" w:eastAsia="宋体"/>
          <w:sz w:val="24"/>
        </w:rPr>
        <w:t>|------|----------|----------|--------|----------|------|</w:t>
      </w:r>
    </w:p>
    <w:p>
      <w:r>
        <w:rPr>
          <w:rFonts w:ascii="Times New Roman" w:hAnsi="Times New Roman" w:eastAsia="宋体"/>
          <w:sz w:val="24"/>
        </w:rPr>
        <w:t>| 1 | □纠正 □预防 | {{措施}} | （填写） | （填写） | - |</w:t>
      </w:r>
    </w:p>
    <w:p>
      <w:r>
        <w:rPr>
          <w:rFonts w:ascii="Times New Roman" w:hAnsi="Times New Roman" w:eastAsia="宋体"/>
          <w:sz w:val="24"/>
        </w:rPr>
        <w:t>| 2 | □纠正 □预防 | {{措施}} | （填写） | （填写） | - |</w:t>
      </w:r>
    </w:p>
    <w:p>
      <w:r>
        <w:rPr>
          <w:rFonts w:ascii="Times New Roman" w:hAnsi="Times New Roman" w:eastAsia="宋体"/>
          <w:sz w:val="24"/>
        </w:rPr>
        <w:t>| 3 | □纠正 □预防 | {{措施}} | （填写） | （填写） | - |</w:t>
      </w:r>
    </w:p>
    <w:p>
      <w:r>
        <w:rPr>
          <w:rFonts w:ascii="Times New Roman" w:hAnsi="Times New Roman" w:eastAsia="宋体"/>
          <w:sz w:val="24"/>
        </w:rPr>
        <w:t>| 4 | □纠正 □预防 | {{措施}} | （填写） | （填写） | - |</w:t>
      </w:r>
    </w:p>
    <w:p>
      <w:pPr>
        <w:pStyle w:val="Heading2"/>
      </w:pPr>
      <w:r>
        <w:rPr>
          <w:rFonts w:ascii="Times New Roman" w:hAnsi="Times New Roman" w:eastAsia="宋体"/>
          <w:b/>
          <w:sz w:val="24"/>
        </w:rPr>
        <w:t>6. 附件清单</w:t>
      </w:r>
    </w:p>
    <w:p>
      <w:r>
        <w:rPr>
          <w:rFonts w:ascii="Times New Roman" w:hAnsi="Times New Roman" w:eastAsia="宋体"/>
          <w:sz w:val="24"/>
        </w:rPr>
        <w:t>| 附件编号 | 附件名称 | 备注 |</w:t>
      </w:r>
    </w:p>
    <w:p>
      <w:r>
        <w:rPr>
          <w:rFonts w:ascii="Times New Roman" w:hAnsi="Times New Roman" w:eastAsia="宋体"/>
          <w:sz w:val="24"/>
        </w:rPr>
        <w:t>|----------|----------|------|</w:t>
      </w:r>
    </w:p>
    <w:p>
      <w:r>
        <w:rPr>
          <w:rFonts w:ascii="Times New Roman" w:hAnsi="Times New Roman" w:eastAsia="宋体"/>
          <w:sz w:val="24"/>
        </w:rPr>
        <w:t>| 附件1 | 检测结果 | - |</w:t>
      </w:r>
    </w:p>
    <w:p>
      <w:r>
        <w:rPr>
          <w:rFonts w:ascii="Times New Roman" w:hAnsi="Times New Roman" w:eastAsia="宋体"/>
          <w:sz w:val="24"/>
        </w:rPr>
        <w:t>| 附件2 | 高处安全作业票 | （编号：___，有效期：最长7天） |</w:t>
      </w:r>
    </w:p>
    <w:p>
      <w:r>
        <w:rPr>
          <w:rFonts w:ascii="Times New Roman" w:hAnsi="Times New Roman" w:eastAsia="宋体"/>
          <w:sz w:val="24"/>
        </w:rPr>
        <w:t>| 附件3 | 现场照片 | - |</w:t>
      </w:r>
    </w:p>
    <w:p>
      <w:pPr>
        <w:pStyle w:val="Heading2"/>
      </w:pPr>
      <w:r>
        <w:rPr>
          <w:rFonts w:ascii="Times New Roman" w:hAnsi="Times New Roman" w:eastAsia="宋体"/>
          <w:b/>
          <w:sz w:val="24"/>
        </w:rPr>
        <w:t>7. 审批签字</w:t>
      </w:r>
    </w:p>
    <w:p>
      <w:r>
        <w:rPr>
          <w:rFonts w:ascii="Times New Roman" w:hAnsi="Times New Roman" w:eastAsia="宋体"/>
          <w:sz w:val="24"/>
        </w:rPr>
        <w:t>| 角色 | 签名 | 日期 |</w:t>
      </w:r>
    </w:p>
    <w:p>
      <w:r>
        <w:rPr>
          <w:rFonts w:ascii="Times New Roman" w:hAnsi="Times New Roman" w:eastAsia="宋体"/>
          <w:sz w:val="24"/>
        </w:rPr>
        <w:t>|------|------|------|</w:t>
      </w:r>
    </w:p>
    <w:p>
      <w:r>
        <w:rPr>
          <w:rFonts w:ascii="Times New Roman" w:hAnsi="Times New Roman" w:eastAsia="宋体"/>
          <w:sz w:val="24"/>
        </w:rPr>
        <w:t>| 调查人 | ________________ | ________________ |</w:t>
      </w:r>
    </w:p>
    <w:p>
      <w:r>
        <w:rPr>
          <w:rFonts w:ascii="Times New Roman" w:hAnsi="Times New Roman" w:eastAsia="宋体"/>
          <w:sz w:val="24"/>
        </w:rPr>
        <w:t>| QA调查人 | ________________ | ________________ |</w:t>
      </w:r>
    </w:p>
    <w:p>
      <w:r>
        <w:rPr>
          <w:rFonts w:ascii="Times New Roman" w:hAnsi="Times New Roman" w:eastAsia="宋体"/>
          <w:sz w:val="24"/>
        </w:rPr>
        <w:t>| 部门负责人 | ________________ | ________________ |</w:t>
      </w:r>
    </w:p>
    <w:p>
      <w:r>
        <w:rPr>
          <w:rFonts w:ascii="Times New Roman" w:hAnsi="Times New Roman" w:eastAsia="宋体"/>
          <w:sz w:val="24"/>
        </w:rPr>
        <w:t>| 安全部审核 | ________________ | ________________ |</w:t>
      </w:r>
    </w:p>
    <w:p>
      <w:r>
        <w:rPr>
          <w:rFonts w:ascii="Times New Roman" w:hAnsi="Times New Roman" w:eastAsia="宋体"/>
          <w:sz w:val="24"/>
        </w:rPr>
        <w:t>| 设备部负责人（适用于一级、二级、三级） | ________________ | ________________ |</w:t>
      </w:r>
    </w:p>
    <w:p>
      <w:r>
        <w:rPr>
          <w:rFonts w:ascii="Times New Roman" w:hAnsi="Times New Roman" w:eastAsia="宋体"/>
          <w:sz w:val="24"/>
        </w:rPr>
        <w:t>| 公司总经理（适用于特级高处作业） | ________________ | ________________ |</w:t>
      </w:r>
    </w:p>
    <w:p>
      <w:pPr>
        <w:pStyle w:val="Heading2"/>
      </w:pPr>
      <w:r>
        <w:rPr>
          <w:rFonts w:ascii="Times New Roman" w:hAnsi="Times New Roman" w:eastAsia="宋体"/>
          <w:b/>
          <w:sz w:val="24"/>
        </w:rPr>
        <w:t>备注：</w:t>
      </w:r>
    </w:p>
    <w:p>
      <w:pPr>
        <w:spacing w:line="360" w:lineRule="auto"/>
        <w:jc w:val="both"/>
      </w:pPr>
      <w:r>
        <w:rPr>
          <w:rFonts w:ascii="Times New Roman" w:hAnsi="Times New Roman" w:eastAsia="宋体"/>
          <w:sz w:val="24"/>
        </w:rPr>
        <w:t>1. 本报告适用于焦作丽珠合成制药有限公司内所有区域高处作业偏差调查</w:t>
      </w:r>
    </w:p>
    <w:p>
      <w:pPr>
        <w:spacing w:line="360" w:lineRule="auto"/>
        <w:jc w:val="both"/>
      </w:pPr>
      <w:r>
        <w:rPr>
          <w:rFonts w:ascii="Times New Roman" w:hAnsi="Times New Roman" w:eastAsia="宋体"/>
          <w:sz w:val="24"/>
        </w:rPr>
        <w:t>2. 作业高度基准：距坠落高度基准面2米及以上</w:t>
      </w:r>
    </w:p>
    <w:p>
      <w:pPr>
        <w:spacing w:line="360" w:lineRule="auto"/>
        <w:jc w:val="both"/>
      </w:pPr>
      <w:r>
        <w:rPr>
          <w:rFonts w:ascii="Times New Roman" w:hAnsi="Times New Roman" w:eastAsia="宋体"/>
          <w:sz w:val="24"/>
        </w:rPr>
        <w:t>3. 高处作业前必须办理《高处安全作业票》，由作业区域班长、部门负责人、作业单位负责人三方确认安全措施</w:t>
      </w:r>
    </w:p>
    <w:p>
      <w:pPr>
        <w:spacing w:line="360" w:lineRule="auto"/>
        <w:jc w:val="both"/>
      </w:pPr>
      <w:r>
        <w:rPr>
          <w:rFonts w:ascii="Times New Roman" w:hAnsi="Times New Roman" w:eastAsia="宋体"/>
          <w:sz w:val="24"/>
        </w:rPr>
        <w:t>4. 个人防护要求：必须系好安全带(高挂低用)、戴安全帽，禁止穿硬底和带钉易滑鞋</w:t>
      </w:r>
    </w:p>
    <w:p>
      <w:pPr>
        <w:spacing w:line="360" w:lineRule="auto"/>
        <w:jc w:val="both"/>
      </w:pPr>
      <w:r>
        <w:rPr>
          <w:rFonts w:ascii="Times New Roman" w:hAnsi="Times New Roman" w:eastAsia="宋体"/>
          <w:sz w:val="24"/>
        </w:rPr>
        <w:t>5. 作业票有效期：最长7天</w:t>
      </w:r>
    </w:p>
    <w:p>
      <w:pPr>
        <w:spacing w:line="360" w:lineRule="auto"/>
        <w:jc w:val="both"/>
      </w:pPr>
      <w:r>
        <w:rPr>
          <w:rFonts w:ascii="Times New Roman" w:hAnsi="Times New Roman" w:eastAsia="宋体"/>
          <w:sz w:val="24"/>
        </w:rPr>
        <w:t>6. 恶劣气候条件：五级风以上、雷电、暴雨、大雾禁止露天高处作业</w:t>
      </w:r>
    </w:p>
    <w:p>
      <w:pPr>
        <w:spacing w:line="360" w:lineRule="auto"/>
        <w:jc w:val="both"/>
      </w:pPr>
      <w:r>
        <w:rPr>
          <w:rFonts w:ascii="Times New Roman" w:hAnsi="Times New Roman" w:eastAsia="宋体"/>
          <w:sz w:val="24"/>
        </w:rPr>
        <w:t>7. 监护要求：监护人不得离开现场，作业未结束不得离开</w:t>
      </w:r>
    </w:p>
    <w:sectPr w:rsidR="00FC693F" w:rsidRPr="0006063C" w:rsidSect="00034616">
      <w:pgSz w:w="11909" w:h="16834" w:orient="landscape"/>
      <w:pgMar w:top="1440" w:right="1083" w:bottom="1440" w:left="129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360" w:lineRule="auto"/>
      <w:jc w:val="center"/>
      <w:outlineLvl w:val="0"/>
    </w:pPr>
    <w:rPr>
      <w:rFonts w:asciiTheme="majorHAnsi" w:eastAsiaTheme="majorEastAsia" w:hAnsiTheme="majorHAnsi" w:cstheme="majorBidi" w:ascii="Times New Roman" w:hAnsi="Times New Roman" w:eastAsia="宋体"/>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line="360" w:lineRule="auto"/>
      <w:jc w:val="both"/>
      <w:outlineLvl w:val="1"/>
    </w:pPr>
    <w:rPr>
      <w:rFonts w:asciiTheme="majorHAnsi" w:eastAsiaTheme="majorEastAsia" w:hAnsiTheme="majorHAnsi" w:cstheme="majorBidi" w:ascii="Times New Roman" w:hAnsi="Times New Roman" w:eastAsia="宋体"/>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line="360" w:lineRule="auto"/>
      <w:jc w:val="both"/>
      <w:outlineLvl w:val="2"/>
    </w:pPr>
    <w:rPr>
      <w:rFonts w:asciiTheme="majorHAnsi" w:eastAsiaTheme="majorEastAsia" w:hAnsiTheme="majorHAnsi" w:cstheme="majorBidi" w:ascii="Times New Roman" w:hAnsi="Times New Roman" w:eastAsia="宋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