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009高处作业安全管理制度SOP（20240613）</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4140" w:type="dxa"/>
            <w:hMerge w:val="restart"/>
            <w:v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b w:val="true"/>
                <w:sz w:val="22"/>
              </w:rPr>
              <w:t>文件标题：</w:t>
            </w:r>
          </w:p>
          <w:p>
            <w:pPr>
              <w:spacing w:before="120" w:after="120" w:line="288" w:lineRule="auto"/>
              <w:ind w:left="0" w:firstLine="0"/>
              <w:jc w:val="center"/>
            </w:pPr>
            <w:r>
              <w:rPr>
                <w:rFonts w:eastAsia="等线" w:ascii="Arial" w:cs="Arial" w:hAnsi="Arial"/>
                <w:b w:val="true"/>
                <w:sz w:val="22"/>
              </w:rPr>
              <w:t>高处作业安全管理制度</w:t>
            </w:r>
          </w:p>
        </w:tc>
        <w:tc>
          <w:tcPr>
            <w:tcW w:w="2070" w:type="dxa"/>
            <w:hMerge w:val="continue"/>
            <w:vMerge w:val="restart"/>
            <w:tcMar>
              <w:top w:type="dxa" w:w="60"/>
              <w:left w:type="dxa" w:w="120"/>
              <w:bottom w:type="dxa" w:w="30"/>
              <w:right w:type="dxa" w:w="120"/>
            </w:tcMar>
          </w:tcPr>
          <w:p>
            <w:pPr>
              <w:spacing w:before="120" w:after="120" w:line="288" w:lineRule="auto"/>
              <w:ind w:left="0"/>
              <w:jc w:val="left"/>
            </w:pPr>
          </w:p>
        </w:tc>
        <w:tc>
          <w:tcPr>
            <w:tcW w:w="414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文件号：JZLZ/EHS-SOP(009)-AQ(A/1)</w:t>
            </w:r>
          </w:p>
          <w:p>
            <w:pPr>
              <w:spacing w:before="120" w:after="120" w:line="288" w:lineRule="auto"/>
              <w:ind w:left="0" w:firstLine="420"/>
              <w:jc w:val="left"/>
            </w:pPr>
            <w:r>
              <w:rPr>
                <w:rFonts w:eastAsia="等线" w:ascii="Arial" w:cs="Arial" w:hAnsi="Arial"/>
                <w:sz w:val="22"/>
              </w:rPr>
              <w:t>修改前：JZLZ/EHS-SOP(009)-AQ(A/0)</w:t>
            </w: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2070" w:type="dxa"/>
            <w:hMerge w:val="restart"/>
            <w:vMerge w:val="continue"/>
            <w:tcMar>
              <w:top w:type="dxa" w:w="60"/>
              <w:left w:type="dxa" w:w="120"/>
              <w:bottom w:type="dxa" w:w="30"/>
              <w:right w:type="dxa" w:w="120"/>
            </w:tcMar>
          </w:tcPr>
          <w:p>
            <w:pPr>
              <w:spacing w:before="120" w:after="120" w:line="288" w:lineRule="auto"/>
              <w:ind w:left="0"/>
              <w:jc w:val="left"/>
            </w:pPr>
          </w:p>
        </w:tc>
        <w:tc>
          <w:tcPr>
            <w:tcW w:w="2070" w:type="dxa"/>
            <w:hMerge w:val="continue"/>
            <w:vMerge w:val="continue"/>
            <w:tcMar>
              <w:top w:type="dxa" w:w="60"/>
              <w:left w:type="dxa" w:w="120"/>
              <w:bottom w:type="dxa" w:w="30"/>
              <w:right w:type="dxa" w:w="120"/>
            </w:tcMar>
          </w:tcPr>
          <w:p>
            <w:pPr>
              <w:spacing w:before="120" w:after="120" w:line="288" w:lineRule="auto"/>
              <w:ind w:left="0"/>
              <w:jc w:val="left"/>
            </w:pPr>
          </w:p>
        </w:tc>
        <w:tc>
          <w:tcPr>
            <w:tcW w:w="414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版本：       02</w:t>
            </w: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生效日期</w:t>
            </w:r>
          </w:p>
        </w:tc>
        <w:tc>
          <w:tcPr>
            <w:tcW w:w="20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2022年5月16日</w:t>
            </w:r>
          </w:p>
        </w:tc>
        <w:tc>
          <w:tcPr>
            <w:tcW w:w="20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有效日期至</w:t>
            </w:r>
          </w:p>
        </w:tc>
        <w:tc>
          <w:tcPr>
            <w:tcW w:w="20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2025年5月15日</w:t>
            </w:r>
          </w:p>
        </w:tc>
      </w:tr>
    </w:tbl>
    <w:p>
      <w:pPr>
        <w:spacing w:before="120" w:after="120" w:line="288" w:lineRule="auto"/>
        <w:ind w:left="0" w:firstLine="0"/>
        <w:jc w:val="left"/>
      </w:pPr>
      <w:r>
        <w:rPr>
          <w:rFonts w:eastAsia="等线" w:ascii="Arial" w:cs="Arial" w:hAnsi="Arial"/>
          <w:sz w:val="22"/>
        </w:rPr>
        <w:t>审核及颁发：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firstLine="0"/>
              <w:jc w:val="center"/>
            </w:pPr>
          </w:p>
          <w:p>
            <w:pPr>
              <w:spacing w:before="120" w:after="120" w:line="288" w:lineRule="auto"/>
              <w:ind w:left="0" w:firstLine="0"/>
              <w:jc w:val="center"/>
            </w:pPr>
          </w:p>
        </w:tc>
        <w:tc>
          <w:tcPr>
            <w:tcW w:w="20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部门</w:t>
            </w:r>
          </w:p>
        </w:tc>
        <w:tc>
          <w:tcPr>
            <w:tcW w:w="20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签名</w:t>
            </w:r>
          </w:p>
        </w:tc>
        <w:tc>
          <w:tcPr>
            <w:tcW w:w="20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日期</w:t>
            </w:r>
          </w:p>
        </w:tc>
      </w:tr>
      <w:tr>
        <w:tc>
          <w:tcPr>
            <w:tcW w:w="20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起草</w:t>
            </w:r>
          </w:p>
        </w:tc>
        <w:tc>
          <w:tcPr>
            <w:tcW w:w="20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安全部</w:t>
            </w:r>
          </w:p>
        </w:tc>
        <w:tc>
          <w:tcPr>
            <w:tcW w:w="2070" w:type="dxa"/>
            <w:tcMar>
              <w:top w:type="dxa" w:w="60"/>
              <w:left w:type="dxa" w:w="120"/>
              <w:bottom w:type="dxa" w:w="30"/>
              <w:right w:type="dxa" w:w="120"/>
            </w:tcMar>
          </w:tcPr>
          <w:p>
            <w:pPr>
              <w:spacing w:before="120" w:after="120" w:line="288" w:lineRule="auto"/>
              <w:ind w:left="0" w:firstLine="0"/>
              <w:jc w:val="center"/>
            </w:pPr>
          </w:p>
        </w:tc>
        <w:tc>
          <w:tcPr>
            <w:tcW w:w="2070" w:type="dxa"/>
            <w:tcMar>
              <w:top w:type="dxa" w:w="60"/>
              <w:left w:type="dxa" w:w="120"/>
              <w:bottom w:type="dxa" w:w="30"/>
              <w:right w:type="dxa" w:w="120"/>
            </w:tcMar>
          </w:tcPr>
          <w:p>
            <w:pPr>
              <w:spacing w:before="120" w:after="120" w:line="288" w:lineRule="auto"/>
              <w:ind w:left="0" w:firstLine="0"/>
              <w:jc w:val="center"/>
            </w:pPr>
          </w:p>
        </w:tc>
      </w:tr>
      <w:tr>
        <w:tc>
          <w:tcPr>
            <w:tcW w:w="207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审核</w:t>
            </w:r>
          </w:p>
        </w:tc>
        <w:tc>
          <w:tcPr>
            <w:tcW w:w="20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设备部</w:t>
            </w:r>
          </w:p>
        </w:tc>
        <w:tc>
          <w:tcPr>
            <w:tcW w:w="2070" w:type="dxa"/>
            <w:tcMar>
              <w:top w:type="dxa" w:w="60"/>
              <w:left w:type="dxa" w:w="120"/>
              <w:bottom w:type="dxa" w:w="30"/>
              <w:right w:type="dxa" w:w="120"/>
            </w:tcMar>
          </w:tcPr>
          <w:p>
            <w:pPr>
              <w:spacing w:before="120" w:after="120" w:line="288" w:lineRule="auto"/>
              <w:ind w:left="0" w:firstLine="0"/>
              <w:jc w:val="center"/>
            </w:pPr>
          </w:p>
        </w:tc>
        <w:tc>
          <w:tcPr>
            <w:tcW w:w="2070" w:type="dxa"/>
            <w:tcMar>
              <w:top w:type="dxa" w:w="60"/>
              <w:left w:type="dxa" w:w="120"/>
              <w:bottom w:type="dxa" w:w="30"/>
              <w:right w:type="dxa" w:w="120"/>
            </w:tcMar>
          </w:tcPr>
          <w:p>
            <w:pPr>
              <w:spacing w:before="120" w:after="120" w:line="288" w:lineRule="auto"/>
              <w:ind w:left="0" w:firstLine="0"/>
              <w:jc w:val="center"/>
            </w:pPr>
          </w:p>
        </w:tc>
      </w:tr>
      <w:tr>
        <w:tc>
          <w:tcPr>
            <w:tcW w:w="2070" w:type="dxa"/>
            <w:vMerge w:val="continue"/>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质量管理部</w:t>
            </w:r>
          </w:p>
        </w:tc>
        <w:tc>
          <w:tcPr>
            <w:tcW w:w="2070" w:type="dxa"/>
            <w:tcMar>
              <w:top w:type="dxa" w:w="60"/>
              <w:left w:type="dxa" w:w="120"/>
              <w:bottom w:type="dxa" w:w="30"/>
              <w:right w:type="dxa" w:w="120"/>
            </w:tcMar>
          </w:tcPr>
          <w:p>
            <w:pPr>
              <w:spacing w:before="120" w:after="120" w:line="288" w:lineRule="auto"/>
              <w:ind w:left="0" w:firstLine="0"/>
              <w:jc w:val="center"/>
            </w:pPr>
          </w:p>
        </w:tc>
        <w:tc>
          <w:tcPr>
            <w:tcW w:w="2070" w:type="dxa"/>
            <w:tcMar>
              <w:top w:type="dxa" w:w="60"/>
              <w:left w:type="dxa" w:w="120"/>
              <w:bottom w:type="dxa" w:w="30"/>
              <w:right w:type="dxa" w:w="120"/>
            </w:tcMar>
          </w:tcPr>
          <w:p>
            <w:pPr>
              <w:spacing w:before="120" w:after="120" w:line="288" w:lineRule="auto"/>
              <w:ind w:left="0" w:firstLine="0"/>
              <w:jc w:val="center"/>
            </w:pPr>
          </w:p>
        </w:tc>
      </w:tr>
      <w:tr>
        <w:tc>
          <w:tcPr>
            <w:tcW w:w="2070" w:type="dxa"/>
            <w:vMerge w:val="continue"/>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203车间</w:t>
            </w:r>
          </w:p>
        </w:tc>
        <w:tc>
          <w:tcPr>
            <w:tcW w:w="2070" w:type="dxa"/>
            <w:tcMar>
              <w:top w:type="dxa" w:w="60"/>
              <w:left w:type="dxa" w:w="120"/>
              <w:bottom w:type="dxa" w:w="30"/>
              <w:right w:type="dxa" w:w="120"/>
            </w:tcMar>
          </w:tcPr>
          <w:p>
            <w:pPr>
              <w:spacing w:before="120" w:after="120" w:line="288" w:lineRule="auto"/>
              <w:ind w:left="0" w:firstLine="0"/>
              <w:jc w:val="center"/>
            </w:pPr>
          </w:p>
        </w:tc>
        <w:tc>
          <w:tcPr>
            <w:tcW w:w="2070" w:type="dxa"/>
            <w:tcMar>
              <w:top w:type="dxa" w:w="60"/>
              <w:left w:type="dxa" w:w="120"/>
              <w:bottom w:type="dxa" w:w="30"/>
              <w:right w:type="dxa" w:w="120"/>
            </w:tcMar>
          </w:tcPr>
          <w:p>
            <w:pPr>
              <w:spacing w:before="120" w:after="120" w:line="288" w:lineRule="auto"/>
              <w:ind w:left="0" w:firstLine="0"/>
              <w:jc w:val="center"/>
            </w:pPr>
          </w:p>
        </w:tc>
      </w:tr>
      <w:tr>
        <w:tc>
          <w:tcPr>
            <w:tcW w:w="20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批准</w:t>
            </w:r>
          </w:p>
        </w:tc>
        <w:tc>
          <w:tcPr>
            <w:tcW w:w="20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安全部</w:t>
            </w:r>
          </w:p>
        </w:tc>
        <w:tc>
          <w:tcPr>
            <w:tcW w:w="2070" w:type="dxa"/>
            <w:tcMar>
              <w:top w:type="dxa" w:w="60"/>
              <w:left w:type="dxa" w:w="120"/>
              <w:bottom w:type="dxa" w:w="30"/>
              <w:right w:type="dxa" w:w="120"/>
            </w:tcMar>
          </w:tcPr>
          <w:p>
            <w:pPr>
              <w:spacing w:before="120" w:after="120" w:line="288" w:lineRule="auto"/>
              <w:ind w:left="0" w:firstLine="0"/>
              <w:jc w:val="center"/>
            </w:pPr>
          </w:p>
        </w:tc>
        <w:tc>
          <w:tcPr>
            <w:tcW w:w="2070" w:type="dxa"/>
            <w:tcMar>
              <w:top w:type="dxa" w:w="60"/>
              <w:left w:type="dxa" w:w="120"/>
              <w:bottom w:type="dxa" w:w="30"/>
              <w:right w:type="dxa" w:w="120"/>
            </w:tcMar>
          </w:tcPr>
          <w:p>
            <w:pPr>
              <w:spacing w:before="120" w:after="120" w:line="288" w:lineRule="auto"/>
              <w:ind w:left="0" w:firstLine="0"/>
              <w:jc w:val="center"/>
            </w:pPr>
          </w:p>
        </w:tc>
      </w:tr>
      <w:tr>
        <w:tc>
          <w:tcPr>
            <w:tcW w:w="20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签发</w:t>
            </w:r>
          </w:p>
        </w:tc>
        <w:tc>
          <w:tcPr>
            <w:tcW w:w="20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管理者代表</w:t>
            </w:r>
          </w:p>
        </w:tc>
        <w:tc>
          <w:tcPr>
            <w:tcW w:w="2070" w:type="dxa"/>
            <w:tcMar>
              <w:top w:type="dxa" w:w="60"/>
              <w:left w:type="dxa" w:w="120"/>
              <w:bottom w:type="dxa" w:w="30"/>
              <w:right w:type="dxa" w:w="120"/>
            </w:tcMar>
          </w:tcPr>
          <w:p>
            <w:pPr>
              <w:spacing w:before="120" w:after="120" w:line="288" w:lineRule="auto"/>
              <w:ind w:left="0" w:firstLine="0"/>
              <w:jc w:val="center"/>
            </w:pPr>
          </w:p>
        </w:tc>
        <w:tc>
          <w:tcPr>
            <w:tcW w:w="2070" w:type="dxa"/>
            <w:tcMar>
              <w:top w:type="dxa" w:w="60"/>
              <w:left w:type="dxa" w:w="120"/>
              <w:bottom w:type="dxa" w:w="30"/>
              <w:right w:type="dxa" w:w="120"/>
            </w:tcMar>
          </w:tcPr>
          <w:p>
            <w:pPr>
              <w:spacing w:before="120" w:after="120" w:line="288" w:lineRule="auto"/>
              <w:ind w:left="0" w:firstLine="0"/>
              <w:jc w:val="center"/>
            </w:pPr>
          </w:p>
        </w:tc>
      </w:tr>
      <w:tr>
        <w:tc>
          <w:tcPr>
            <w:tcW w:w="20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颁发</w:t>
            </w:r>
          </w:p>
        </w:tc>
        <w:tc>
          <w:tcPr>
            <w:tcW w:w="6210" w:type="dxa"/>
            <w:h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安全部</w:t>
            </w:r>
          </w:p>
        </w:tc>
        <w:tc>
          <w:tcPr>
            <w:tcW w:w="2070" w:type="dxa"/>
            <w:hMerge w:val="continue"/>
            <w:tcMar>
              <w:top w:type="dxa" w:w="60"/>
              <w:left w:type="dxa" w:w="120"/>
              <w:bottom w:type="dxa" w:w="30"/>
              <w:right w:type="dxa" w:w="120"/>
            </w:tcMar>
          </w:tcPr>
          <w:p>
            <w:pPr>
              <w:spacing w:before="120" w:after="120" w:line="288" w:lineRule="auto"/>
              <w:ind w:left="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颁发部门：安全部</w:t>
      </w:r>
    </w:p>
    <w:p>
      <w:pPr>
        <w:spacing w:before="120" w:after="120" w:line="288" w:lineRule="auto"/>
        <w:ind w:left="0" w:firstLine="0"/>
        <w:jc w:val="left"/>
      </w:pPr>
      <w:r>
        <w:rPr>
          <w:rFonts w:eastAsia="等线" w:ascii="Arial" w:cs="Arial" w:hAnsi="Arial"/>
          <w:sz w:val="22"/>
        </w:rPr>
        <w:t>分发部门：人事部行政部、财务部、质量管理部、203车间、安全部、环保部、研发部、采购部、设备部</w:t>
      </w:r>
    </w:p>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b w:val="true"/>
          <w:sz w:val="22"/>
        </w:rPr>
        <w:t>一、范围 （Scope）</w:t>
      </w:r>
    </w:p>
    <w:p>
      <w:pPr>
        <w:spacing w:before="120" w:after="120" w:line="288" w:lineRule="auto"/>
        <w:ind w:left="0" w:firstLine="0"/>
        <w:jc w:val="left"/>
      </w:pPr>
      <w:r>
        <w:rPr>
          <w:rFonts w:eastAsia="等线" w:ascii="Arial" w:cs="Arial" w:hAnsi="Arial"/>
          <w:sz w:val="22"/>
        </w:rPr>
        <w:t xml:space="preserve">    适用于焦作丽珠合成制药有限公司内所有区域。</w:t>
      </w:r>
    </w:p>
    <w:p>
      <w:pPr>
        <w:spacing w:before="120" w:after="120" w:line="288" w:lineRule="auto"/>
        <w:ind w:left="0" w:firstLine="0"/>
        <w:jc w:val="left"/>
      </w:pPr>
      <w:r>
        <w:rPr>
          <w:rFonts w:eastAsia="等线" w:ascii="Arial" w:cs="Arial" w:hAnsi="Arial"/>
          <w:b w:val="true"/>
          <w:sz w:val="22"/>
        </w:rPr>
        <w:t>二、目的 （Purpose）</w:t>
      </w:r>
    </w:p>
    <w:p>
      <w:pPr>
        <w:spacing w:before="120" w:after="120" w:line="288" w:lineRule="auto"/>
        <w:ind w:left="0" w:firstLine="0"/>
        <w:jc w:val="left"/>
      </w:pPr>
      <w:r>
        <w:rPr>
          <w:rFonts w:eastAsia="等线" w:ascii="Arial" w:cs="Arial" w:hAnsi="Arial"/>
          <w:sz w:val="22"/>
        </w:rPr>
        <w:t xml:space="preserve">    为加强高处作业安全管理，有效预防高处作业过程中坠落、物体打击等事故的发生，保证员工生命安全，特制订本制度。</w:t>
      </w:r>
    </w:p>
    <w:p>
      <w:pPr>
        <w:spacing w:before="120" w:after="120" w:line="288" w:lineRule="auto"/>
        <w:ind w:left="0" w:firstLine="0"/>
        <w:jc w:val="left"/>
      </w:pPr>
      <w:r>
        <w:rPr>
          <w:rFonts w:eastAsia="等线" w:ascii="Arial" w:cs="Arial" w:hAnsi="Arial"/>
          <w:b w:val="true"/>
          <w:sz w:val="22"/>
        </w:rPr>
        <w:t>三、适用范围（Scope of application）</w:t>
      </w:r>
    </w:p>
    <w:p>
      <w:pPr>
        <w:spacing w:before="120" w:after="120" w:line="288" w:lineRule="auto"/>
        <w:ind w:left="0" w:firstLine="0"/>
        <w:jc w:val="left"/>
      </w:pPr>
      <w:r>
        <w:rPr>
          <w:rFonts w:eastAsia="等线" w:ascii="Arial" w:cs="Arial" w:hAnsi="Arial"/>
          <w:sz w:val="22"/>
        </w:rPr>
        <w:t>3.1 本制度规定了焦作丽珠合成制药有限公司生产区域高处作业定义、分级、安全要求与防护和《高处安全作业票》的管理。适用于我公司生产区域所有的高处作业。</w:t>
      </w:r>
    </w:p>
    <w:p>
      <w:pPr>
        <w:spacing w:before="120" w:after="120" w:line="288" w:lineRule="auto"/>
        <w:ind w:left="0" w:firstLine="0"/>
        <w:jc w:val="left"/>
      </w:pPr>
      <w:r>
        <w:rPr>
          <w:rFonts w:eastAsia="等线" w:ascii="Arial" w:cs="Arial" w:hAnsi="Arial"/>
          <w:sz w:val="22"/>
        </w:rPr>
        <w:t>3.2 引用文件</w:t>
      </w:r>
    </w:p>
    <w:p>
      <w:pPr>
        <w:spacing w:before="120" w:after="120" w:line="288" w:lineRule="auto"/>
        <w:ind w:left="0" w:firstLine="0"/>
        <w:jc w:val="left"/>
      </w:pPr>
      <w:r>
        <w:rPr>
          <w:rFonts w:eastAsia="等线" w:ascii="Arial" w:cs="Arial" w:hAnsi="Arial"/>
          <w:sz w:val="22"/>
        </w:rPr>
        <w:t xml:space="preserve">GB30871-2022 危险化学品企业特殊作业安全规范 </w:t>
      </w:r>
    </w:p>
    <w:p>
      <w:pPr>
        <w:spacing w:before="120" w:after="120" w:line="288" w:lineRule="auto"/>
        <w:ind w:left="0" w:firstLine="0"/>
        <w:jc w:val="left"/>
      </w:pPr>
      <w:r>
        <w:rPr>
          <w:rFonts w:eastAsia="等线" w:ascii="Arial" w:cs="Arial" w:hAnsi="Arial"/>
          <w:sz w:val="22"/>
        </w:rPr>
        <w:t>3.3 定义</w:t>
      </w:r>
    </w:p>
    <w:p>
      <w:pPr>
        <w:spacing w:before="120" w:after="120" w:line="288" w:lineRule="auto"/>
        <w:ind w:left="0" w:firstLine="0"/>
        <w:jc w:val="left"/>
      </w:pPr>
      <w:r>
        <w:rPr>
          <w:rFonts w:eastAsia="等线" w:ascii="Arial" w:cs="Arial" w:hAnsi="Arial"/>
          <w:sz w:val="22"/>
        </w:rPr>
        <w:t>3.3.1 高处作业：凡距坠落高度基准面2米及其以上，有可能坠落的高处进行的作业，称为高处作业。</w:t>
      </w:r>
    </w:p>
    <w:p>
      <w:pPr>
        <w:spacing w:before="120" w:after="120" w:line="288" w:lineRule="auto"/>
        <w:ind w:left="0" w:firstLine="0"/>
        <w:jc w:val="left"/>
      </w:pPr>
      <w:r>
        <w:rPr>
          <w:rFonts w:eastAsia="等线" w:ascii="Arial" w:cs="Arial" w:hAnsi="Arial"/>
          <w:sz w:val="22"/>
        </w:rPr>
        <w:t>3.3.2 坠落高度基准面：从作业位置到最低坠落着落点的水平面，称为坠落高度基准面。</w:t>
      </w:r>
    </w:p>
    <w:p>
      <w:pPr>
        <w:spacing w:before="120" w:after="120" w:line="288" w:lineRule="auto"/>
        <w:ind w:left="0" w:firstLine="0"/>
        <w:jc w:val="left"/>
      </w:pPr>
      <w:r>
        <w:rPr>
          <w:rFonts w:eastAsia="等线" w:ascii="Arial" w:cs="Arial" w:hAnsi="Arial"/>
          <w:sz w:val="22"/>
        </w:rPr>
        <w:t>3.4 高处作业的分级</w:t>
      </w:r>
    </w:p>
    <w:p>
      <w:pPr>
        <w:spacing w:before="120" w:after="120" w:line="288" w:lineRule="auto"/>
        <w:ind w:left="0" w:firstLine="0"/>
        <w:jc w:val="left"/>
      </w:pPr>
      <w:r>
        <w:rPr>
          <w:rFonts w:eastAsia="等线" w:ascii="Arial" w:cs="Arial" w:hAnsi="Arial"/>
          <w:sz w:val="22"/>
        </w:rPr>
        <w:t xml:space="preserve">    3.4.1 作业高度在2m ≤h≤5m时，称为一级高处作业。</w:t>
      </w:r>
    </w:p>
    <w:p>
      <w:pPr>
        <w:spacing w:before="120" w:after="120" w:line="288" w:lineRule="auto"/>
        <w:ind w:left="0" w:firstLine="0"/>
        <w:jc w:val="left"/>
      </w:pPr>
      <w:r>
        <w:rPr>
          <w:rFonts w:eastAsia="等线" w:ascii="Arial" w:cs="Arial" w:hAnsi="Arial"/>
          <w:sz w:val="22"/>
        </w:rPr>
        <w:t xml:space="preserve">    3.4.2 作业高度在5m &lt;h≤15m时，称为二级高处作业。</w:t>
      </w:r>
    </w:p>
    <w:p>
      <w:pPr>
        <w:spacing w:before="120" w:after="120" w:line="288" w:lineRule="auto"/>
        <w:ind w:left="0" w:firstLine="0"/>
        <w:jc w:val="left"/>
      </w:pPr>
      <w:r>
        <w:rPr>
          <w:rFonts w:eastAsia="等线" w:ascii="Arial" w:cs="Arial" w:hAnsi="Arial"/>
          <w:sz w:val="22"/>
        </w:rPr>
        <w:t>3.4.3 作业高度在15m &lt;h≤30m时，称为三级高处作业。</w:t>
      </w:r>
    </w:p>
    <w:p>
      <w:pPr>
        <w:spacing w:before="120" w:after="120" w:line="288" w:lineRule="auto"/>
        <w:ind w:left="0" w:firstLine="0"/>
        <w:jc w:val="left"/>
      </w:pPr>
      <w:r>
        <w:rPr>
          <w:rFonts w:eastAsia="等线" w:ascii="Arial" w:cs="Arial" w:hAnsi="Arial"/>
          <w:sz w:val="22"/>
        </w:rPr>
        <w:t>3.4.4 作业高度在h&gt;30m以上时，称为特级高处作业。</w:t>
      </w:r>
    </w:p>
    <w:p>
      <w:pPr>
        <w:spacing w:before="120" w:after="120" w:line="288" w:lineRule="auto"/>
        <w:ind w:left="0" w:firstLine="0"/>
        <w:jc w:val="left"/>
      </w:pPr>
      <w:r>
        <w:rPr>
          <w:rFonts w:eastAsia="等线" w:ascii="Arial" w:cs="Arial" w:hAnsi="Arial"/>
          <w:sz w:val="22"/>
        </w:rPr>
        <w:t>3.4.2  直接引起坠落的客观危险因素主要分为9种：</w:t>
      </w:r>
    </w:p>
    <w:p>
      <w:pPr>
        <w:spacing w:before="120" w:after="120" w:line="288" w:lineRule="auto"/>
        <w:ind w:left="0" w:firstLine="0"/>
        <w:jc w:val="left"/>
      </w:pPr>
      <w:r>
        <w:rPr>
          <w:rFonts w:eastAsia="等线" w:ascii="Arial" w:cs="Arial" w:hAnsi="Arial"/>
          <w:sz w:val="22"/>
        </w:rPr>
        <w:t>3.4.2.1阵风风力五级（风速8.0m/s）以上；</w:t>
      </w:r>
    </w:p>
    <w:p>
      <w:pPr>
        <w:spacing w:before="120" w:after="120" w:line="288" w:lineRule="auto"/>
        <w:ind w:left="0" w:firstLine="0"/>
        <w:jc w:val="left"/>
      </w:pPr>
      <w:r>
        <w:rPr>
          <w:rFonts w:eastAsia="等线" w:ascii="Arial" w:cs="Arial" w:hAnsi="Arial"/>
          <w:sz w:val="22"/>
        </w:rPr>
        <w:t>3.4.2.2平均气温等于或低于5℃的作业环境；</w:t>
      </w:r>
    </w:p>
    <w:p>
      <w:pPr>
        <w:spacing w:before="120" w:after="120" w:line="288" w:lineRule="auto"/>
        <w:ind w:left="0" w:firstLine="0"/>
        <w:jc w:val="left"/>
      </w:pPr>
      <w:r>
        <w:rPr>
          <w:rFonts w:eastAsia="等线" w:ascii="Arial" w:cs="Arial" w:hAnsi="Arial"/>
          <w:sz w:val="22"/>
        </w:rPr>
        <w:t>3.4.2.3接触冷水温度等于或低于12℃的作业；</w:t>
      </w:r>
    </w:p>
    <w:p>
      <w:pPr>
        <w:spacing w:before="120" w:after="120" w:line="288" w:lineRule="auto"/>
        <w:ind w:left="0" w:firstLine="0"/>
        <w:jc w:val="left"/>
      </w:pPr>
      <w:r>
        <w:rPr>
          <w:rFonts w:eastAsia="等线" w:ascii="Arial" w:cs="Arial" w:hAnsi="Arial"/>
          <w:sz w:val="22"/>
        </w:rPr>
        <w:t>3.4.2.4作业场地有冰、雪、霜、油、水等易滑物；</w:t>
      </w:r>
    </w:p>
    <w:p>
      <w:pPr>
        <w:spacing w:before="120" w:after="120" w:line="288" w:lineRule="auto"/>
        <w:ind w:left="0" w:firstLine="0"/>
        <w:jc w:val="left"/>
      </w:pPr>
      <w:r>
        <w:rPr>
          <w:rFonts w:eastAsia="等线" w:ascii="Arial" w:cs="Arial" w:hAnsi="Arial"/>
          <w:sz w:val="22"/>
        </w:rPr>
        <w:t>3.4.2.5作业场所光线不足或能见度差；</w:t>
      </w:r>
    </w:p>
    <w:p>
      <w:pPr>
        <w:spacing w:before="120" w:after="120" w:line="288" w:lineRule="auto"/>
        <w:ind w:left="0" w:firstLine="0"/>
        <w:jc w:val="left"/>
      </w:pPr>
      <w:r>
        <w:rPr>
          <w:rFonts w:eastAsia="等线" w:ascii="Arial" w:cs="Arial" w:hAnsi="Arial"/>
          <w:sz w:val="22"/>
        </w:rPr>
        <w:t>3.4.2.6作业活动范围与危险电压带电体距离小于表1的规定；</w:t>
      </w:r>
    </w:p>
    <w:p>
      <w:pPr>
        <w:spacing w:before="120" w:after="120" w:line="288" w:lineRule="auto"/>
        <w:ind w:left="0" w:firstLine="0"/>
        <w:jc w:val="left"/>
      </w:pPr>
      <w:r>
        <w:rPr>
          <w:rFonts w:eastAsia="等线" w:ascii="Arial" w:cs="Arial" w:hAnsi="Arial"/>
          <w:sz w:val="22"/>
        </w:rPr>
        <w:t>表1  作业活动范围与危险电压带电体的距离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185"/>
        <w:gridCol w:w="1185"/>
        <w:gridCol w:w="1185"/>
        <w:gridCol w:w="1185"/>
        <w:gridCol w:w="1185"/>
        <w:gridCol w:w="1185"/>
      </w:tblGrid>
      <w:tr>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危险电压带电体的电压等级/kV</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≤10</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35</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63～110</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220</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330</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500</w:t>
            </w:r>
          </w:p>
        </w:tc>
      </w:tr>
      <w:tr>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距离/m</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1.7</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2.0</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2.5</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4.0</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5.0</w:t>
            </w:r>
          </w:p>
        </w:tc>
        <w:tc>
          <w:tcPr>
            <w:tcW w:w="11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6.0</w:t>
            </w:r>
          </w:p>
        </w:tc>
      </w:tr>
    </w:tbl>
    <w:p>
      <w:pPr>
        <w:spacing w:before="120" w:after="120" w:line="288" w:lineRule="auto"/>
        <w:ind w:left="0" w:firstLine="0"/>
        <w:jc w:val="left"/>
      </w:pPr>
      <w:r>
        <w:rPr>
          <w:rFonts w:eastAsia="等线" w:ascii="Arial" w:cs="Arial" w:hAnsi="Arial"/>
          <w:sz w:val="22"/>
        </w:rPr>
        <w:t>3.4.2.7摆动，立足处不是平面或只有很小的平面，即任一边小于500mm的矩形平面、直径小于500mm的圆形平面或具有类似尺寸的其他形状的平面，致使作业者无法维持正常姿势；</w:t>
      </w:r>
    </w:p>
    <w:p>
      <w:pPr>
        <w:spacing w:before="120" w:after="120" w:line="288" w:lineRule="auto"/>
        <w:ind w:left="0" w:firstLine="0"/>
        <w:jc w:val="left"/>
      </w:pPr>
      <w:r>
        <w:rPr>
          <w:rFonts w:eastAsia="等线" w:ascii="Arial" w:cs="Arial" w:hAnsi="Arial"/>
          <w:sz w:val="22"/>
        </w:rPr>
        <w:t>3.4.2.8存在有毒气体或空气中含氧量低于19.5%（体积分数）的作业环境；</w:t>
      </w:r>
    </w:p>
    <w:p>
      <w:pPr>
        <w:spacing w:before="120" w:after="120" w:line="288" w:lineRule="auto"/>
        <w:ind w:left="0" w:firstLine="0"/>
        <w:jc w:val="left"/>
      </w:pPr>
      <w:r>
        <w:rPr>
          <w:rFonts w:eastAsia="等线" w:ascii="Arial" w:cs="Arial" w:hAnsi="Arial"/>
          <w:sz w:val="22"/>
        </w:rPr>
        <w:t>3.4.2.9可能会引起各种灾害事故的作业环境和抢救突然发生的各种灾害事故。</w:t>
      </w:r>
    </w:p>
    <w:p>
      <w:pPr>
        <w:spacing w:before="120" w:after="120" w:line="288" w:lineRule="auto"/>
        <w:ind w:left="0" w:firstLine="0"/>
        <w:jc w:val="left"/>
      </w:pPr>
      <w:r>
        <w:rPr>
          <w:rFonts w:eastAsia="等线" w:ascii="Arial" w:cs="Arial" w:hAnsi="Arial"/>
          <w:sz w:val="22"/>
        </w:rPr>
        <w:t xml:space="preserve">   3.4.3 不存在3.4.2列出的任一种客观危险因素的高处作业按表2规定的A类法分级，存在3.4.2列出的一种或一种以上客观危险因素的高处作业按表2规定的B类法分级。</w:t>
      </w:r>
    </w:p>
    <w:p>
      <w:pPr>
        <w:spacing w:before="120" w:after="120" w:line="288" w:lineRule="auto"/>
        <w:ind w:left="0" w:firstLine="0"/>
        <w:jc w:val="center"/>
      </w:pPr>
      <w:r>
        <w:rPr>
          <w:rFonts w:eastAsia="等线" w:ascii="Arial" w:cs="Arial" w:hAnsi="Arial"/>
          <w:sz w:val="22"/>
        </w:rPr>
        <w:t>表2  高处作业分级</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分类法</w:t>
            </w:r>
          </w:p>
        </w:tc>
        <w:tc>
          <w:tcPr>
            <w:tcW w:w="6600" w:type="dxa"/>
            <w:h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高处作业高度/m</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1650" w:type="dxa"/>
            <w:hMerge w:val="continue"/>
            <w:tcMar>
              <w:top w:type="dxa" w:w="60"/>
              <w:left w:type="dxa" w:w="120"/>
              <w:bottom w:type="dxa" w:w="30"/>
              <w:right w:type="dxa" w:w="120"/>
            </w:tcMar>
          </w:tcPr>
          <w:p>
            <w:pPr>
              <w:spacing w:before="120" w:after="120" w:line="288" w:lineRule="auto"/>
              <w:ind w:left="0"/>
              <w:jc w:val="left"/>
            </w:pPr>
          </w:p>
        </w:tc>
      </w:tr>
      <w:tr>
        <w:tc>
          <w:tcPr>
            <w:tcW w:w="1650" w:type="dxa"/>
            <w:v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2≤</w:t>
            </w:r>
            <w:r>
              <w:rPr>
                <w:rFonts w:eastAsia="等线" w:ascii="Arial" w:cs="Arial" w:hAnsi="Arial"/>
                <w:i w:val="true"/>
                <w:sz w:val="22"/>
              </w:rPr>
              <w:t>h</w:t>
            </w:r>
            <w:r>
              <w:rPr>
                <w:rFonts w:eastAsia="等线" w:ascii="Arial" w:cs="Arial" w:hAnsi="Arial"/>
                <w:sz w:val="22"/>
              </w:rPr>
              <w:t>≤5</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5＜</w:t>
            </w:r>
            <w:r>
              <w:rPr>
                <w:rFonts w:eastAsia="等线" w:ascii="Arial" w:cs="Arial" w:hAnsi="Arial"/>
                <w:i w:val="true"/>
                <w:sz w:val="22"/>
              </w:rPr>
              <w:t>h</w:t>
            </w:r>
            <w:r>
              <w:rPr>
                <w:rFonts w:eastAsia="等线" w:ascii="Arial" w:cs="Arial" w:hAnsi="Arial"/>
                <w:sz w:val="22"/>
              </w:rPr>
              <w:t>≤15</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l5＜</w:t>
            </w:r>
            <w:r>
              <w:rPr>
                <w:rFonts w:eastAsia="等线" w:ascii="Arial" w:cs="Arial" w:hAnsi="Arial"/>
                <w:i w:val="true"/>
                <w:sz w:val="22"/>
              </w:rPr>
              <w:t>h</w:t>
            </w:r>
            <w:r>
              <w:rPr>
                <w:rFonts w:eastAsia="等线" w:ascii="Arial" w:cs="Arial" w:hAnsi="Arial"/>
                <w:sz w:val="22"/>
              </w:rPr>
              <w:t>≤30</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i w:val="true"/>
                <w:sz w:val="22"/>
              </w:rPr>
              <w:t>h</w:t>
            </w:r>
            <w:r>
              <w:rPr>
                <w:rFonts w:eastAsia="等线" w:ascii="Arial" w:cs="Arial" w:hAnsi="Arial"/>
                <w:sz w:val="22"/>
              </w:rPr>
              <w:t>＞30</w:t>
            </w:r>
          </w:p>
        </w:tc>
      </w:tr>
      <w:tr>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A</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Ⅰ</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Ⅱ</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Ⅲ</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Ⅳ</w:t>
            </w:r>
          </w:p>
        </w:tc>
      </w:tr>
      <w:tr>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B</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Ⅱ</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Ⅲ</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Ⅳ</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Ⅳ</w:t>
            </w:r>
          </w:p>
        </w:tc>
      </w:tr>
    </w:tbl>
    <w:p>
      <w:pPr>
        <w:spacing w:before="120" w:after="120" w:line="288" w:lineRule="auto"/>
        <w:ind w:left="0" w:firstLine="0"/>
        <w:jc w:val="left"/>
      </w:pPr>
      <w:r>
        <w:rPr>
          <w:rFonts w:eastAsia="等线" w:ascii="Arial" w:cs="Arial" w:hAnsi="Arial"/>
          <w:b w:val="true"/>
          <w:sz w:val="22"/>
        </w:rPr>
        <w:t xml:space="preserve">四、职责与权限（Responsibilities and authorities） </w:t>
      </w:r>
    </w:p>
    <w:p>
      <w:pPr>
        <w:spacing w:before="120" w:after="120" w:line="288" w:lineRule="auto"/>
        <w:ind w:left="0" w:firstLine="0"/>
        <w:jc w:val="left"/>
      </w:pPr>
      <w:r>
        <w:rPr>
          <w:rFonts w:eastAsia="等线" w:ascii="Arial" w:cs="Arial" w:hAnsi="Arial"/>
          <w:sz w:val="22"/>
        </w:rPr>
        <w:t>4.1 高处作业人员：</w:t>
      </w:r>
    </w:p>
    <w:p>
      <w:pPr>
        <w:spacing w:before="120" w:after="120" w:line="288" w:lineRule="auto"/>
        <w:ind w:left="0" w:firstLine="0"/>
        <w:jc w:val="left"/>
      </w:pPr>
      <w:r>
        <w:rPr>
          <w:rFonts w:eastAsia="等线" w:ascii="Arial" w:cs="Arial" w:hAnsi="Arial"/>
          <w:sz w:val="22"/>
        </w:rPr>
        <w:t>4.1.1 持有经审核批准的《高处安全作业票》方可作业。</w:t>
      </w:r>
    </w:p>
    <w:p>
      <w:pPr>
        <w:spacing w:before="120" w:after="120" w:line="288" w:lineRule="auto"/>
        <w:ind w:left="0" w:firstLine="0"/>
        <w:jc w:val="left"/>
      </w:pPr>
      <w:r>
        <w:rPr>
          <w:rFonts w:eastAsia="等线" w:ascii="Arial" w:cs="Arial" w:hAnsi="Arial"/>
          <w:sz w:val="22"/>
        </w:rPr>
        <w:t>4.1.2 高处作业任务、地点、时间与作业票不符，不准作业。</w:t>
      </w:r>
    </w:p>
    <w:p>
      <w:pPr>
        <w:spacing w:before="120" w:after="120" w:line="288" w:lineRule="auto"/>
        <w:ind w:left="0" w:firstLine="0"/>
        <w:jc w:val="left"/>
      </w:pPr>
      <w:r>
        <w:rPr>
          <w:rFonts w:eastAsia="等线" w:ascii="Arial" w:cs="Arial" w:hAnsi="Arial"/>
          <w:sz w:val="22"/>
        </w:rPr>
        <w:t>4.1.3 劳动保护着装和器具不符合规定，不准作业。</w:t>
      </w:r>
    </w:p>
    <w:p>
      <w:pPr>
        <w:spacing w:before="120" w:after="120" w:line="288" w:lineRule="auto"/>
        <w:ind w:left="0" w:firstLine="0"/>
        <w:jc w:val="left"/>
      </w:pPr>
      <w:r>
        <w:rPr>
          <w:rFonts w:eastAsia="等线" w:ascii="Arial" w:cs="Arial" w:hAnsi="Arial"/>
          <w:sz w:val="22"/>
        </w:rPr>
        <w:t xml:space="preserve">4.1.4 对违反本制度强令作业或安全措施没落实的，有权拒绝作业。 </w:t>
      </w:r>
    </w:p>
    <w:p>
      <w:pPr>
        <w:spacing w:before="120" w:after="120" w:line="288" w:lineRule="auto"/>
        <w:ind w:left="0" w:firstLine="0"/>
        <w:jc w:val="left"/>
      </w:pPr>
      <w:r>
        <w:rPr>
          <w:rFonts w:eastAsia="等线" w:ascii="Arial" w:cs="Arial" w:hAnsi="Arial"/>
          <w:sz w:val="22"/>
        </w:rPr>
        <w:t>4.2.监护人：</w:t>
      </w:r>
    </w:p>
    <w:p>
      <w:pPr>
        <w:spacing w:before="120" w:after="120" w:line="288" w:lineRule="auto"/>
        <w:ind w:left="0" w:firstLine="0"/>
        <w:jc w:val="left"/>
      </w:pPr>
      <w:r>
        <w:rPr>
          <w:rFonts w:eastAsia="等线" w:ascii="Arial" w:cs="Arial" w:hAnsi="Arial"/>
          <w:sz w:val="22"/>
        </w:rPr>
        <w:t>4.2.1监护人由作业点所在部门（或工段）单位指定责任心强、有经验，有应付突发事件能力，出现问题能正确处理，了解作业区域的生产工艺流程的工艺技术员或指定人员、和设备状况的维护人员共同担任监护并签字确认。</w:t>
      </w:r>
    </w:p>
    <w:p>
      <w:pPr>
        <w:spacing w:before="120" w:after="120" w:line="288" w:lineRule="auto"/>
        <w:ind w:left="0" w:firstLine="0"/>
        <w:jc w:val="left"/>
      </w:pPr>
      <w:r>
        <w:rPr>
          <w:rFonts w:eastAsia="等线" w:ascii="Arial" w:cs="Arial" w:hAnsi="Arial"/>
          <w:sz w:val="22"/>
        </w:rPr>
        <w:t>4.2.2 监护人应熟悉作业区域的环境、工艺情况，有判断和处理异常情况的能力，懂应急知识。</w:t>
      </w:r>
    </w:p>
    <w:p>
      <w:pPr>
        <w:spacing w:before="120" w:after="120" w:line="288" w:lineRule="auto"/>
        <w:ind w:left="0" w:firstLine="0"/>
        <w:jc w:val="left"/>
      </w:pPr>
      <w:r>
        <w:rPr>
          <w:rFonts w:eastAsia="等线" w:ascii="Arial" w:cs="Arial" w:hAnsi="Arial"/>
          <w:sz w:val="22"/>
        </w:rPr>
        <w:t>4.2.3 监护人对安全措施落实情况进行检查，发现落实不好或安全措施不完善时，有权提出暂不进行作业。</w:t>
      </w:r>
    </w:p>
    <w:p>
      <w:pPr>
        <w:spacing w:before="120" w:after="120" w:line="288" w:lineRule="auto"/>
        <w:ind w:left="0" w:firstLine="0"/>
        <w:jc w:val="left"/>
      </w:pPr>
      <w:r>
        <w:rPr>
          <w:rFonts w:eastAsia="等线" w:ascii="Arial" w:cs="Arial" w:hAnsi="Arial"/>
          <w:sz w:val="22"/>
        </w:rPr>
        <w:t>4.2.4 作业未结束，监护人不得离开现场。</w:t>
      </w:r>
    </w:p>
    <w:p>
      <w:pPr>
        <w:spacing w:before="120" w:after="120" w:line="288" w:lineRule="auto"/>
        <w:ind w:left="0" w:firstLine="0"/>
        <w:jc w:val="left"/>
      </w:pPr>
      <w:r>
        <w:rPr>
          <w:rFonts w:eastAsia="等线" w:ascii="Arial" w:cs="Arial" w:hAnsi="Arial"/>
          <w:sz w:val="22"/>
        </w:rPr>
        <w:t>4.3 安全部：</w:t>
      </w:r>
    </w:p>
    <w:p>
      <w:pPr>
        <w:spacing w:before="120" w:after="120" w:line="288" w:lineRule="auto"/>
        <w:ind w:left="0" w:firstLine="0"/>
        <w:jc w:val="left"/>
      </w:pPr>
      <w:r>
        <w:rPr>
          <w:rFonts w:eastAsia="等线" w:ascii="Arial" w:cs="Arial" w:hAnsi="Arial"/>
          <w:sz w:val="22"/>
        </w:rPr>
        <w:t xml:space="preserve">4.3.1 负责二级和三级、特级高处作业的审核、现场监护或指定人员监护。 </w:t>
      </w:r>
    </w:p>
    <w:p>
      <w:pPr>
        <w:spacing w:before="120" w:after="120" w:line="288" w:lineRule="auto"/>
        <w:ind w:left="0" w:firstLine="0"/>
        <w:jc w:val="left"/>
      </w:pPr>
      <w:r>
        <w:rPr>
          <w:rFonts w:eastAsia="等线" w:ascii="Arial" w:cs="Arial" w:hAnsi="Arial"/>
          <w:sz w:val="22"/>
        </w:rPr>
        <w:t xml:space="preserve">    4.3.2 负责对监护人及高处作业人员进行必要的培训，培训的内容包括安全检查方法，应急处理及急救常识等。</w:t>
      </w:r>
    </w:p>
    <w:p>
      <w:pPr>
        <w:spacing w:before="120" w:after="120" w:line="288" w:lineRule="auto"/>
        <w:ind w:left="0" w:firstLine="0"/>
        <w:jc w:val="left"/>
      </w:pPr>
      <w:r>
        <w:rPr>
          <w:rFonts w:eastAsia="等线" w:ascii="Arial" w:cs="Arial" w:hAnsi="Arial"/>
          <w:sz w:val="22"/>
        </w:rPr>
        <w:t>4.3.3 监督检查本制度的执行情况</w:t>
      </w:r>
    </w:p>
    <w:p>
      <w:pPr>
        <w:spacing w:before="120" w:after="120" w:line="288" w:lineRule="auto"/>
        <w:ind w:left="0" w:firstLine="0"/>
        <w:jc w:val="left"/>
      </w:pPr>
      <w:r>
        <w:rPr>
          <w:rFonts w:eastAsia="等线" w:ascii="Arial" w:cs="Arial" w:hAnsi="Arial"/>
          <w:sz w:val="22"/>
        </w:rPr>
        <w:t>4.4 作业单位负责人</w:t>
      </w:r>
    </w:p>
    <w:p>
      <w:pPr>
        <w:spacing w:before="120" w:after="120" w:line="288" w:lineRule="auto"/>
        <w:ind w:left="0" w:firstLine="0"/>
        <w:jc w:val="left"/>
      </w:pPr>
      <w:r>
        <w:rPr>
          <w:rFonts w:eastAsia="等线" w:ascii="Arial" w:cs="Arial" w:hAnsi="Arial"/>
          <w:sz w:val="22"/>
        </w:rPr>
        <w:t>4.4.1 作业单位负责人由作业部门或机修班组负责人担任</w:t>
      </w:r>
    </w:p>
    <w:p>
      <w:pPr>
        <w:spacing w:before="120" w:after="120" w:line="288" w:lineRule="auto"/>
        <w:ind w:left="0" w:firstLine="0"/>
        <w:jc w:val="left"/>
      </w:pPr>
      <w:r>
        <w:rPr>
          <w:rFonts w:eastAsia="等线" w:ascii="Arial" w:cs="Arial" w:hAnsi="Arial"/>
          <w:sz w:val="22"/>
        </w:rPr>
        <w:t>4.4.2 负责安排作业人、监护人，并与监护人一起对安全措施逐条检查、落实后向作业人员交底。</w:t>
      </w:r>
    </w:p>
    <w:p>
      <w:pPr>
        <w:spacing w:before="120" w:after="120" w:line="288" w:lineRule="auto"/>
        <w:ind w:left="0" w:firstLine="0"/>
        <w:jc w:val="left"/>
      </w:pPr>
      <w:r>
        <w:rPr>
          <w:rFonts w:eastAsia="等线" w:ascii="Arial" w:cs="Arial" w:hAnsi="Arial"/>
          <w:sz w:val="22"/>
        </w:rPr>
        <w:t>4.4.3 负责做好作业人的安全教育，严禁违章指挥、违章作业。</w:t>
      </w:r>
    </w:p>
    <w:p>
      <w:pPr>
        <w:spacing w:before="120" w:after="120" w:line="288" w:lineRule="auto"/>
        <w:ind w:left="0" w:firstLine="0"/>
        <w:jc w:val="left"/>
      </w:pPr>
      <w:r>
        <w:rPr>
          <w:rFonts w:eastAsia="等线" w:ascii="Arial" w:cs="Arial" w:hAnsi="Arial"/>
          <w:sz w:val="22"/>
        </w:rPr>
        <w:t>4.5 所在单位负责人：</w:t>
      </w:r>
    </w:p>
    <w:p>
      <w:pPr>
        <w:spacing w:before="120" w:after="120" w:line="288" w:lineRule="auto"/>
        <w:ind w:left="0" w:firstLine="0"/>
        <w:jc w:val="left"/>
      </w:pPr>
      <w:r>
        <w:rPr>
          <w:rFonts w:eastAsia="等线" w:ascii="Arial" w:cs="Arial" w:hAnsi="Arial"/>
          <w:sz w:val="22"/>
        </w:rPr>
        <w:t>4.5.1 由作业所在部门负责人担任，负责一级高处作业的审核，对部门（或工段）的高处作业的安全防护措施全面负责。</w:t>
      </w:r>
    </w:p>
    <w:p>
      <w:pPr>
        <w:spacing w:before="120" w:after="120" w:line="288" w:lineRule="auto"/>
        <w:ind w:left="0" w:firstLine="0"/>
        <w:jc w:val="left"/>
      </w:pPr>
      <w:r>
        <w:rPr>
          <w:rFonts w:eastAsia="等线" w:ascii="Arial" w:cs="Arial" w:hAnsi="Arial"/>
          <w:sz w:val="22"/>
        </w:rPr>
        <w:t>4.5.2 负责与作业单位负责人共同做好作业人的安全教育，严禁违章指挥、违章作业。</w:t>
      </w:r>
    </w:p>
    <w:p>
      <w:pPr>
        <w:spacing w:before="120" w:after="120" w:line="288" w:lineRule="auto"/>
        <w:ind w:left="0" w:firstLine="0"/>
        <w:jc w:val="left"/>
      </w:pPr>
      <w:r>
        <w:rPr>
          <w:rFonts w:eastAsia="等线" w:ascii="Arial" w:cs="Arial" w:hAnsi="Arial"/>
          <w:sz w:val="22"/>
        </w:rPr>
        <w:t>4.6 设备部负责人：</w:t>
      </w:r>
    </w:p>
    <w:p>
      <w:pPr>
        <w:spacing w:before="120" w:after="120" w:line="288" w:lineRule="auto"/>
        <w:ind w:left="0" w:firstLine="0"/>
        <w:jc w:val="left"/>
      </w:pPr>
      <w:r>
        <w:rPr>
          <w:rFonts w:eastAsia="等线" w:ascii="Arial" w:cs="Arial" w:hAnsi="Arial"/>
          <w:sz w:val="22"/>
        </w:rPr>
        <w:t>4.6.1 负责一级、二级、三级高处作业的审批，特级高处作业参与审核，公司总经理审批。</w:t>
      </w:r>
    </w:p>
    <w:p>
      <w:pPr>
        <w:spacing w:before="120" w:after="120" w:line="288" w:lineRule="auto"/>
        <w:ind w:left="0" w:firstLine="0"/>
        <w:jc w:val="left"/>
      </w:pPr>
      <w:r>
        <w:rPr>
          <w:rFonts w:eastAsia="等线" w:ascii="Arial" w:cs="Arial" w:hAnsi="Arial"/>
          <w:sz w:val="22"/>
        </w:rPr>
        <w:t>4.6.2 负责对安全措施逐条检查，并监督落实，对签批的高处作业负有全面责任。</w:t>
      </w:r>
    </w:p>
    <w:p>
      <w:pPr>
        <w:spacing w:before="120" w:after="120" w:line="288" w:lineRule="auto"/>
        <w:ind w:left="0" w:firstLine="0"/>
        <w:jc w:val="left"/>
      </w:pPr>
      <w:r>
        <w:rPr>
          <w:rFonts w:eastAsia="等线" w:ascii="Arial" w:cs="Arial" w:hAnsi="Arial"/>
          <w:b w:val="true"/>
          <w:sz w:val="22"/>
        </w:rPr>
        <w:t>五、安全措施</w:t>
      </w:r>
    </w:p>
    <w:p>
      <w:pPr>
        <w:spacing w:before="120" w:after="120" w:line="288" w:lineRule="auto"/>
        <w:ind w:left="0" w:firstLine="0"/>
        <w:jc w:val="left"/>
      </w:pPr>
      <w:r>
        <w:rPr>
          <w:rFonts w:eastAsia="等线" w:ascii="Arial" w:cs="Arial" w:hAnsi="Arial"/>
          <w:sz w:val="22"/>
        </w:rPr>
        <w:t>5.1 高处作业人员必须经安全教育，熟悉现场环境和施工安全要求。对患有高血压、心脏病、贫血病、癫痫病等职业禁忌证和年老体弱、疲劳过度、视力不佳及酒后人员等，不准进行高处作业。</w:t>
      </w:r>
    </w:p>
    <w:p>
      <w:pPr>
        <w:spacing w:before="120" w:after="120" w:line="288" w:lineRule="auto"/>
        <w:ind w:left="0" w:firstLine="0"/>
        <w:jc w:val="left"/>
      </w:pPr>
      <w:r>
        <w:rPr>
          <w:rFonts w:eastAsia="等线" w:ascii="Arial" w:cs="Arial" w:hAnsi="Arial"/>
          <w:sz w:val="22"/>
        </w:rPr>
        <w:t>5.2 高处作业应使用符合安全要求的吊架、梯子、防护围栏、档脚板等材料、器具、设备。作业</w:t>
      </w:r>
    </w:p>
    <w:p>
      <w:pPr>
        <w:spacing w:before="120" w:after="120" w:line="288" w:lineRule="auto"/>
        <w:ind w:left="0" w:firstLine="0"/>
        <w:jc w:val="left"/>
      </w:pPr>
      <w:r>
        <w:rPr>
          <w:rFonts w:eastAsia="等线" w:ascii="Arial" w:cs="Arial" w:hAnsi="Arial"/>
          <w:sz w:val="22"/>
        </w:rPr>
        <w:t>人员不得站在不牢固的结构物（如木板条等）上进行作业。登石棉瓦、瓦棱板等轻型材料作业时，必须铺设牢固的脚手板，并加以固定，脚手板上要有防滑措施。在没有安全防护设施的条件下，严禁在屋架、支撑、挑架等未固定的构件上行走或作业。</w:t>
      </w:r>
    </w:p>
    <w:p>
      <w:pPr>
        <w:spacing w:before="120" w:after="120" w:line="288" w:lineRule="auto"/>
        <w:ind w:left="0" w:firstLine="0"/>
        <w:jc w:val="left"/>
      </w:pPr>
      <w:r>
        <w:rPr>
          <w:rFonts w:eastAsia="等线" w:ascii="Arial" w:cs="Arial" w:hAnsi="Arial"/>
          <w:sz w:val="22"/>
        </w:rPr>
        <w:t>5.3 高处作业人员必须系好安全带、戴好安全帽，衣着要灵便，禁止穿硬底和带钉易滑的鞋。作业前要检查、作业中要正确使用防坠落用品与登高器具、设备。</w:t>
      </w:r>
    </w:p>
    <w:p>
      <w:pPr>
        <w:spacing w:before="120" w:after="120" w:line="288" w:lineRule="auto"/>
        <w:ind w:left="0" w:firstLine="0"/>
        <w:jc w:val="left"/>
      </w:pPr>
      <w:r>
        <w:rPr>
          <w:rFonts w:eastAsia="等线" w:ascii="Arial" w:cs="Arial" w:hAnsi="Arial"/>
          <w:sz w:val="22"/>
        </w:rPr>
        <w:t>5.3.1 安全带的使用注意事项：</w:t>
      </w:r>
    </w:p>
    <w:p>
      <w:pPr>
        <w:spacing w:before="120" w:after="120" w:line="288" w:lineRule="auto"/>
        <w:ind w:left="0" w:firstLine="0"/>
        <w:jc w:val="left"/>
      </w:pPr>
      <w:r>
        <w:rPr>
          <w:rFonts w:eastAsia="等线" w:ascii="Arial" w:cs="Arial" w:hAnsi="Arial"/>
          <w:sz w:val="22"/>
        </w:rPr>
        <w:t>5.3.1.1  必须系挂在施工作业处上方的牢固构件上，不得系在有尖锐棱角的部位。</w:t>
      </w:r>
    </w:p>
    <w:p>
      <w:pPr>
        <w:spacing w:before="120" w:after="120" w:line="288" w:lineRule="auto"/>
        <w:ind w:left="0" w:firstLine="0"/>
        <w:jc w:val="left"/>
      </w:pPr>
      <w:r>
        <w:rPr>
          <w:rFonts w:eastAsia="等线" w:ascii="Arial" w:cs="Arial" w:hAnsi="Arial"/>
          <w:sz w:val="22"/>
        </w:rPr>
        <w:t>5.3.1.2  安全带系挂点下方应有足够的净空。</w:t>
      </w:r>
    </w:p>
    <w:p>
      <w:pPr>
        <w:spacing w:before="120" w:after="120" w:line="288" w:lineRule="auto"/>
        <w:ind w:left="0" w:firstLine="0"/>
        <w:jc w:val="left"/>
      </w:pPr>
      <w:r>
        <w:rPr>
          <w:rFonts w:eastAsia="等线" w:ascii="Arial" w:cs="Arial" w:hAnsi="Arial"/>
          <w:sz w:val="22"/>
        </w:rPr>
        <w:t>5.3.1.3  安全带应高挂（系）低用，不得采用低于腰部水平的系挂方法。</w:t>
      </w:r>
    </w:p>
    <w:p>
      <w:pPr>
        <w:spacing w:before="120" w:after="120" w:line="288" w:lineRule="auto"/>
        <w:ind w:left="0" w:firstLine="0"/>
        <w:jc w:val="left"/>
      </w:pPr>
      <w:r>
        <w:rPr>
          <w:rFonts w:eastAsia="等线" w:ascii="Arial" w:cs="Arial" w:hAnsi="Arial"/>
          <w:sz w:val="22"/>
        </w:rPr>
        <w:t>5.3.1.4  严禁用绳子捆在腰部代替安全带。</w:t>
      </w:r>
    </w:p>
    <w:p>
      <w:pPr>
        <w:spacing w:before="120" w:after="120" w:line="288" w:lineRule="auto"/>
        <w:ind w:left="0" w:firstLine="0"/>
        <w:jc w:val="left"/>
      </w:pPr>
      <w:r>
        <w:rPr>
          <w:rFonts w:eastAsia="等线" w:ascii="Arial" w:cs="Arial" w:hAnsi="Arial"/>
          <w:sz w:val="22"/>
        </w:rPr>
        <w:t>5.4 梯子的使用注意事项</w:t>
      </w:r>
    </w:p>
    <w:p>
      <w:pPr>
        <w:spacing w:before="120" w:after="120" w:line="288" w:lineRule="auto"/>
        <w:ind w:left="0" w:firstLine="0"/>
        <w:jc w:val="left"/>
      </w:pPr>
      <w:r>
        <w:rPr>
          <w:rFonts w:eastAsia="等线" w:ascii="Arial" w:cs="Arial" w:hAnsi="Arial"/>
          <w:sz w:val="22"/>
        </w:rPr>
        <w:t xml:space="preserve">    5.4.1 梯子不得缺挡，不得垫高使用。</w:t>
      </w:r>
    </w:p>
    <w:p>
      <w:pPr>
        <w:spacing w:before="120" w:after="120" w:line="288" w:lineRule="auto"/>
        <w:ind w:left="0" w:firstLine="0"/>
        <w:jc w:val="left"/>
      </w:pPr>
      <w:r>
        <w:rPr>
          <w:rFonts w:eastAsia="等线" w:ascii="Arial" w:cs="Arial" w:hAnsi="Arial"/>
          <w:sz w:val="22"/>
        </w:rPr>
        <w:t xml:space="preserve">    5.4.2 梯子横挡间距以30cm为宜。</w:t>
      </w:r>
    </w:p>
    <w:p>
      <w:pPr>
        <w:spacing w:before="120" w:after="120" w:line="288" w:lineRule="auto"/>
        <w:ind w:left="0" w:firstLine="0"/>
        <w:jc w:val="left"/>
      </w:pPr>
      <w:r>
        <w:rPr>
          <w:rFonts w:eastAsia="等线" w:ascii="Arial" w:cs="Arial" w:hAnsi="Arial"/>
          <w:sz w:val="22"/>
        </w:rPr>
        <w:t xml:space="preserve">    5.4.3 在作业人员上下梯子时，监护人必须扶稳梯子。</w:t>
      </w:r>
    </w:p>
    <w:p>
      <w:pPr>
        <w:spacing w:before="120" w:after="120" w:line="288" w:lineRule="auto"/>
        <w:ind w:left="0" w:firstLine="0"/>
        <w:jc w:val="left"/>
      </w:pPr>
      <w:r>
        <w:rPr>
          <w:rFonts w:eastAsia="等线" w:ascii="Arial" w:cs="Arial" w:hAnsi="Arial"/>
          <w:sz w:val="22"/>
        </w:rPr>
        <w:t xml:space="preserve">    5.4.4 下端应采取防滑措施。</w:t>
      </w:r>
    </w:p>
    <w:p>
      <w:pPr>
        <w:spacing w:before="120" w:after="120" w:line="288" w:lineRule="auto"/>
        <w:ind w:left="0" w:firstLine="0"/>
        <w:jc w:val="left"/>
      </w:pPr>
      <w:r>
        <w:rPr>
          <w:rFonts w:eastAsia="等线" w:ascii="Arial" w:cs="Arial" w:hAnsi="Arial"/>
          <w:sz w:val="22"/>
        </w:rPr>
        <w:t xml:space="preserve">    5.4.5 单面梯与地面夹角以60—70度为宜，</w:t>
      </w:r>
    </w:p>
    <w:p>
      <w:pPr>
        <w:spacing w:before="120" w:after="120" w:line="288" w:lineRule="auto"/>
        <w:ind w:left="0" w:firstLine="0"/>
        <w:jc w:val="left"/>
      </w:pPr>
      <w:r>
        <w:rPr>
          <w:rFonts w:eastAsia="等线" w:ascii="Arial" w:cs="Arial" w:hAnsi="Arial"/>
          <w:sz w:val="22"/>
        </w:rPr>
        <w:t xml:space="preserve">    5.4.6 禁止两人同时在梯上作业。</w:t>
      </w:r>
    </w:p>
    <w:p>
      <w:pPr>
        <w:spacing w:before="120" w:after="120" w:line="288" w:lineRule="auto"/>
        <w:ind w:left="0" w:firstLine="0"/>
        <w:jc w:val="left"/>
      </w:pPr>
      <w:r>
        <w:rPr>
          <w:rFonts w:eastAsia="等线" w:ascii="Arial" w:cs="Arial" w:hAnsi="Arial"/>
          <w:sz w:val="22"/>
        </w:rPr>
        <w:t xml:space="preserve">    5.4.7 如需接长使用，应绑扎牢固。人字梯底角要拉牢。</w:t>
      </w:r>
    </w:p>
    <w:p>
      <w:pPr>
        <w:spacing w:before="120" w:after="120" w:line="288" w:lineRule="auto"/>
        <w:ind w:left="0" w:firstLine="0"/>
        <w:jc w:val="left"/>
      </w:pPr>
      <w:r>
        <w:rPr>
          <w:rFonts w:eastAsia="等线" w:ascii="Arial" w:cs="Arial" w:hAnsi="Arial"/>
          <w:sz w:val="22"/>
        </w:rPr>
        <w:t>5.4.8 在通道处使用梯子，应有人监护或设置围栏。</w:t>
      </w:r>
    </w:p>
    <w:p>
      <w:pPr>
        <w:spacing w:before="120" w:after="120" w:line="288" w:lineRule="auto"/>
        <w:ind w:left="0" w:firstLine="0"/>
        <w:jc w:val="left"/>
      </w:pPr>
      <w:r>
        <w:rPr>
          <w:rFonts w:eastAsia="等线" w:ascii="Arial" w:cs="Arial" w:hAnsi="Arial"/>
          <w:sz w:val="22"/>
        </w:rPr>
        <w:t>5.5 特殊情况的注意事项</w:t>
      </w:r>
    </w:p>
    <w:p>
      <w:pPr>
        <w:spacing w:before="120" w:after="120" w:line="288" w:lineRule="auto"/>
        <w:ind w:left="0" w:firstLine="0"/>
        <w:jc w:val="left"/>
      </w:pPr>
      <w:r>
        <w:rPr>
          <w:rFonts w:eastAsia="等线" w:ascii="Arial" w:cs="Arial" w:hAnsi="Arial"/>
          <w:sz w:val="22"/>
        </w:rPr>
        <w:t xml:space="preserve">    5.5.1 在邻近地区设有排放有毒、有害气体及粉尘超出允许浓度的烟囱及设备等场合，严禁进行高处作业。如在允许浓度范围内，也应采取有效的防护措施。</w:t>
      </w:r>
    </w:p>
    <w:p>
      <w:pPr>
        <w:spacing w:before="120" w:after="120" w:line="288" w:lineRule="auto"/>
        <w:ind w:left="0" w:firstLine="0"/>
        <w:jc w:val="left"/>
      </w:pPr>
      <w:r>
        <w:rPr>
          <w:rFonts w:eastAsia="等线" w:ascii="Arial" w:cs="Arial" w:hAnsi="Arial"/>
          <w:sz w:val="22"/>
        </w:rPr>
        <w:t xml:space="preserve">    5.5.2 在五级风以上和雷电、暴雨、大雾等恶劣气候条件下影响施工安全时，禁止进行露天高处作业。</w:t>
      </w:r>
    </w:p>
    <w:p>
      <w:pPr>
        <w:spacing w:before="120" w:after="120" w:line="288" w:lineRule="auto"/>
        <w:ind w:left="0" w:firstLine="0"/>
        <w:jc w:val="left"/>
      </w:pPr>
      <w:r>
        <w:rPr>
          <w:rFonts w:eastAsia="等线" w:ascii="Arial" w:cs="Arial" w:hAnsi="Arial"/>
          <w:sz w:val="22"/>
        </w:rPr>
        <w:t>5.5.3 高处作业要依据电气安全操作规程与架空电线保持安全距离。</w:t>
      </w:r>
    </w:p>
    <w:p>
      <w:pPr>
        <w:spacing w:before="120" w:after="120" w:line="288" w:lineRule="auto"/>
        <w:ind w:left="0" w:firstLine="0"/>
        <w:jc w:val="left"/>
      </w:pPr>
      <w:r>
        <w:rPr>
          <w:rFonts w:eastAsia="等线" w:ascii="Arial" w:cs="Arial" w:hAnsi="Arial"/>
          <w:sz w:val="22"/>
        </w:rPr>
        <w:t>5.6 高处作业所使用的工具、材料、零件等必须装入工具袋，上下时手中不得持物；不准投掷工具、材料及其他物品；易滑动、易滚动的工具、材料堆放在脚手架上时，应采取措施，防止坠落。必要时要设安全警戒区，并设专人监护。</w:t>
      </w:r>
    </w:p>
    <w:p>
      <w:pPr>
        <w:spacing w:before="120" w:after="120" w:line="288" w:lineRule="auto"/>
        <w:ind w:left="0" w:firstLine="0"/>
        <w:jc w:val="left"/>
      </w:pPr>
      <w:r>
        <w:rPr>
          <w:rFonts w:eastAsia="等线" w:ascii="Arial" w:cs="Arial" w:hAnsi="Arial"/>
          <w:sz w:val="22"/>
        </w:rPr>
        <w:t xml:space="preserve">5.7 在同一坠落平面上，一般不得进行上下交叉高处作业，如需进行交叉作业，中间应有隔离措施。高处作业与其它作业交叉进行时，必须按指定的路线上下，禁止上下垂直作业，若必须垂直进行作业时，须采取可靠的隔离措施。 </w:t>
      </w:r>
    </w:p>
    <w:p>
      <w:pPr>
        <w:spacing w:before="120" w:after="120" w:line="288" w:lineRule="auto"/>
        <w:ind w:left="0" w:firstLine="0"/>
        <w:jc w:val="left"/>
      </w:pPr>
      <w:r>
        <w:rPr>
          <w:rFonts w:eastAsia="等线" w:ascii="Arial" w:cs="Arial" w:hAnsi="Arial"/>
          <w:sz w:val="22"/>
        </w:rPr>
        <w:t>5.8 夜间高处作业应有充足的照明。</w:t>
      </w:r>
    </w:p>
    <w:p>
      <w:pPr>
        <w:spacing w:before="120" w:after="120" w:line="288" w:lineRule="auto"/>
        <w:ind w:left="0" w:firstLine="0"/>
        <w:jc w:val="left"/>
      </w:pPr>
      <w:r>
        <w:rPr>
          <w:rFonts w:eastAsia="等线" w:ascii="Arial" w:cs="Arial" w:hAnsi="Arial"/>
          <w:sz w:val="22"/>
        </w:rPr>
        <w:t>5.9 楼板上的孔洞应设坚固的盖板或围栏。高处作业人员不得坐在平台边缘、孔洞边缘和躺在通道或安全网内休息。</w:t>
      </w:r>
    </w:p>
    <w:p>
      <w:pPr>
        <w:spacing w:before="120" w:after="120" w:line="288" w:lineRule="auto"/>
        <w:ind w:left="0" w:firstLine="0"/>
        <w:jc w:val="left"/>
      </w:pPr>
      <w:r>
        <w:rPr>
          <w:rFonts w:eastAsia="等线" w:ascii="Arial" w:cs="Arial" w:hAnsi="Arial"/>
          <w:sz w:val="22"/>
        </w:rPr>
        <w:t>5.10 高处作业应与地面保持联系，根据现场情况配备必要的联络工具，并指定专人负责联系。</w:t>
      </w:r>
    </w:p>
    <w:p>
      <w:pPr>
        <w:spacing w:before="120" w:after="120" w:line="288" w:lineRule="auto"/>
        <w:ind w:left="0" w:firstLine="0"/>
        <w:jc w:val="left"/>
      </w:pPr>
      <w:r>
        <w:rPr>
          <w:rFonts w:eastAsia="等线" w:ascii="Arial" w:cs="Arial" w:hAnsi="Arial"/>
          <w:sz w:val="22"/>
        </w:rPr>
        <w:t>5.11 高处作业人员应沿着通道、梯子上下，不得沿着绳索、立杆或栏杆攀登。</w:t>
      </w:r>
    </w:p>
    <w:p>
      <w:pPr>
        <w:spacing w:before="120" w:after="120" w:line="288" w:lineRule="auto"/>
        <w:ind w:left="0" w:firstLine="0"/>
        <w:jc w:val="left"/>
      </w:pPr>
      <w:r>
        <w:rPr>
          <w:rFonts w:eastAsia="等线" w:ascii="Arial" w:cs="Arial" w:hAnsi="Arial"/>
          <w:sz w:val="22"/>
        </w:rPr>
        <w:t>5.12 在化学危险物品生产、储存场所或附近有放空管线的位置作业时，应事先与车间负责人或其他值班人员取得联系，建立联系信号，并将联系信号填入《高处安全作业票》补充栏内。</w:t>
      </w:r>
    </w:p>
    <w:p>
      <w:pPr>
        <w:spacing w:before="120" w:after="120" w:line="288" w:lineRule="auto"/>
        <w:ind w:left="0" w:firstLine="0"/>
        <w:jc w:val="left"/>
      </w:pPr>
      <w:r>
        <w:rPr>
          <w:rFonts w:eastAsia="等线" w:ascii="Arial" w:cs="Arial" w:hAnsi="Arial"/>
          <w:sz w:val="22"/>
        </w:rPr>
        <w:t>5.13 在采取地（零）电位或等（同）电位作业方式进行带电高处作业时，必须使用绝缘工具或穿</w:t>
      </w:r>
    </w:p>
    <w:p>
      <w:pPr>
        <w:spacing w:before="120" w:after="120" w:line="288" w:lineRule="auto"/>
        <w:ind w:left="0" w:firstLine="0"/>
        <w:jc w:val="left"/>
      </w:pPr>
      <w:r>
        <w:rPr>
          <w:rFonts w:eastAsia="等线" w:ascii="Arial" w:cs="Arial" w:hAnsi="Arial"/>
          <w:sz w:val="22"/>
        </w:rPr>
        <w:t>均压服。</w:t>
      </w:r>
    </w:p>
    <w:p>
      <w:pPr>
        <w:spacing w:before="120" w:after="120" w:line="288" w:lineRule="auto"/>
        <w:ind w:left="0" w:firstLine="0"/>
        <w:jc w:val="left"/>
      </w:pPr>
      <w:r>
        <w:rPr>
          <w:rFonts w:eastAsia="等线" w:ascii="Arial" w:cs="Arial" w:hAnsi="Arial"/>
          <w:sz w:val="22"/>
        </w:rPr>
        <w:t>六、《高处安全作业票》的格式、审批和管理</w:t>
      </w:r>
    </w:p>
    <w:p>
      <w:pPr>
        <w:spacing w:before="120" w:after="120" w:line="288" w:lineRule="auto"/>
        <w:ind w:left="0" w:firstLine="0"/>
        <w:jc w:val="left"/>
      </w:pPr>
      <w:r>
        <w:rPr>
          <w:rFonts w:eastAsia="等线" w:ascii="Arial" w:cs="Arial" w:hAnsi="Arial"/>
          <w:sz w:val="22"/>
        </w:rPr>
        <w:t>6.1 从事高处作业的单位必须办理《高处安全作业票》，落实安全防护措施，方可施工。高处作业前，施工单位作业负责人要制订风险识别及削减风险措施，并填入《高处安全作业票》内，并确认签字，《高处安全作业票》格式见附录。</w:t>
      </w:r>
    </w:p>
    <w:p>
      <w:pPr>
        <w:spacing w:before="120" w:after="120" w:line="288" w:lineRule="auto"/>
        <w:ind w:left="0" w:firstLine="0"/>
        <w:jc w:val="left"/>
      </w:pPr>
      <w:r>
        <w:rPr>
          <w:rFonts w:eastAsia="等线" w:ascii="Arial" w:cs="Arial" w:hAnsi="Arial"/>
          <w:sz w:val="22"/>
        </w:rPr>
        <w:t>6.2 高处作业风险措施由作业区域当班班长、部门负责人、作业单位负责人三方确认措施并签字。</w:t>
      </w:r>
    </w:p>
    <w:p>
      <w:pPr>
        <w:spacing w:before="120" w:after="120" w:line="288" w:lineRule="auto"/>
        <w:ind w:left="0" w:firstLine="0"/>
        <w:jc w:val="left"/>
      </w:pPr>
      <w:r>
        <w:rPr>
          <w:rFonts w:eastAsia="等线" w:ascii="Arial" w:cs="Arial" w:hAnsi="Arial"/>
          <w:sz w:val="22"/>
        </w:rPr>
        <w:t xml:space="preserve">6.3《高处安全作业票》审核人和审批人赴作业现场，检查确认安全措施后，方可批准高处作业。 </w:t>
      </w:r>
    </w:p>
    <w:p>
      <w:pPr>
        <w:spacing w:before="120" w:after="120" w:line="288" w:lineRule="auto"/>
        <w:ind w:left="0" w:firstLine="0"/>
        <w:jc w:val="left"/>
      </w:pPr>
      <w:r>
        <w:rPr>
          <w:rFonts w:eastAsia="等线" w:ascii="Arial" w:cs="Arial" w:hAnsi="Arial"/>
          <w:sz w:val="22"/>
        </w:rPr>
        <w:t>6.4一级高处作业：由所在单位负责人、作业单位负责人审核，设备部负责人审批。</w:t>
      </w:r>
    </w:p>
    <w:p>
      <w:pPr>
        <w:spacing w:before="120" w:after="120" w:line="288" w:lineRule="auto"/>
        <w:ind w:left="0" w:firstLine="0"/>
        <w:jc w:val="left"/>
      </w:pPr>
      <w:r>
        <w:rPr>
          <w:rFonts w:eastAsia="等线" w:ascii="Arial" w:cs="Arial" w:hAnsi="Arial"/>
          <w:sz w:val="22"/>
        </w:rPr>
        <w:t>6.5二级、三级高处作业：由所在单位负责人、作业单位负责人审核、安全部审核，设备部负责人审批。</w:t>
      </w:r>
    </w:p>
    <w:p>
      <w:pPr>
        <w:spacing w:before="120" w:after="120" w:line="288" w:lineRule="auto"/>
        <w:ind w:left="0" w:firstLine="0"/>
        <w:jc w:val="left"/>
      </w:pPr>
      <w:r>
        <w:rPr>
          <w:rFonts w:eastAsia="等线" w:ascii="Arial" w:cs="Arial" w:hAnsi="Arial"/>
          <w:sz w:val="22"/>
        </w:rPr>
        <w:t>6.6 特级高处作业：由所在单位负责人、作业单位负责人审核、安全部与设备部共同审核，公司总经理审批。</w:t>
      </w:r>
    </w:p>
    <w:p>
      <w:pPr>
        <w:spacing w:before="120" w:after="120" w:line="288" w:lineRule="auto"/>
        <w:ind w:left="0" w:firstLine="0"/>
        <w:jc w:val="left"/>
      </w:pPr>
      <w:r>
        <w:rPr>
          <w:rFonts w:eastAsia="等线" w:ascii="Arial" w:cs="Arial" w:hAnsi="Arial"/>
          <w:sz w:val="22"/>
        </w:rPr>
        <w:t>6.5《高处安全作业票》一式三联，第一联由安全部留存，第二联由作业人持有，第三联由监护人持有。</w:t>
      </w:r>
    </w:p>
    <w:p>
      <w:pPr>
        <w:spacing w:before="120" w:after="120" w:line="288" w:lineRule="auto"/>
        <w:ind w:left="0" w:firstLine="0"/>
        <w:jc w:val="left"/>
      </w:pPr>
      <w:r>
        <w:rPr>
          <w:rFonts w:eastAsia="等线" w:ascii="Arial" w:cs="Arial" w:hAnsi="Arial"/>
          <w:sz w:val="22"/>
        </w:rPr>
        <w:t>6.6 对施工期较长的项目，所在单位负责人、作业单位负责人须经常深入现场检查，发现隐患及时整改，并做好记录。若施工条件发生重大变化，应重新办理《高处安全作业票》。</w:t>
      </w:r>
    </w:p>
    <w:p>
      <w:pPr>
        <w:spacing w:before="120" w:after="120" w:line="288" w:lineRule="auto"/>
        <w:ind w:left="0" w:firstLine="0"/>
        <w:jc w:val="left"/>
      </w:pPr>
      <w:r>
        <w:rPr>
          <w:rFonts w:eastAsia="等线" w:ascii="Arial" w:cs="Arial" w:hAnsi="Arial"/>
          <w:sz w:val="22"/>
        </w:rPr>
        <w:t>6.7 高处作业结束时，所在单位负责人负责现场检查，确认现场恢复到安全状态后，在《高处安全作业票》上做好相应记录，并将作业票收回。</w:t>
      </w:r>
    </w:p>
    <w:p>
      <w:pPr>
        <w:spacing w:before="120" w:after="120" w:line="288" w:lineRule="auto"/>
        <w:ind w:left="0" w:firstLine="0"/>
        <w:jc w:val="left"/>
      </w:pPr>
      <w:r>
        <w:rPr>
          <w:rFonts w:eastAsia="等线" w:ascii="Arial" w:cs="Arial" w:hAnsi="Arial"/>
          <w:sz w:val="22"/>
        </w:rPr>
        <w:t>6.8《高处安全作业票》的有效期最长为7天。当作业中断,再次作业前，应重新对环境条件和安全措施进行确认。</w:t>
      </w:r>
    </w:p>
    <w:p>
      <w:pPr>
        <w:spacing w:before="120" w:after="120" w:line="288" w:lineRule="auto"/>
        <w:ind w:left="0" w:firstLine="0"/>
        <w:jc w:val="left"/>
      </w:pPr>
      <w:r>
        <w:rPr>
          <w:rFonts w:eastAsia="等线" w:ascii="Arial" w:cs="Arial" w:hAnsi="Arial"/>
          <w:b w:val="true"/>
          <w:sz w:val="22"/>
        </w:rPr>
        <w:t>七、记录及保管</w:t>
      </w:r>
    </w:p>
    <w:p>
      <w:pPr>
        <w:spacing w:before="120" w:after="120" w:line="288" w:lineRule="auto"/>
        <w:ind w:left="0" w:firstLine="0"/>
        <w:jc w:val="left"/>
      </w:pPr>
      <w:r>
        <w:rPr>
          <w:rFonts w:eastAsia="等线" w:ascii="Arial" w:cs="Arial" w:hAnsi="Arial"/>
          <w:sz w:val="22"/>
        </w:rPr>
        <w:t>7.1《高处安全作业票》是临时用电作业的依据，不得涂改、不得代签，要妥善保管。</w:t>
      </w:r>
    </w:p>
    <w:p>
      <w:pPr>
        <w:spacing w:before="120" w:after="120" w:line="288" w:lineRule="auto"/>
        <w:ind w:left="0" w:firstLine="0"/>
        <w:jc w:val="left"/>
      </w:pPr>
      <w:r>
        <w:rPr>
          <w:rFonts w:eastAsia="等线" w:ascii="Arial" w:cs="Arial" w:hAnsi="Arial"/>
          <w:b w:val="true"/>
          <w:sz w:val="22"/>
        </w:rPr>
        <w:t>八、修订简历</w:t>
      </w:r>
    </w:p>
    <w:p>
      <w:pPr>
        <w:spacing w:before="120" w:after="120" w:line="288" w:lineRule="auto"/>
        <w:ind w:left="0" w:firstLine="0"/>
        <w:jc w:val="left"/>
      </w:pPr>
      <w:r>
        <w:rPr>
          <w:rFonts w:eastAsia="等线" w:ascii="Arial" w:cs="Arial" w:hAnsi="Arial"/>
          <w:sz w:val="22"/>
        </w:rPr>
        <w:t>新制订：2019年06月06日                起草人：郭明山</w:t>
      </w:r>
    </w:p>
    <w:p>
      <w:pPr>
        <w:spacing w:before="120" w:after="120" w:line="288" w:lineRule="auto"/>
        <w:ind w:left="0" w:firstLine="0"/>
        <w:jc w:val="left"/>
      </w:pPr>
      <w:r>
        <w:rPr>
          <w:rFonts w:eastAsia="等线" w:ascii="Arial" w:cs="Arial" w:hAnsi="Arial"/>
          <w:sz w:val="22"/>
        </w:rPr>
        <w:t>修订 1：2022年05月15日                修订人：王  祥</w:t>
      </w:r>
    </w:p>
    <w:p>
      <w:pPr>
        <w:spacing w:before="120" w:after="120" w:line="288" w:lineRule="auto"/>
        <w:ind w:left="0" w:firstLine="0"/>
        <w:jc w:val="left"/>
      </w:pPr>
      <w:r>
        <w:rPr>
          <w:rFonts w:eastAsia="等线" w:ascii="Arial" w:cs="Arial" w:hAnsi="Arial"/>
          <w:sz w:val="22"/>
        </w:rPr>
        <w:t>修订理由：1.文件换版，完善内容。</w:t>
      </w:r>
    </w:p>
    <w:p>
      <w:pPr>
        <w:spacing w:before="120" w:after="120" w:line="288" w:lineRule="auto"/>
        <w:ind w:left="0" w:firstLine="0"/>
        <w:jc w:val="left"/>
      </w:pPr>
      <w:r>
        <w:rPr>
          <w:rFonts w:eastAsia="等线" w:ascii="Arial" w:cs="Arial" w:hAnsi="Arial"/>
          <w:sz w:val="22"/>
        </w:rPr>
        <w:t>2.依据法律法规、国标与行标修订，更新完善内容。</w:t>
      </w:r>
    </w:p>
    <w:p>
      <w:pPr>
        <w:spacing w:before="120" w:after="120" w:line="288" w:lineRule="auto"/>
        <w:ind w:left="0" w:firstLine="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2026-06-14T02:13:16Z</dcterms:created>
  <dc:creator>Apache POI</dc:creator>
</cp:coreProperties>
</file>