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57A8E">
      <w:pPr>
        <w:spacing w:line="360" w:lineRule="auto"/>
        <w:jc w:val="center"/>
      </w:pPr>
      <w:r>
        <w:rPr>
          <w:rFonts w:ascii="Times New Roman" w:hAnsi="Times New Roman" w:eastAsia="宋体"/>
          <w:b/>
          <w:sz w:val="40"/>
        </w:rPr>
        <w:t>偏差报告</w:t>
      </w:r>
    </w:p>
    <w:p w14:paraId="5DC20065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 总结概述 Executive Summary</w:t>
      </w:r>
    </w:p>
    <w:p w14:paraId="6ACBEA11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1.1 偏差描述</w:t>
      </w:r>
    </w:p>
    <w:p w14:paraId="566BEB49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{{偏差描述内容}}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665E6781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1.2 根本原因</w:t>
      </w:r>
    </w:p>
    <w:p w14:paraId="09915213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{{根本原因内容}}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1FB4F740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1.3 纠正预防措施</w:t>
      </w:r>
    </w:p>
    <w:p w14:paraId="52D00B78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1）{{措施1}}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5988F683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2）{{措施2}}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74A7AC67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3）{{措施3}}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52A95CFE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4）{{措施4}}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66983750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 根本原因调查 Root Cause Investigation</w:t>
      </w:r>
    </w:p>
    <w:p w14:paraId="61575649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2.1 背景介绍 Background Introduction</w:t>
      </w:r>
    </w:p>
    <w:p w14:paraId="3F871300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检测方法</w:t>
      </w:r>
    </w:p>
    <w:p w14:paraId="2FCF2299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{{检测方法内容}}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539FF64E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溶液制备过程</w:t>
      </w:r>
    </w:p>
    <w:p w14:paraId="39D16503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{{溶液制备过程}}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434CFD9B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检测结果（附件1）</w:t>
      </w:r>
    </w:p>
    <w:p w14:paraId="5632E389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{{检测结果}}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1D883494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2.2 偏差根本原因分析及调查 Root Cause Analysis and Investigation</w:t>
      </w:r>
    </w:p>
    <w:p w14:paraId="453CD807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初步原因分析</w:t>
      </w:r>
    </w:p>
    <w:p w14:paraId="007AE3E0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{{初步原因分析}}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2721C070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2.3 深入调查</w:t>
      </w:r>
    </w:p>
    <w:p w14:paraId="675D6DE8">
      <w:pPr>
        <w:spacing w:line="360" w:lineRule="auto"/>
        <w:ind w:firstLine="480"/>
        <w:jc w:val="both"/>
        <w:rPr>
          <w:rFonts w:hint="eastAsia" w:eastAsia="宋体"/>
          <w:b w:val="0"/>
          <w:bCs/>
          <w:lang w:eastAsia="zh-CN"/>
        </w:rPr>
      </w:pPr>
      <w:r>
        <w:rPr>
          <w:rFonts w:ascii="Times New Roman" w:hAnsi="Times New Roman" w:eastAsia="宋体"/>
          <w:b w:val="0"/>
          <w:bCs/>
          <w:sz w:val="24"/>
        </w:rPr>
        <w:t>{{调查项}}</w:t>
      </w:r>
      <w:r>
        <w:rPr>
          <w:rFonts w:hint="eastAsia" w:ascii="Times New Roman" w:hAnsi="Times New Roman" w:eastAsia="宋体"/>
          <w:b w:val="0"/>
          <w:bCs/>
          <w:sz w:val="24"/>
          <w:lang w:eastAsia="zh-CN"/>
        </w:rPr>
        <w:t>。</w:t>
      </w:r>
    </w:p>
    <w:p w14:paraId="065DE718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{{调查内容}}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42ECDD4E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3 影响评估 Impact Assessment</w:t>
      </w:r>
    </w:p>
    <w:p w14:paraId="1E8A5756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对目前批次产品质量的影响：</w:t>
      </w:r>
    </w:p>
    <w:p w14:paraId="5AF1F85E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{{影响1}}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3690CE77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对偏差产品相邻批次质量的影响：</w:t>
      </w:r>
    </w:p>
    <w:p w14:paraId="67B743D1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{{影响2}}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06AE76DF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对其他产品质量或系统的影响：</w:t>
      </w:r>
    </w:p>
    <w:p w14:paraId="35D15CBB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{{影响3}}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7C587D05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回顾过去6个月内的重复性偏差发生情况：</w:t>
      </w:r>
    </w:p>
    <w:p w14:paraId="43670493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{{历史偏差}}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6EF2AC3C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其他方面，如对客户、复验期/有效期、稳定性研究、验证/确认状态等的影响：</w:t>
      </w:r>
    </w:p>
    <w:p w14:paraId="500FB8DA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{{其他影响}}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426E2C3A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4 调查结论 Investigation Conclusion</w:t>
      </w:r>
    </w:p>
    <w:p w14:paraId="7F609881">
      <w:pPr>
        <w:spacing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{{调查结论}}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143686FC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根本原因类别 The Root Cause Categorzations</w:t>
      </w:r>
    </w:p>
    <w:p w14:paraId="0B583030"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过程控制缺陷    □ 外来异物    □ 校验/预防维修    □ 混淆    □ 物料质量缺陷</w:t>
      </w:r>
    </w:p>
    <w:p w14:paraId="75B16F24"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人员失误        □ OOS结果    □ 文件记录缺陷    □ 设备故障/过程中断</w:t>
      </w:r>
    </w:p>
    <w:p w14:paraId="6486EEB4"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环境            □ 其他：{{其他原因}}</w:t>
      </w:r>
    </w:p>
    <w:p w14:paraId="20AF7C77"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5 纠正预防措施 CA PA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766AF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25C939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序号</w:t>
            </w:r>
          </w:p>
        </w:tc>
        <w:tc>
          <w:tcPr>
            <w:tcW w:w="3286" w:type="dxa"/>
          </w:tcPr>
          <w:p w14:paraId="24911D3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措施</w:t>
            </w:r>
          </w:p>
        </w:tc>
        <w:tc>
          <w:tcPr>
            <w:tcW w:w="3286" w:type="dxa"/>
          </w:tcPr>
          <w:p w14:paraId="577EE6F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 w14:paraId="322CE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672022D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</w:t>
            </w:r>
          </w:p>
        </w:tc>
        <w:tc>
          <w:tcPr>
            <w:tcW w:w="3286" w:type="dxa"/>
          </w:tcPr>
          <w:p w14:paraId="44FD90ED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{{措施}}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。</w:t>
            </w:r>
          </w:p>
        </w:tc>
        <w:tc>
          <w:tcPr>
            <w:tcW w:w="3286" w:type="dxa"/>
          </w:tcPr>
          <w:p w14:paraId="1EEA852C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{{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说明</w:t>
            </w:r>
            <w:r>
              <w:rPr>
                <w:rFonts w:ascii="Times New Roman" w:hAnsi="Times New Roman" w:eastAsia="宋体"/>
                <w:b w:val="0"/>
                <w:sz w:val="24"/>
              </w:rPr>
              <w:t>}}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。</w:t>
            </w:r>
          </w:p>
        </w:tc>
      </w:tr>
      <w:tr w14:paraId="2E4F2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1DBE854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</w:t>
            </w:r>
          </w:p>
        </w:tc>
        <w:tc>
          <w:tcPr>
            <w:tcW w:w="3286" w:type="dxa"/>
          </w:tcPr>
          <w:p w14:paraId="75AD3931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{{措施}}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。</w:t>
            </w:r>
          </w:p>
        </w:tc>
        <w:tc>
          <w:tcPr>
            <w:tcW w:w="3286" w:type="dxa"/>
          </w:tcPr>
          <w:p w14:paraId="3A88F0DA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{{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说明</w:t>
            </w:r>
            <w:r>
              <w:rPr>
                <w:rFonts w:ascii="Times New Roman" w:hAnsi="Times New Roman" w:eastAsia="宋体"/>
                <w:b w:val="0"/>
                <w:sz w:val="24"/>
              </w:rPr>
              <w:t>}}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。</w:t>
            </w:r>
          </w:p>
        </w:tc>
      </w:tr>
      <w:tr w14:paraId="7B6DD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52378FA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</w:t>
            </w:r>
          </w:p>
        </w:tc>
        <w:tc>
          <w:tcPr>
            <w:tcW w:w="3286" w:type="dxa"/>
          </w:tcPr>
          <w:p w14:paraId="66BB97D6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{{措施}}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。</w:t>
            </w:r>
          </w:p>
        </w:tc>
        <w:tc>
          <w:tcPr>
            <w:tcW w:w="3286" w:type="dxa"/>
          </w:tcPr>
          <w:p w14:paraId="66853572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{{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说明</w:t>
            </w:r>
            <w:r>
              <w:rPr>
                <w:rFonts w:ascii="Times New Roman" w:hAnsi="Times New Roman" w:eastAsia="宋体"/>
                <w:b w:val="0"/>
                <w:sz w:val="24"/>
              </w:rPr>
              <w:t>}}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。</w:t>
            </w:r>
          </w:p>
        </w:tc>
      </w:tr>
      <w:tr w14:paraId="566E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4C83AE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</w:t>
            </w:r>
          </w:p>
        </w:tc>
        <w:tc>
          <w:tcPr>
            <w:tcW w:w="3286" w:type="dxa"/>
          </w:tcPr>
          <w:p w14:paraId="66EEDB37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{{措施}}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。</w:t>
            </w:r>
          </w:p>
        </w:tc>
        <w:tc>
          <w:tcPr>
            <w:tcW w:w="3286" w:type="dxa"/>
          </w:tcPr>
          <w:p w14:paraId="5D940099">
            <w:pPr>
              <w:spacing w:before="0"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{{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说明</w:t>
            </w:r>
            <w:r>
              <w:rPr>
                <w:rFonts w:ascii="Times New Roman" w:hAnsi="Times New Roman" w:eastAsia="宋体"/>
                <w:b w:val="0"/>
                <w:sz w:val="24"/>
              </w:rPr>
              <w:t>}}</w:t>
            </w:r>
            <w:r>
              <w:rPr>
                <w:rFonts w:hint="eastAsia" w:ascii="Times New Roman" w:hAnsi="Times New Roman" w:eastAsia="宋体"/>
                <w:b w:val="0"/>
                <w:sz w:val="24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52F10A8C">
      <w:pPr>
        <w:spacing w:line="360" w:lineRule="auto"/>
        <w:jc w:val="both"/>
      </w:pPr>
    </w:p>
    <w:p w14:paraId="5CB43602"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调查人/日期：________________    QA调查人/日期：________________</w:t>
      </w:r>
    </w:p>
    <w:sectPr>
      <w:pgSz w:w="12240" w:h="15840"/>
      <w:pgMar w:top="1440" w:right="1083" w:bottom="1440" w:left="129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E6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446</Words>
  <Characters>688</Characters>
  <Lines>0</Lines>
  <Paragraphs>0</Paragraphs>
  <TotalTime>1</TotalTime>
  <ScaleCrop>false</ScaleCrop>
  <LinksUpToDate>false</LinksUpToDate>
  <CharactersWithSpaces>781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清歡</cp:lastModifiedBy>
  <dcterms:modified xsi:type="dcterms:W3CDTF">2026-06-15T01:02:32Z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eyJoZGlkIjoiOTk5NWZhNDEyNGZjMTk2MDE3Y2E0YTRjNWEzYTczNjUiLCJ1c2VySWQiOiI0OTYyMDg4MDMifQ==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06DCB4B2B74C4B1FA0D0DD15F918AC13_12</vt:lpwstr>
  </property>
</Properties>
</file>