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autoSpaceDE/>
        <w:autoSpaceDN/>
        <w:snapToGrid/>
        <w:spacing w:before="78" w:beforeLines="25" w:beforeAutospacing="0" w:line="240" w:lineRule="exact"/>
        <w:ind w:left="0" w:leftChars="0" w:right="0" w:firstLine="0" w:firstLineChars="0"/>
        <w:jc w:val="center"/>
        <w:textAlignment w:val="baseline"/>
        <w:outlineLvl w:val="9"/>
        <w:rPr>
          <w:rFonts w:hint="default" w:ascii="Times New Roman" w:hAnsi="Times New Roman" w:eastAsia="黑体" w:cs="Times New Roman"/>
          <w:b/>
          <w:smallCaps/>
          <w:sz w:val="28"/>
        </w:rPr>
      </w:pPr>
      <w:r>
        <w:rPr>
          <w:rFonts w:hint="default" w:ascii="Times New Roman" w:hAnsi="Times New Roman" w:eastAsia="黑体" w:cs="Times New Roman"/>
          <w:b/>
          <w:smallCaps/>
          <w:sz w:val="28"/>
        </w:rPr>
        <w:t>检验报告单</w:t>
      </w:r>
    </w:p>
    <w:p>
      <w:pPr>
        <w:keepNext w:val="0"/>
        <w:keepLines w:val="0"/>
        <w:pageBreakBefore w:val="0"/>
        <w:widowControl w:val="0"/>
        <w:kinsoku/>
        <w:wordWrap/>
        <w:autoSpaceDE/>
        <w:autoSpaceDN/>
        <w:snapToGrid w:val="0"/>
        <w:spacing w:before="0" w:beforeLines="0" w:beforeAutospacing="0" w:after="0" w:afterLines="0" w:afterAutospacing="0" w:line="300" w:lineRule="exact"/>
        <w:ind w:left="0" w:leftChars="0" w:right="0" w:firstLine="0" w:firstLineChars="0"/>
        <w:jc w:val="right"/>
        <w:textAlignment w:val="baseline"/>
        <w:outlineLvl w:val="9"/>
        <w:rPr>
          <w:rFonts w:hint="default" w:ascii="Arial" w:hAnsi="Arial" w:eastAsia="宋体" w:cs="Arial"/>
          <w:b/>
          <w:smallCaps/>
          <w:sz w:val="28"/>
          <w:lang w:val="en-US" w:eastAsia="zh-CN"/>
        </w:rPr>
      </w:pPr>
      <w:r>
        <w:rPr>
          <w:rFonts w:hint="default" w:ascii="Arial" w:hAnsi="Arial" w:cs="Arial"/>
          <w:b/>
          <w:smallCaps/>
          <w:sz w:val="28"/>
        </w:rPr>
        <w:t>CERTIFICATE OF ANALYSIS</w:t>
      </w:r>
      <w:r>
        <w:rPr>
          <w:rFonts w:hint="eastAsia" w:ascii="Arial" w:hAnsi="Arial" w:cs="Arial"/>
          <w:b/>
          <w:smallCaps/>
          <w:sz w:val="28"/>
          <w:lang w:val="en-US" w:eastAsia="zh-CN"/>
        </w:rPr>
        <w:t xml:space="preserve">                  </w:t>
      </w:r>
      <w:r>
        <w:rPr>
          <w:rFonts w:hint="eastAsia" w:ascii="Arial" w:hAnsi="Arial" w:eastAsia="宋体" w:cs="Arial"/>
          <w:sz w:val="21"/>
          <w:lang w:val="en-US" w:eastAsia="zh-CN"/>
        </w:rPr>
        <w:t>{{流水号}}</w:t>
      </w:r>
    </w:p>
    <w:p>
      <w:pPr>
        <w:keepNext w:val="0"/>
        <w:keepLines w:val="0"/>
        <w:pageBreakBefore w:val="0"/>
        <w:widowControl w:val="0"/>
        <w:kinsoku/>
        <w:wordWrap/>
        <w:autoSpaceDE/>
        <w:autoSpaceDN/>
        <w:snapToGrid w:val="0"/>
        <w:spacing w:before="0" w:beforeLines="0" w:beforeAutospacing="0" w:after="0" w:afterLines="0" w:afterAutospacing="0" w:line="200" w:lineRule="exact"/>
        <w:ind w:left="0" w:leftChars="0" w:right="0" w:firstLine="0" w:firstLineChars="0"/>
        <w:jc w:val="right"/>
        <w:textAlignment w:val="baseline"/>
        <w:outlineLvl w:val="9"/>
        <w:rPr>
          <w:rFonts w:hint="default" w:ascii="Arial" w:hAnsi="Arial" w:cs="Arial"/>
          <w:b/>
          <w:smallCaps/>
          <w:sz w:val="28"/>
          <w:lang w:val="en-US"/>
        </w:rPr>
      </w:pPr>
      <w:r>
        <w:rPr>
          <w:rFonts w:hint="default" w:ascii="Arial" w:hAnsi="Arial" w:cs="Arial"/>
          <w:sz w:val="21"/>
          <w:lang w:val="en-GB"/>
        </w:rPr>
        <w:t>N</w:t>
      </w:r>
      <w:r>
        <w:rPr>
          <w:rFonts w:hint="default" w:ascii="Arial" w:hAnsi="Arial" w:cs="Arial"/>
          <w:sz w:val="21"/>
          <w:lang w:val="en-GB" w:eastAsia="zh-CN"/>
        </w:rPr>
        <w:t>o</w:t>
      </w:r>
      <w:r>
        <w:rPr>
          <w:rFonts w:hint="default" w:ascii="Arial" w:hAnsi="Arial" w:cs="Arial"/>
          <w:sz w:val="21"/>
          <w:lang w:val="en-GB"/>
        </w:rPr>
        <w:t>.</w:t>
      </w:r>
      <w:r>
        <w:rPr>
          <w:rFonts w:hint="default" w:ascii="Arial" w:hAnsi="Arial" w:cs="Arial"/>
          <w:sz w:val="21"/>
          <w:lang w:val="en-US" w:eastAsia="zh-CN"/>
        </w:rPr>
        <w:t>:</w:t>
      </w:r>
      <w:r>
        <w:rPr>
          <w:rFonts w:hint="default" w:ascii="Arial" w:hAnsi="Arial" w:cs="Arial"/>
          <w:sz w:val="21"/>
          <w:lang w:val="en-GB" w:eastAsia="zh-CN"/>
        </w:rPr>
        <w:t>COA-HAF-3205-00</w:t>
      </w:r>
      <w:r>
        <w:rPr>
          <w:rFonts w:hint="eastAsia" w:ascii="Arial" w:hAnsi="Arial" w:cs="Arial"/>
          <w:sz w:val="21"/>
          <w:lang w:val="en-US" w:eastAsia="zh-CN"/>
        </w:rPr>
        <w:t>6</w:t>
      </w:r>
    </w:p>
    <w:tbl>
      <w:tblPr>
        <w:tblStyle w:val="4"/>
        <w:tblW w:w="978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2744"/>
        <w:gridCol w:w="2285"/>
        <w:gridCol w:w="2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656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品  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Product Name</w:t>
            </w:r>
          </w:p>
        </w:tc>
        <w:tc>
          <w:tcPr>
            <w:tcW w:w="2744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 w:eastAsia="zh-CN"/>
              </w:rPr>
              <w:t>盐酸万古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霉素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Vancomycin Hydrochloride</w:t>
            </w:r>
          </w:p>
        </w:tc>
        <w:tc>
          <w:tcPr>
            <w:tcW w:w="228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批  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Batch No.</w:t>
            </w:r>
          </w:p>
        </w:tc>
        <w:tc>
          <w:tcPr>
            <w:tcW w:w="2098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{{批号}}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656" w:type="dxa"/>
            <w:tcBorders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包装规格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Pack</w:t>
            </w:r>
            <w:r>
              <w:rPr>
                <w:rFonts w:hint="default" w:ascii="Arial" w:hAnsi="Arial" w:cs="Arial"/>
                <w:sz w:val="16"/>
                <w:szCs w:val="16"/>
                <w:lang w:val="en-GB" w:eastAsia="zh-CN"/>
              </w:rPr>
              <w:t>agi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ng</w:t>
            </w:r>
          </w:p>
        </w:tc>
        <w:tc>
          <w:tcPr>
            <w:tcW w:w="274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{{规格}}</w:t>
            </w:r>
          </w:p>
        </w:tc>
        <w:tc>
          <w:tcPr>
            <w:tcW w:w="2285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生产日期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Mfg. Date</w:t>
            </w:r>
          </w:p>
        </w:tc>
        <w:tc>
          <w:tcPr>
            <w:tcW w:w="2098" w:type="dxa"/>
            <w:tcBorders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{{生产日期}}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656" w:type="dxa"/>
            <w:tcBorders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批  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Batch Size</w:t>
            </w:r>
          </w:p>
        </w:tc>
        <w:tc>
          <w:tcPr>
            <w:tcW w:w="274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{{批量_kg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>|dec(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>,‘kg’)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2285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有效期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Exp. Date</w:t>
            </w:r>
          </w:p>
        </w:tc>
        <w:tc>
          <w:tcPr>
            <w:tcW w:w="2098" w:type="dxa"/>
            <w:tcBorders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>{{有效期_年}}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656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储存条件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Storage Conditions</w:t>
            </w:r>
          </w:p>
        </w:tc>
        <w:tc>
          <w:tcPr>
            <w:tcW w:w="7127" w:type="dxa"/>
            <w:gridSpan w:val="3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密封</w:t>
            </w:r>
            <w:r>
              <w:rPr>
                <w:rFonts w:hint="default" w:ascii="Arial" w:hAnsi="Arial" w:cs="Arial"/>
                <w:sz w:val="16"/>
                <w:szCs w:val="16"/>
                <w:lang w:val="en-GB" w:eastAsia="zh-CN"/>
              </w:rPr>
              <w:t>、遮光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，</w:t>
            </w: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～</w:t>
            </w: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t>8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℃保存。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18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Preserve in tight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 xml:space="preserve"> container</w:t>
            </w:r>
            <w:r>
              <w:rPr>
                <w:rFonts w:hint="default" w:ascii="Arial" w:hAnsi="Arial" w:cs="Arial"/>
                <w:sz w:val="16"/>
                <w:szCs w:val="16"/>
              </w:rPr>
              <w:t>s</w:t>
            </w: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t xml:space="preserve">, </w:t>
            </w:r>
            <w:r>
              <w:rPr>
                <w:rFonts w:hint="default" w:ascii="Arial" w:hAnsi="Arial" w:cs="Arial"/>
                <w:sz w:val="16"/>
                <w:szCs w:val="16"/>
              </w:rPr>
              <w:t>protected from light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 xml:space="preserve"> a</w:t>
            </w:r>
            <w:r>
              <w:rPr>
                <w:rFonts w:hint="default" w:ascii="Arial" w:hAnsi="Arial" w:cs="Arial"/>
                <w:sz w:val="16"/>
                <w:szCs w:val="16"/>
              </w:rPr>
              <w:t xml:space="preserve">nd 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 xml:space="preserve">store at </w:t>
            </w: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～</w:t>
            </w: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t>8</w:t>
            </w: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℃.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autoSpaceDE/>
        <w:autoSpaceDN/>
        <w:snapToGrid/>
        <w:spacing w:before="0" w:beforeLines="0" w:beforeAutospacing="0" w:after="0" w:afterLines="0" w:afterAutospacing="0" w:line="160" w:lineRule="exact"/>
        <w:ind w:left="0" w:leftChars="0" w:right="0" w:firstLine="0" w:firstLineChars="0"/>
        <w:jc w:val="both"/>
        <w:textAlignment w:val="baseline"/>
        <w:outlineLvl w:val="9"/>
        <w:rPr>
          <w:rFonts w:hint="default" w:ascii="Arial" w:hAnsi="Arial" w:cs="Arial"/>
        </w:rPr>
      </w:pPr>
    </w:p>
    <w:tbl>
      <w:tblPr>
        <w:tblStyle w:val="4"/>
        <w:tblW w:w="9780" w:type="dxa"/>
        <w:tblInd w:w="108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586"/>
        <w:gridCol w:w="452"/>
        <w:gridCol w:w="3375"/>
        <w:gridCol w:w="1138"/>
        <w:gridCol w:w="1942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项目Tests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标准Specifications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结果Results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128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性状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Characters</w:t>
            </w:r>
          </w:p>
        </w:tc>
        <w:tc>
          <w:tcPr>
            <w:tcW w:w="15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外观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Appearance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白色或类白色粉末。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White or almost white powder.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3" w:hRule="atLeast"/>
        </w:trPr>
        <w:tc>
          <w:tcPr>
            <w:tcW w:w="128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</w:p>
        </w:tc>
        <w:tc>
          <w:tcPr>
            <w:tcW w:w="15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溶解度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Solubility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易溶于水，不溶于乙醚和氯仿。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Freely soluble in water, insoluble in ether and in chloroform.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128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鉴别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Identification</w:t>
            </w:r>
          </w:p>
        </w:tc>
        <w:tc>
          <w:tcPr>
            <w:tcW w:w="15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 xml:space="preserve">红外IR 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红外吸收图谱应与对照品的图谱一致。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The IR spectra is similar to that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of corresponding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preparation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of reference standard.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28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</w:p>
        </w:tc>
        <w:tc>
          <w:tcPr>
            <w:tcW w:w="158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HPLC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供试品主峰保留时间应与对照品的一致。</w:t>
            </w:r>
          </w:p>
          <w:p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bidi w:val="0"/>
              <w:spacing w:line="200" w:lineRule="exact"/>
              <w:jc w:val="left"/>
              <w:textAlignment w:val="auto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The retention time of the principle peak is similar to which in the reference solution. (HPLC).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6" w:hRule="atLeast"/>
        </w:trPr>
        <w:tc>
          <w:tcPr>
            <w:tcW w:w="128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溶液外观Appearance of solution</w:t>
            </w:r>
          </w:p>
        </w:tc>
        <w:tc>
          <w:tcPr>
            <w:tcW w:w="203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吸光度(450nm)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Absorbance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 at 450nm</w:t>
            </w:r>
          </w:p>
        </w:tc>
        <w:tc>
          <w:tcPr>
            <w:tcW w:w="451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GB" w:eastAsia="zh-CN"/>
              </w:rPr>
              <w:t>≤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0.10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GB"/>
              </w:rPr>
              <w:t>{{吸光度450nm| dec(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GB"/>
              </w:rPr>
              <w:t>)}}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128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</w:p>
        </w:tc>
        <w:tc>
          <w:tcPr>
            <w:tcW w:w="203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吸光度(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37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0nm)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Absorbance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 at 370nm</w:t>
            </w:r>
          </w:p>
        </w:tc>
        <w:tc>
          <w:tcPr>
            <w:tcW w:w="451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GB" w:eastAsia="zh-CN"/>
              </w:rPr>
              <w:t>≤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0.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65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rPr>
                <w:rFonts w:hint="default" w:ascii="Arial" w:hAnsi="Arial" w:cs="Arial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GB"/>
              </w:rPr>
              <w:t>{{吸光度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US" w:eastAsia="zh-CN"/>
              </w:rPr>
              <w:t>370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GB"/>
              </w:rPr>
              <w:t>nm| dec(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GB"/>
              </w:rPr>
              <w:t>)}}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pH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2.5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～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4.5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{{ph</w:t>
            </w:r>
            <w:r>
              <w:rPr>
                <w:rFonts w:hint="eastAsia" w:ascii="Arial" w:hAnsi="Arial" w:cs="Arial"/>
                <w:sz w:val="16"/>
                <w:szCs w:val="16"/>
                <w:lang w:val="en-GB"/>
              </w:rPr>
              <w:t>| dec(</w:t>
            </w:r>
            <w:r>
              <w:rPr>
                <w:rFonts w:hint="eastAsia" w:ascii="Arial" w:hAnsi="Arial" w:cs="Arial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Arial" w:hAnsi="Arial" w:cs="Arial"/>
                <w:sz w:val="16"/>
                <w:szCs w:val="16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5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单去氯万古霉素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Monodechlorovancomycin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4.7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{{单去氯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,‘%’)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73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  <w:t>万古霉素组分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highlight w:val="yellow"/>
                <w:lang w:val="en-GB"/>
              </w:rPr>
            </w:pPr>
            <w:r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  <w:t xml:space="preserve">Composition of </w:t>
            </w:r>
            <w:r>
              <w:rPr>
                <w:rFonts w:hint="eastAsia" w:ascii="Arial" w:hAnsi="Arial" w:eastAsia="宋体" w:cs="Arial"/>
                <w:color w:val="auto"/>
                <w:sz w:val="16"/>
                <w:szCs w:val="16"/>
                <w:lang w:val="en-US" w:eastAsia="zh-CN"/>
              </w:rPr>
              <w:t>V</w:t>
            </w:r>
            <w:r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  <w:t>ancomycin</w:t>
            </w: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  <w:t>万古霉素B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  <w:t>Vancomycin B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≥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93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{{</w:t>
            </w:r>
            <w:r>
              <w:rPr>
                <w:rFonts w:hint="default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万古霉素B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1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杂质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 xml:space="preserve">A 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Impurity A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{{杂质A</w:t>
            </w:r>
            <w:r>
              <w:rPr>
                <w:rFonts w:hint="default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杂质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>B(B1+B2)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Impurity B(Impurity B1+Impurity B2)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{{杂质B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杂质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 xml:space="preserve">C 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Impurity C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{{杂质C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2,‘%’,0.1,3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杂质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 xml:space="preserve">D 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Impurity D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{{杂质D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2,‘%’,0.1,3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  <w:bookmarkStart w:id="0" w:name="_GoBack"/>
            <w:bookmarkEnd w:id="0"/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RS1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0.35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{{RS1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RS2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1.2%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{{RS2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1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RS3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1.3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{{RS3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2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RS4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0.75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{{RS4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RS5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0.45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{{RS5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RS6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1.4%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{{RS6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2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RS7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0.90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{{RS7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3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任何未知杂质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  <w:t>Any unknown impurity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0.50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kern w:val="2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{{任何未知杂质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1" w:hRule="atLeast"/>
        </w:trPr>
        <w:tc>
          <w:tcPr>
            <w:tcW w:w="2873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3827" w:type="dxa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总杂</w:t>
            </w:r>
            <w:r>
              <w:rPr>
                <w:rFonts w:hint="eastAsia" w:ascii="Arial" w:hAnsi="Arial" w:eastAsia="宋体" w:cs="Arial"/>
                <w:kern w:val="0"/>
                <w:sz w:val="16"/>
                <w:szCs w:val="16"/>
                <w:lang w:val="en-US" w:eastAsia="zh-CN"/>
              </w:rPr>
              <w:t xml:space="preserve">质 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Total impurities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7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kern w:val="0"/>
                <w:sz w:val="16"/>
                <w:szCs w:val="16"/>
                <w:lang w:eastAsia="zh-CN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{{总杂质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2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水分Water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5.0%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{{水分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7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 xml:space="preserve">炽灼残渣Residue on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i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gnition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1.0%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 xml:space="preserve">{{炽灼残渣 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GB" w:eastAsia="zh-CN"/>
              </w:rPr>
              <w:t>| dec(2, ‘%’)</w:t>
            </w: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7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 xml:space="preserve">细菌内毒素Bacterial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e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ndotoxins</w:t>
            </w:r>
          </w:p>
        </w:tc>
        <w:tc>
          <w:tcPr>
            <w:tcW w:w="4965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＜0.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25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EU/mg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</w:pPr>
            <w:r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  <w:t>含 量(</w:t>
            </w:r>
            <w:r>
              <w:rPr>
                <w:rFonts w:hint="eastAsia" w:ascii="Arial" w:hAnsi="Arial" w:eastAsia="宋体" w:cs="Arial"/>
                <w:color w:val="auto"/>
                <w:sz w:val="16"/>
                <w:szCs w:val="16"/>
                <w:lang w:val="en-US" w:eastAsia="zh-CN"/>
              </w:rPr>
              <w:t>以无水物计</w:t>
            </w:r>
            <w:r>
              <w:rPr>
                <w:rFonts w:hint="default" w:ascii="Arial" w:hAnsi="Arial" w:eastAsia="宋体" w:cs="Arial"/>
                <w:color w:val="auto"/>
                <w:sz w:val="16"/>
                <w:szCs w:val="16"/>
              </w:rPr>
              <w:t>)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Assay (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on the anhydrous basis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)</w:t>
            </w:r>
          </w:p>
        </w:tc>
        <w:tc>
          <w:tcPr>
            <w:tcW w:w="4965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</w:rPr>
              <w:t>≥</w:t>
            </w:r>
            <w:r>
              <w:rPr>
                <w:rFonts w:hint="default" w:ascii="Arial" w:hAnsi="Arial" w:eastAsia="宋体" w:cs="Arial"/>
                <w:sz w:val="16"/>
                <w:szCs w:val="16"/>
              </w:rPr>
              <w:t>925µg/mg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562"/>
                <w:tab w:val="center" w:pos="932"/>
              </w:tabs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  <w:r>
              <w:rPr>
                <w:rFonts w:hint="eastAsia" w:ascii="Arial" w:hAnsi="Arial"/>
                <w:sz w:val="15"/>
                <w:lang w:val="en-US" w:eastAsia="zh-CN"/>
              </w:rPr>
              <w:t>{{含量_以无水物计}}</w:t>
            </w:r>
            <w:r>
              <w:rPr>
                <w:rFonts w:ascii="Arial" w:hAnsi="Arial"/>
                <w:sz w:val="15"/>
              </w:rPr>
              <w:t>µg/mg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需氧菌总数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Total aerobic microbial count</w:t>
            </w:r>
          </w:p>
        </w:tc>
        <w:tc>
          <w:tcPr>
            <w:tcW w:w="4965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val="en-US" w:eastAsia="zh-CN"/>
              </w:rPr>
              <w:t>100cfu/g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562"/>
                <w:tab w:val="center" w:pos="932"/>
              </w:tabs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auto"/>
                <w:sz w:val="15"/>
                <w:szCs w:val="15"/>
                <w:lang w:val="en-US" w:eastAsia="zh-CN"/>
              </w:rPr>
              <w:t>{{需氧菌}}</w:t>
            </w:r>
            <w:r>
              <w:rPr>
                <w:rFonts w:hint="default" w:ascii="Arial" w:hAnsi="Arial" w:cs="Arial"/>
                <w:color w:val="auto"/>
                <w:kern w:val="0"/>
                <w:sz w:val="15"/>
                <w:szCs w:val="15"/>
              </w:rPr>
              <w:t>cfu/g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残留溶剂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(乙醇)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 xml:space="preserve">Residual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s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olvent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(Ethanol)</w:t>
            </w:r>
          </w:p>
        </w:tc>
        <w:tc>
          <w:tcPr>
            <w:tcW w:w="4965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/>
              </w:rPr>
              <w:t>≤</w:t>
            </w:r>
            <w:r>
              <w:rPr>
                <w:rFonts w:hint="default" w:ascii="Arial" w:hAnsi="Arial" w:eastAsia="宋体" w:cs="Arial"/>
                <w:kern w:val="0"/>
                <w:sz w:val="16"/>
                <w:szCs w:val="16"/>
              </w:rPr>
              <w:t>5000ppm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562"/>
                <w:tab w:val="center" w:pos="932"/>
              </w:tabs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</w:rPr>
            </w:pP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US" w:eastAsia="zh-CN"/>
              </w:rPr>
              <w:t>{{残留溶剂_乙醇</w:t>
            </w:r>
            <w:r>
              <w:rPr>
                <w:rFonts w:hint="eastAsia" w:ascii="Arial" w:hAnsi="Arial" w:cs="Arial"/>
                <w:sz w:val="16"/>
                <w:szCs w:val="16"/>
                <w:lang w:val="en-GB"/>
              </w:rPr>
              <w:t>| dec(</w:t>
            </w:r>
            <w:r>
              <w:rPr>
                <w:rFonts w:hint="eastAsia" w:ascii="Arial" w:hAnsi="Arial" w:cs="Arial"/>
                <w:sz w:val="16"/>
                <w:szCs w:val="16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sz w:val="16"/>
                <w:szCs w:val="16"/>
                <w:lang w:val="en-GB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‘</w:t>
            </w:r>
            <w:r>
              <w:rPr>
                <w:rFonts w:hint="eastAsia" w:ascii="Arial" w:hAnsi="Arial" w:cs="Arial"/>
                <w:sz w:val="16"/>
                <w:szCs w:val="16"/>
                <w:lang w:val="en-US" w:eastAsia="zh-CN"/>
              </w:rPr>
              <w:t>ppm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’</w:t>
            </w:r>
            <w:r>
              <w:rPr>
                <w:rFonts w:hint="eastAsia" w:ascii="Arial" w:hAnsi="Arial" w:cs="Arial"/>
                <w:sz w:val="16"/>
                <w:szCs w:val="16"/>
                <w:lang w:val="en-GB"/>
              </w:rPr>
              <w:t>)</w:t>
            </w:r>
            <w:r>
              <w:rPr>
                <w:rFonts w:hint="eastAsia" w:ascii="Arial" w:hAnsi="Arial" w:eastAsia="宋体" w:cs="Arial"/>
                <w:color w:val="auto"/>
                <w:sz w:val="15"/>
                <w:szCs w:val="15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可见异物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  <w:t>Foreign matter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无明显肉眼可见异物。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textAlignment w:val="auto"/>
              <w:outlineLvl w:val="9"/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  <w:t>Sample should be essentially free from particles of foreign matter that can be observed on visual inspection.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符合规定Conform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6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snapToGrid w:val="0"/>
              <w:spacing w:line="190" w:lineRule="exact"/>
              <w:jc w:val="center"/>
              <w:rPr>
                <w:rFonts w:hint="default" w:ascii="Arial" w:hAnsi="Arial" w:eastAsia="宋体" w:cs="Arial"/>
                <w:sz w:val="16"/>
                <w:szCs w:val="16"/>
                <w:lang w:val="en-GB" w:eastAsia="zh-CN"/>
              </w:rPr>
            </w:pPr>
            <w:r>
              <w:rPr>
                <w:rFonts w:hint="eastAsia" w:ascii="Arial" w:hAnsi="Arial" w:eastAsia="宋体" w:cs="Times New Roman"/>
                <w:sz w:val="16"/>
                <w:szCs w:val="16"/>
                <w:lang w:val="en-US" w:eastAsia="zh-CN"/>
              </w:rPr>
              <w:t>N-亚硝基-万古霉素 N-nitroso-vancomycin</w:t>
            </w:r>
          </w:p>
        </w:tc>
        <w:tc>
          <w:tcPr>
            <w:tcW w:w="4965" w:type="dxa"/>
            <w:gridSpan w:val="3"/>
            <w:noWrap w:val="0"/>
            <w:vAlign w:val="center"/>
          </w:tcPr>
          <w:p>
            <w:pPr>
              <w:widowControl/>
              <w:snapToGrid w:val="0"/>
              <w:spacing w:line="190" w:lineRule="exact"/>
              <w:rPr>
                <w:rFonts w:hint="default" w:ascii="Arial" w:hAnsi="Arial" w:eastAsia="宋体" w:cs="Arial"/>
                <w:kern w:val="0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≤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  <w:t>0.75ppm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{{</w:t>
            </w:r>
            <w:r>
              <w:rPr>
                <w:rFonts w:hint="eastAsia" w:ascii="Arial" w:hAnsi="Arial" w:cs="Arial"/>
                <w:sz w:val="16"/>
                <w:szCs w:val="16"/>
                <w:lang w:val="en-US" w:eastAsia="zh-CN"/>
              </w:rPr>
              <w:t>亚硝胺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>| dec(</w:t>
            </w:r>
            <w:r>
              <w:rPr>
                <w:rFonts w:hint="eastAsia" w:ascii="Arial" w:hAnsi="Arial" w:cs="Arial"/>
                <w:sz w:val="16"/>
                <w:szCs w:val="16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 xml:space="preserve">, 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‘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ppm</w:t>
            </w: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’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GB"/>
              </w:rPr>
              <w:t>)</w:t>
            </w: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8" w:hRule="atLeast"/>
        </w:trPr>
        <w:tc>
          <w:tcPr>
            <w:tcW w:w="287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  <w:t>结论 Conclusion</w:t>
            </w:r>
          </w:p>
        </w:tc>
        <w:tc>
          <w:tcPr>
            <w:tcW w:w="6907" w:type="dxa"/>
            <w:gridSpan w:val="4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/>
                <w:sz w:val="16"/>
                <w:szCs w:val="16"/>
                <w:lang w:val="en-GB"/>
              </w:rPr>
              <w:t>本品符合美国药典及企业内控标准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beforeLines="0" w:beforeAutospacing="0" w:after="0" w:afterLines="0" w:afterAutospacing="0" w:line="20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eastAsia="宋体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eastAsia="宋体"/>
                <w:sz w:val="16"/>
                <w:szCs w:val="16"/>
                <w:lang w:val="en-GB"/>
              </w:rPr>
              <w:t xml:space="preserve">The </w:t>
            </w:r>
            <w:r>
              <w:rPr>
                <w:rFonts w:hint="eastAsia" w:ascii="Arial" w:hAnsi="Arial" w:eastAsia="宋体"/>
                <w:sz w:val="16"/>
                <w:szCs w:val="16"/>
                <w:lang w:val="en-GB"/>
              </w:rPr>
              <w:t>product</w:t>
            </w:r>
            <w:r>
              <w:rPr>
                <w:rFonts w:hint="default" w:ascii="Arial" w:hAnsi="Arial" w:eastAsia="宋体"/>
                <w:sz w:val="16"/>
                <w:szCs w:val="16"/>
                <w:lang w:val="en-GB"/>
              </w:rPr>
              <w:t xml:space="preserve"> </w:t>
            </w:r>
            <w:r>
              <w:rPr>
                <w:rFonts w:hint="eastAsia" w:ascii="Arial" w:hAnsi="Arial" w:eastAsia="宋体"/>
                <w:sz w:val="16"/>
                <w:szCs w:val="16"/>
                <w:lang w:val="en-GB"/>
              </w:rPr>
              <w:t>complies with</w:t>
            </w:r>
            <w:r>
              <w:rPr>
                <w:rFonts w:hint="default" w:ascii="Arial" w:hAnsi="Arial" w:eastAsia="宋体"/>
                <w:sz w:val="16"/>
                <w:szCs w:val="16"/>
                <w:lang w:val="en-GB"/>
              </w:rPr>
              <w:t xml:space="preserve"> USP and In-house Specifications.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autoSpaceDE/>
        <w:autoSpaceDN/>
        <w:snapToGrid/>
        <w:spacing w:before="0" w:beforeLines="0" w:beforeAutospacing="0" w:after="0" w:afterLines="0" w:afterAutospacing="0" w:line="160" w:lineRule="exact"/>
        <w:ind w:left="0" w:leftChars="0" w:right="0" w:firstLine="0" w:firstLineChars="0"/>
        <w:jc w:val="both"/>
        <w:textAlignment w:val="baseline"/>
        <w:outlineLvl w:val="9"/>
        <w:rPr>
          <w:rFonts w:hint="default" w:ascii="Arial" w:hAnsi="Arial" w:cs="Arial"/>
          <w:sz w:val="20"/>
          <w:lang w:val="en-GB"/>
        </w:rPr>
      </w:pPr>
    </w:p>
    <w:tbl>
      <w:tblPr>
        <w:tblStyle w:val="4"/>
        <w:tblW w:w="9780" w:type="dxa"/>
        <w:tblInd w:w="108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2603"/>
        <w:gridCol w:w="1969"/>
        <w:gridCol w:w="2536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67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准备人Prepared by:</w:t>
            </w:r>
          </w:p>
        </w:tc>
        <w:tc>
          <w:tcPr>
            <w:tcW w:w="260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96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日期Date:</w:t>
            </w:r>
          </w:p>
        </w:tc>
        <w:tc>
          <w:tcPr>
            <w:tcW w:w="25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267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复核人Checked by:</w:t>
            </w:r>
          </w:p>
        </w:tc>
        <w:tc>
          <w:tcPr>
            <w:tcW w:w="260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96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日期Date:</w:t>
            </w:r>
          </w:p>
        </w:tc>
        <w:tc>
          <w:tcPr>
            <w:tcW w:w="25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267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批准人Approved by:</w:t>
            </w:r>
          </w:p>
        </w:tc>
        <w:tc>
          <w:tcPr>
            <w:tcW w:w="260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96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GB"/>
              </w:rPr>
              <w:t>日期Date:</w:t>
            </w:r>
          </w:p>
        </w:tc>
        <w:tc>
          <w:tcPr>
            <w:tcW w:w="253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Chars="0" w:firstLine="0" w:firstLineChars="0"/>
              <w:jc w:val="center"/>
              <w:textAlignment w:val="auto"/>
              <w:outlineLvl w:val="9"/>
              <w:rPr>
                <w:rFonts w:hint="default" w:ascii="Arial" w:hAnsi="Arial" w:cs="Arial"/>
                <w:sz w:val="16"/>
                <w:szCs w:val="16"/>
                <w:lang w:val="en-GB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firstLine="533" w:firstLineChars="0"/>
        <w:jc w:val="left"/>
        <w:textAlignment w:val="auto"/>
        <w:rPr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20" w:right="1134" w:bottom="680" w:left="1134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1"/>
      </w:pBdr>
      <w:jc w:val="left"/>
      <w:rPr>
        <w:rFonts w:hint="default" w:ascii="Times New Roman" w:hAnsi="Times New Roman" w:cs="Times New Roman"/>
        <w:b/>
        <w:sz w:val="21"/>
        <w:szCs w:val="21"/>
      </w:rPr>
    </w:pPr>
    <w:r>
      <w:rPr>
        <w:rFonts w:hint="default" w:ascii="Times New Roman" w:hAnsi="Times New Roman" w:cs="Times New Roman"/>
        <w:b/>
        <w:sz w:val="21"/>
        <w:szCs w:val="21"/>
      </w:rPr>
      <w:t>LIVZON GROUP FUZHOU FUXING PHARMACEUTICAL CO., LTD.</w:t>
    </w:r>
    <w:r>
      <w:rPr>
        <w:rFonts w:hint="default" w:ascii="Times New Roman" w:hAnsi="Times New Roman" w:cs="Times New Roman"/>
        <w:b/>
        <w:caps/>
        <w:sz w:val="21"/>
        <w:szCs w:val="21"/>
      </w:rPr>
      <w:t xml:space="preserve"> </w:t>
    </w:r>
    <w:r>
      <w:rPr>
        <w:rFonts w:hint="eastAsia" w:ascii="Times New Roman" w:hAnsi="Times New Roman" w:cs="Times New Roman"/>
        <w:b/>
        <w:caps/>
        <w:sz w:val="21"/>
        <w:szCs w:val="21"/>
        <w:lang w:val="en-US" w:eastAsia="zh-CN"/>
      </w:rPr>
      <w:t xml:space="preserve">  </w:t>
    </w:r>
    <w:r>
      <w:rPr>
        <w:rFonts w:hint="default" w:ascii="Times New Roman" w:hAnsi="Times New Roman" w:cs="Times New Roman"/>
        <w:b/>
        <w:caps/>
        <w:sz w:val="21"/>
        <w:szCs w:val="21"/>
      </w:rPr>
      <w:t>Website</w:t>
    </w:r>
    <w:r>
      <w:rPr>
        <w:rFonts w:hint="default" w:ascii="Times New Roman" w:hAnsi="Times New Roman" w:cs="Times New Roman"/>
        <w:b/>
        <w:sz w:val="21"/>
        <w:szCs w:val="21"/>
      </w:rPr>
      <w:t>:</w:t>
    </w:r>
    <w:r>
      <w:rPr>
        <w:rFonts w:hint="default" w:ascii="Times New Roman" w:hAnsi="Times New Roman" w:cs="Times New Roman"/>
        <w:sz w:val="21"/>
        <w:szCs w:val="21"/>
      </w:rPr>
      <w:t>www.fxpharm.com</w:t>
    </w:r>
  </w:p>
  <w:p>
    <w:pPr>
      <w:pBdr>
        <w:top w:val="single" w:color="auto" w:sz="4" w:space="1"/>
      </w:pBd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</w:pPr>
    <w:r>
      <w:rPr>
        <w:rFonts w:hint="default" w:ascii="Times New Roman" w:hAnsi="Times New Roman" w:cs="Times New Roman"/>
        <w:b/>
        <w:sz w:val="21"/>
        <w:szCs w:val="21"/>
      </w:rPr>
      <w:t>ADD:</w:t>
    </w:r>
    <w:r>
      <w:rPr>
        <w:rFonts w:hint="default" w:ascii="Times New Roman" w:hAnsi="Times New Roman" w:cs="Times New Roman"/>
        <w:b/>
        <w:sz w:val="21"/>
        <w:szCs w:val="21"/>
        <w:lang w:val="en-US" w:eastAsia="zh-CN"/>
      </w:rPr>
      <w:t xml:space="preserve"> </w:t>
    </w:r>
    <w: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  <w:t>No. 8 Nangang Road, Jiangyin Industrial Concentration Zone, Fuqing, Fuzhou City, Fujian Province, </w:t>
    </w:r>
  </w:p>
  <w:p>
    <w:pPr>
      <w:pBdr>
        <w:top w:val="single" w:color="auto" w:sz="4" w:space="1"/>
      </w:pBdr>
      <w:rPr>
        <w:rFonts w:hint="default" w:ascii="Times New Roman" w:hAnsi="Times New Roman" w:cs="Times New Roman"/>
        <w:sz w:val="21"/>
        <w:szCs w:val="21"/>
      </w:rPr>
    </w:pPr>
    <w: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  <w:t>P.R.China ,</w:t>
    </w:r>
    <w:r>
      <w:rPr>
        <w:rFonts w:hint="default" w:ascii="Times New Roman" w:hAnsi="Times New Roman" w:cs="Times New Roman"/>
        <w:sz w:val="21"/>
        <w:szCs w:val="21"/>
      </w:rPr>
      <w:t xml:space="preserve"> 350309</w:t>
    </w:r>
  </w:p>
  <w:p>
    <w:pPr>
      <w:pStyle w:val="2"/>
      <w:keepNext w:val="0"/>
      <w:keepLines w:val="0"/>
      <w:pageBreakBefore w:val="0"/>
      <w:widowControl w:val="0"/>
      <w:pBdr>
        <w:top w:val="single" w:color="auto" w:sz="4" w:space="1"/>
      </w:pBdr>
      <w:kinsoku/>
      <w:wordWrap/>
      <w:overflowPunct/>
      <w:topLinePunct w:val="0"/>
      <w:autoSpaceDE/>
      <w:autoSpaceDN/>
      <w:bidi w:val="0"/>
      <w:adjustRightInd/>
      <w:spacing w:line="240" w:lineRule="exact"/>
      <w:textAlignment w:val="auto"/>
      <w:rPr>
        <w:rFonts w:hint="default" w:ascii="Times New Roman" w:hAnsi="Times New Roman" w:cs="Times New Roman"/>
        <w:sz w:val="21"/>
        <w:szCs w:val="21"/>
      </w:rPr>
    </w:pPr>
    <w:r>
      <w:rPr>
        <w:rFonts w:hint="default" w:ascii="Times New Roman" w:hAnsi="Times New Roman" w:cs="Times New Roman"/>
        <w:b/>
        <w:sz w:val="21"/>
        <w:szCs w:val="21"/>
        <w:lang w:val="de-DE"/>
      </w:rPr>
      <w:t>TEL:</w:t>
    </w:r>
    <w:r>
      <w:rPr>
        <w:rFonts w:hint="default" w:ascii="Times New Roman" w:hAnsi="Times New Roman" w:cs="Times New Roman"/>
        <w:sz w:val="21"/>
        <w:szCs w:val="21"/>
        <w:lang w:val="de-DE"/>
      </w:rPr>
      <w:t xml:space="preserve"> +86-591-85966932;</w:t>
    </w:r>
    <w:r>
      <w:rPr>
        <w:rFonts w:hint="default" w:ascii="Times New Roman" w:hAnsi="Times New Roman" w:cs="Times New Roman"/>
        <w:b/>
        <w:sz w:val="21"/>
        <w:szCs w:val="21"/>
        <w:lang w:val="de-DE"/>
      </w:rPr>
      <w:t xml:space="preserve"> FAX:</w:t>
    </w:r>
    <w:r>
      <w:rPr>
        <w:rFonts w:hint="default" w:ascii="Times New Roman" w:hAnsi="Times New Roman" w:cs="Times New Roman"/>
        <w:b/>
        <w:sz w:val="21"/>
        <w:szCs w:val="21"/>
        <w:lang w:val="en-US" w:eastAsia="zh-CN"/>
      </w:rPr>
      <w:t xml:space="preserve"> </w:t>
    </w:r>
    <w:r>
      <w:rPr>
        <w:rFonts w:hint="default" w:ascii="Times New Roman" w:hAnsi="Times New Roman" w:cs="Times New Roman"/>
        <w:sz w:val="21"/>
        <w:szCs w:val="21"/>
        <w:lang w:val="de-DE"/>
      </w:rPr>
      <w:t xml:space="preserve">+86-591-85966925   </w:t>
    </w:r>
    <w:r>
      <w:rPr>
        <w:rFonts w:hint="default" w:ascii="Times New Roman" w:hAnsi="Times New Roman" w:cs="Times New Roman"/>
        <w:b/>
        <w:sz w:val="21"/>
        <w:szCs w:val="21"/>
        <w:lang w:val="de-DE"/>
      </w:rPr>
      <w:t>E-MAIL:</w:t>
    </w:r>
    <w:r>
      <w:rPr>
        <w:rFonts w:hint="default" w:ascii="Times New Roman" w:hAnsi="Times New Roman" w:cs="Times New Roman"/>
        <w:sz w:val="21"/>
        <w:szCs w:val="21"/>
        <w:lang w:val="de-DE"/>
      </w:rPr>
      <w:t xml:space="preserve"> regulation@fxpharm.com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pacing w:line="240" w:lineRule="atLeast"/>
      <w:jc w:val="both"/>
      <w:rPr>
        <w:rFonts w:hint="eastAsia" w:ascii="宋体" w:hAnsi="宋体"/>
        <w:b/>
        <w:sz w:val="44"/>
        <w:szCs w:val="44"/>
      </w:rPr>
    </w:pPr>
    <w:r>
      <w:drawing>
        <wp:inline distT="0" distB="0" distL="114300" distR="114300">
          <wp:extent cx="1002030" cy="281940"/>
          <wp:effectExtent l="0" t="0" r="0" b="381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2030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44"/>
        <w:szCs w:val="44"/>
        <w:lang w:val="en-US" w:eastAsia="zh-CN"/>
      </w:rPr>
      <w:t xml:space="preserve"> </w:t>
    </w:r>
    <w:r>
      <w:rPr>
        <w:rFonts w:hint="eastAsia" w:ascii="宋体" w:hAnsi="宋体"/>
        <w:b/>
        <w:sz w:val="44"/>
        <w:szCs w:val="44"/>
      </w:rPr>
      <w:t>丽珠集团福州福兴医药有限公司</w:t>
    </w:r>
  </w:p>
  <w:p>
    <w:pPr>
      <w:pBdr>
        <w:bottom w:val="single" w:color="auto" w:sz="4" w:space="1"/>
      </w:pBdr>
      <w:spacing w:line="240" w:lineRule="atLeast"/>
      <w:jc w:val="center"/>
      <w:rPr>
        <w:rFonts w:hint="default" w:cs="Times New Roman"/>
        <w:b/>
        <w:sz w:val="28"/>
        <w:szCs w:val="28"/>
        <w:lang w:val="en-US" w:eastAsia="zh-CN"/>
      </w:rPr>
    </w:pPr>
    <w:r>
      <w:rPr>
        <w:rFonts w:hint="default" w:ascii="Times New Roman" w:hAnsi="Times New Roman" w:cs="Times New Roman"/>
        <w:b/>
        <w:sz w:val="28"/>
        <w:szCs w:val="28"/>
      </w:rPr>
      <w:t>LIVZON GROUP FUZHOU FUXING PHARMACEUTICAL CO., LTD.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24433"/>
    <w:rsid w:val="155908DC"/>
    <w:rsid w:val="1706695D"/>
    <w:rsid w:val="1A995BD3"/>
    <w:rsid w:val="2BAC55B7"/>
    <w:rsid w:val="30195388"/>
    <w:rsid w:val="3ABA2B9A"/>
    <w:rsid w:val="3F225453"/>
    <w:rsid w:val="587574E2"/>
    <w:rsid w:val="5CC406C9"/>
    <w:rsid w:val="64FA6757"/>
    <w:rsid w:val="756B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2025-07-10T03:58:00Z</dcterms:created>
  <dc:creator>chenshengting</dc:creator>
  <cp:lastModifiedBy>liangsuzhen</cp:lastModifiedBy>
  <dcterms:modified xsi:type="dcterms:W3CDTF">2026-02-25T08:00:40Z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B420764992834BB39AC4B4121A7B6469</vt:lpwstr>
  </property>
</Properties>
</file>