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36208" cy="3509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room-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50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200" w:line="300" w:lineRule="auto"/>
      </w:pPr>
      <w:r>
        <w:rPr>
          <w:rFonts w:ascii="Heiti SC" w:hAnsi="Heiti SC" w:eastAsia="Heiti SC"/>
          <w:b/>
          <w:color w:val="D5A43B"/>
          <w:sz w:val="18"/>
        </w:rPr>
        <w:t>MIDTERM LEARNING REVIEW</w:t>
      </w:r>
    </w:p>
    <w:p>
      <w:pPr>
        <w:spacing w:after="20" w:before="0" w:line="300" w:lineRule="auto"/>
      </w:pPr>
      <w:r>
        <w:rPr>
          <w:rFonts w:ascii="Heiti SC" w:hAnsi="Heiti SC" w:eastAsia="Heiti SC"/>
          <w:b/>
          <w:color w:val="123B36"/>
          <w:sz w:val="52"/>
        </w:rPr>
        <w:t>五年级二班</w:t>
      </w:r>
    </w:p>
    <w:p>
      <w:pPr>
        <w:spacing w:after="160" w:before="0" w:line="300" w:lineRule="auto"/>
      </w:pPr>
      <w:r>
        <w:rPr>
          <w:rFonts w:ascii="Heiti SC" w:hAnsi="Heiti SC" w:eastAsia="Heiti SC"/>
          <w:b/>
          <w:color w:val="174C45"/>
          <w:sz w:val="40"/>
        </w:rPr>
        <w:t>期中学情分析与改进计划</w:t>
      </w:r>
    </w:p>
    <w:p>
      <w:pPr>
        <w:spacing w:after="280" w:before="0" w:line="300" w:lineRule="auto"/>
      </w:pPr>
      <w:r>
        <w:rPr>
          <w:rFonts w:ascii="Heiti SC" w:hAnsi="Heiti SC" w:eastAsia="Heiti SC"/>
          <w:b w:val="0"/>
          <w:color w:val="526F68"/>
          <w:sz w:val="23"/>
        </w:rPr>
        <w:t>从班级数据出发，把每一次进步转化为下一步行动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EAF3EE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74C45"/>
                <w:sz w:val="36"/>
              </w:rPr>
              <w:t>36</w:t>
            </w:r>
            <w:r>
              <w:br/>
            </w:r>
            <w:r>
              <w:rPr>
                <w:rFonts w:ascii="Heiti SC" w:hAnsi="Heiti SC" w:eastAsia="Heiti SC"/>
                <w:b w:val="0"/>
                <w:color w:val="607A73"/>
                <w:sz w:val="17"/>
              </w:rPr>
              <w:t>学生人数</w:t>
            </w:r>
          </w:p>
        </w:tc>
        <w:tc>
          <w:tcPr>
            <w:tcW w:type="dxa" w:w="2459"/>
            <w:shd w:fill="EAF3EE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74C45"/>
                <w:sz w:val="36"/>
              </w:rPr>
              <w:t>83.8</w:t>
            </w:r>
            <w:r>
              <w:br/>
            </w:r>
            <w:r>
              <w:rPr>
                <w:rFonts w:ascii="Heiti SC" w:hAnsi="Heiti SC" w:eastAsia="Heiti SC"/>
                <w:b w:val="0"/>
                <w:color w:val="607A73"/>
                <w:sz w:val="17"/>
              </w:rPr>
              <w:t>三科均分</w:t>
            </w:r>
          </w:p>
        </w:tc>
        <w:tc>
          <w:tcPr>
            <w:tcW w:type="dxa" w:w="2459"/>
            <w:shd w:fill="EAF3EE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74C45"/>
                <w:sz w:val="36"/>
              </w:rPr>
              <w:t>94%</w:t>
            </w:r>
            <w:r>
              <w:br/>
            </w:r>
            <w:r>
              <w:rPr>
                <w:rFonts w:ascii="Heiti SC" w:hAnsi="Heiti SC" w:eastAsia="Heiti SC"/>
                <w:b w:val="0"/>
                <w:color w:val="607A73"/>
                <w:sz w:val="17"/>
              </w:rPr>
              <w:t>达标率</w:t>
            </w:r>
          </w:p>
        </w:tc>
        <w:tc>
          <w:tcPr>
            <w:tcW w:type="dxa" w:w="2459"/>
            <w:shd w:fill="EAF3EE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174C45"/>
                <w:sz w:val="36"/>
              </w:rPr>
              <w:t>13</w:t>
            </w:r>
            <w:r>
              <w:br/>
            </w:r>
            <w:r>
              <w:rPr>
                <w:rFonts w:ascii="Heiti SC" w:hAnsi="Heiti SC" w:eastAsia="Heiti SC"/>
                <w:b w:val="0"/>
                <w:color w:val="607A73"/>
                <w:sz w:val="17"/>
              </w:rPr>
              <w:t>重点跟进</w:t>
            </w:r>
          </w:p>
        </w:tc>
      </w:tr>
    </w:tbl>
    <w:p>
      <w:pPr>
        <w:spacing w:after="0" w:before="240" w:line="300" w:lineRule="auto"/>
      </w:pPr>
      <w:r>
        <w:rPr>
          <w:rFonts w:ascii="Heiti SC" w:hAnsi="Heiti SC" w:eastAsia="Heiti SC"/>
          <w:b w:val="0"/>
          <w:color w:val="7A8C87"/>
          <w:sz w:val="17"/>
        </w:rPr>
        <w:t>说明：本文件中的学生姓名、成绩和表现均为模拟数据，仅用于演示真实教师办公流程。</w:t>
      </w:r>
    </w:p>
    <w:p>
      <w:r>
        <w:br w:type="page"/>
      </w:r>
    </w:p>
    <w:p>
      <w:pPr>
        <w:spacing w:before="240" w:after="100"/>
      </w:pPr>
      <w:r>
        <w:rPr>
          <w:rFonts w:ascii="Heiti SC" w:hAnsi="Heiti SC" w:eastAsia="Heiti SC"/>
          <w:b/>
          <w:color w:val="174C45"/>
          <w:sz w:val="34"/>
        </w:rPr>
        <w:t>01｜班级画像：整体稳定，差异开始显现</w:t>
      </w:r>
    </w:p>
    <w:p>
      <w:pPr>
        <w:spacing w:after="100" w:before="0" w:line="300" w:lineRule="auto"/>
      </w:pPr>
      <w:r>
        <w:rPr>
          <w:rFonts w:ascii="Heiti SC" w:hAnsi="Heiti SC" w:eastAsia="Heiti SC"/>
          <w:b w:val="0"/>
          <w:color w:val="243D38"/>
          <w:sz w:val="21"/>
        </w:rPr>
        <w:t>本次模拟分析覆盖 36 名学生的语文、数学、英语成绩，并结合上次平均分、作业完成率与课堂表现进行综合观察。班级三科均分为 83.8 分，达标率约 94%，整体学习状态稳定；数学应用题、持续完成作业以及个别学生的自我效能感，是下一阶段优先关注方向。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995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学科分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95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555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表中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5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00"/>
      </w:pPr>
      <w:r>
        <w:rPr>
          <w:rFonts w:ascii="Heiti SC" w:hAnsi="Heiti SC" w:eastAsia="Heiti SC"/>
          <w:b/>
          <w:color w:val="E06B52"/>
          <w:sz w:val="26"/>
        </w:rPr>
        <w:t>关键判断</w:t>
      </w:r>
    </w:p>
    <w:p>
      <w:pPr>
        <w:pStyle w:val="ListBullet"/>
        <w:spacing w:after="60"/>
        <w:ind w:left="346" w:hanging="230"/>
      </w:pPr>
      <w:r>
        <w:rPr>
          <w:rFonts w:ascii="Heiti SC" w:hAnsi="Heiti SC" w:eastAsia="Heiti SC"/>
          <w:b w:val="0"/>
          <w:color w:val="243D38"/>
          <w:sz w:val="21"/>
        </w:rPr>
        <w:t>优势：课堂参与度较高，语文阅读与英语听说表现相对稳定。</w:t>
      </w:r>
    </w:p>
    <w:p>
      <w:pPr>
        <w:pStyle w:val="ListBullet"/>
        <w:spacing w:after="60"/>
        <w:ind w:left="346" w:hanging="230"/>
      </w:pPr>
      <w:r>
        <w:rPr>
          <w:rFonts w:ascii="Heiti SC" w:hAnsi="Heiti SC" w:eastAsia="Heiti SC"/>
          <w:b w:val="0"/>
          <w:color w:val="243D38"/>
          <w:sz w:val="21"/>
        </w:rPr>
        <w:t>差异：高分段学生保持稳定，但部分学生在数学应用与书面表达中缺少完整思路。</w:t>
      </w:r>
    </w:p>
    <w:p>
      <w:pPr>
        <w:pStyle w:val="ListBullet"/>
        <w:spacing w:after="60"/>
        <w:ind w:left="346" w:hanging="230"/>
      </w:pPr>
      <w:r>
        <w:rPr>
          <w:rFonts w:ascii="Heiti SC" w:hAnsi="Heiti SC" w:eastAsia="Heiti SC"/>
          <w:b w:val="0"/>
          <w:color w:val="243D38"/>
          <w:sz w:val="21"/>
        </w:rPr>
        <w:t>风险：作业完成率低于 85% 的学生，成绩波动更明显，需要先改善习惯再增加练习量。</w:t>
      </w:r>
    </w:p>
    <w:p>
      <w:pPr>
        <w:pStyle w:val="ListBullet"/>
        <w:spacing w:after="60"/>
        <w:ind w:left="346" w:hanging="230"/>
      </w:pPr>
      <w:r>
        <w:rPr>
          <w:rFonts w:ascii="Heiti SC" w:hAnsi="Heiti SC" w:eastAsia="Heiti SC"/>
          <w:b w:val="0"/>
          <w:color w:val="243D38"/>
          <w:sz w:val="21"/>
        </w:rPr>
        <w:t>边界：家长会仅呈现班级汇总，不公开学生排名，不横向比较具体学生。</w:t>
      </w:r>
    </w:p>
    <w:p>
      <w:pPr>
        <w:spacing w:before="240" w:after="100"/>
      </w:pPr>
      <w:r>
        <w:rPr>
          <w:rFonts w:ascii="Heiti SC" w:hAnsi="Heiti SC" w:eastAsia="Heiti SC"/>
          <w:b/>
          <w:color w:val="174C45"/>
          <w:sz w:val="34"/>
        </w:rPr>
        <w:t>02｜三个需要被看见的问题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174C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FFFFFF"/>
                <w:sz w:val="20"/>
              </w:rPr>
              <w:t>观察</w:t>
            </w:r>
          </w:p>
        </w:tc>
        <w:tc>
          <w:tcPr>
            <w:tcW w:type="dxa" w:w="3278"/>
            <w:shd w:fill="174C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3278"/>
            <w:shd w:fill="174C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FFFFFF"/>
                <w:sz w:val="20"/>
              </w:rPr>
              <w:t>下一步动作</w:t>
            </w:r>
          </w:p>
        </w:tc>
      </w:tr>
      <w:tr>
        <w:tc>
          <w:tcPr>
            <w:tcW w:type="dxa" w:w="3278"/>
            <w:shd w:fill="EAF3EE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243D38"/>
                <w:sz w:val="19"/>
              </w:rPr>
              <w:t>数学应用题失分集中</w:t>
            </w:r>
          </w:p>
        </w:tc>
        <w:tc>
          <w:tcPr>
            <w:tcW w:type="dxa" w:w="3278"/>
            <w:shd w:fill="EAF3EE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D38"/>
                <w:sz w:val="19"/>
              </w:rPr>
              <w:t>审题、数量关系表达不足</w:t>
            </w:r>
          </w:p>
        </w:tc>
        <w:tc>
          <w:tcPr>
            <w:tcW w:type="dxa" w:w="3278"/>
            <w:shd w:fill="EAF3EE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D38"/>
                <w:sz w:val="19"/>
              </w:rPr>
              <w:t>每周两次“先说后算”小练习</w:t>
            </w:r>
          </w:p>
        </w:tc>
      </w:tr>
      <w:tr>
        <w:tc>
          <w:tcPr>
            <w:tcW w:type="dxa" w:w="3278"/>
            <w:shd w:fill="FFFDF7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243D38"/>
                <w:sz w:val="19"/>
              </w:rPr>
              <w:t>作业持续性分化</w:t>
            </w:r>
          </w:p>
        </w:tc>
        <w:tc>
          <w:tcPr>
            <w:tcW w:type="dxa" w:w="3278"/>
            <w:shd w:fill="FFFDF7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D38"/>
                <w:sz w:val="19"/>
              </w:rPr>
              <w:t>时间安排与检查方式不稳定</w:t>
            </w:r>
          </w:p>
        </w:tc>
        <w:tc>
          <w:tcPr>
            <w:tcW w:type="dxa" w:w="3278"/>
            <w:shd w:fill="FFFDF7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D38"/>
                <w:sz w:val="19"/>
              </w:rPr>
              <w:t>任务卡 + 放学前一分钟自查</w:t>
            </w:r>
          </w:p>
        </w:tc>
      </w:tr>
      <w:tr>
        <w:tc>
          <w:tcPr>
            <w:tcW w:type="dxa" w:w="3278"/>
            <w:shd w:fill="EAF3EE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243D38"/>
                <w:sz w:val="19"/>
              </w:rPr>
              <w:t>表达缺少依据</w:t>
            </w:r>
          </w:p>
        </w:tc>
        <w:tc>
          <w:tcPr>
            <w:tcW w:type="dxa" w:w="3278"/>
            <w:shd w:fill="EAF3EE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D38"/>
                <w:sz w:val="19"/>
              </w:rPr>
              <w:t>只给结论，缺少理由与证据</w:t>
            </w:r>
          </w:p>
        </w:tc>
        <w:tc>
          <w:tcPr>
            <w:tcW w:type="dxa" w:w="3278"/>
            <w:shd w:fill="EAF3EE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D38"/>
                <w:sz w:val="19"/>
              </w:rPr>
              <w:t>推广“观点-依据-结论”句式</w:t>
            </w:r>
          </w:p>
        </w:tc>
      </w:tr>
    </w:tbl>
    <w:p>
      <w:pPr>
        <w:spacing w:before="240" w:after="100"/>
      </w:pPr>
      <w:r>
        <w:rPr>
          <w:rFonts w:ascii="Heiti SC" w:hAnsi="Heiti SC" w:eastAsia="Heiti SC"/>
          <w:b/>
          <w:color w:val="174C45"/>
          <w:sz w:val="34"/>
        </w:rPr>
        <w:t>03｜两周改进方案：小步、可见、可复盘</w:t>
      </w:r>
    </w:p>
    <w:p>
      <w:pPr>
        <w:spacing w:after="140"/>
      </w:pPr>
      <w:r>
        <w:rPr>
          <w:rFonts w:ascii="Heiti SC" w:hAnsi="Heiti SC" w:eastAsia="Heiti SC"/>
          <w:b/>
          <w:color w:val="E06B52"/>
          <w:sz w:val="22"/>
        </w:rPr>
        <w:t xml:space="preserve">课堂端  </w:t>
      </w:r>
      <w:r>
        <w:rPr>
          <w:rFonts w:ascii="Heiti SC" w:hAnsi="Heiti SC" w:eastAsia="Heiti SC"/>
          <w:b w:val="0"/>
          <w:color w:val="243D38"/>
          <w:sz w:val="21"/>
        </w:rPr>
        <w:t>数学增加口述建模；语文增加证据句式；英语保持每日短时复现。</w:t>
      </w:r>
    </w:p>
    <w:p>
      <w:pPr>
        <w:spacing w:after="140"/>
      </w:pPr>
      <w:r>
        <w:rPr>
          <w:rFonts w:ascii="Heiti SC" w:hAnsi="Heiti SC" w:eastAsia="Heiti SC"/>
          <w:b/>
          <w:color w:val="E06B52"/>
          <w:sz w:val="22"/>
        </w:rPr>
        <w:t xml:space="preserve">学生端  </w:t>
      </w:r>
      <w:r>
        <w:rPr>
          <w:rFonts w:ascii="Heiti SC" w:hAnsi="Heiti SC" w:eastAsia="Heiti SC"/>
          <w:b w:val="0"/>
          <w:color w:val="243D38"/>
          <w:sz w:val="21"/>
        </w:rPr>
        <w:t>每人设置一个可完成的小目标，用任务卡记录“完成了什么、哪里需要帮助”。</w:t>
      </w:r>
    </w:p>
    <w:p>
      <w:pPr>
        <w:spacing w:after="140"/>
      </w:pPr>
      <w:r>
        <w:rPr>
          <w:rFonts w:ascii="Heiti SC" w:hAnsi="Heiti SC" w:eastAsia="Heiti SC"/>
          <w:b/>
          <w:color w:val="E06B52"/>
          <w:sz w:val="22"/>
        </w:rPr>
        <w:t xml:space="preserve">家校端  </w:t>
      </w:r>
      <w:r>
        <w:rPr>
          <w:rFonts w:ascii="Heiti SC" w:hAnsi="Heiti SC" w:eastAsia="Heiti SC"/>
          <w:b w:val="0"/>
          <w:color w:val="243D38"/>
          <w:sz w:val="21"/>
        </w:rPr>
        <w:t>家长关注作息、阅读与复盘过程，不在群内比较成绩，不额外叠加大量练习。</w:t>
      </w:r>
    </w:p>
    <w:p>
      <w:pPr>
        <w:spacing w:after="140"/>
      </w:pPr>
      <w:r>
        <w:rPr>
          <w:rFonts w:ascii="Heiti SC" w:hAnsi="Heiti SC" w:eastAsia="Heiti SC"/>
          <w:b/>
          <w:color w:val="E06B52"/>
          <w:sz w:val="22"/>
        </w:rPr>
        <w:t xml:space="preserve">复盘端  </w:t>
      </w:r>
      <w:r>
        <w:rPr>
          <w:rFonts w:ascii="Heiti SC" w:hAnsi="Heiti SC" w:eastAsia="Heiti SC"/>
          <w:b w:val="0"/>
          <w:color w:val="243D38"/>
          <w:sz w:val="21"/>
        </w:rPr>
        <w:t>两周后查看作业完成率、错题类型和课堂表达次数，再决定是否调整支持方式。</w:t>
      </w:r>
    </w:p>
    <w:p>
      <w:pPr>
        <w:spacing w:before="240" w:after="100"/>
      </w:pPr>
      <w:r>
        <w:rPr>
          <w:rFonts w:ascii="Heiti SC" w:hAnsi="Heiti SC" w:eastAsia="Heiti SC"/>
          <w:b/>
          <w:color w:val="174C45"/>
          <w:sz w:val="34"/>
        </w:rPr>
        <w:t>04｜分层跟进与沟通原则</w:t>
      </w:r>
    </w:p>
    <w:p>
      <w:pPr>
        <w:pStyle w:val="ListBullet"/>
        <w:spacing w:after="60"/>
        <w:ind w:left="346" w:hanging="230"/>
      </w:pPr>
      <w:r>
        <w:rPr>
          <w:rFonts w:ascii="Heiti SC" w:hAnsi="Heiti SC" w:eastAsia="Heiti SC"/>
          <w:b w:val="0"/>
          <w:color w:val="243D38"/>
          <w:sz w:val="21"/>
        </w:rPr>
        <w:t>重点跟进：平均分或作业完成率触发关注，但不简单贴标签；结合课堂观察再次确认。</w:t>
      </w:r>
    </w:p>
    <w:p>
      <w:pPr>
        <w:pStyle w:val="ListBullet"/>
        <w:spacing w:after="60"/>
        <w:ind w:left="346" w:hanging="230"/>
      </w:pPr>
      <w:r>
        <w:rPr>
          <w:rFonts w:ascii="Heiti SC" w:hAnsi="Heiti SC" w:eastAsia="Heiti SC"/>
          <w:b w:val="0"/>
          <w:color w:val="243D38"/>
          <w:sz w:val="21"/>
        </w:rPr>
        <w:t>进步表扬：突出学习方法与持续投入，避免只表扬名次。</w:t>
      </w:r>
    </w:p>
    <w:p>
      <w:pPr>
        <w:pStyle w:val="ListBullet"/>
        <w:spacing w:after="60"/>
        <w:ind w:left="346" w:hanging="230"/>
      </w:pPr>
      <w:r>
        <w:rPr>
          <w:rFonts w:ascii="Heiti SC" w:hAnsi="Heiti SC" w:eastAsia="Heiti SC"/>
          <w:b w:val="0"/>
          <w:color w:val="243D38"/>
          <w:sz w:val="21"/>
        </w:rPr>
        <w:t>常规关注：维持稳定节奏，提供适度挑战与同伴协作机会。</w:t>
      </w:r>
    </w:p>
    <w:p>
      <w:pPr>
        <w:pStyle w:val="ListBullet"/>
        <w:spacing w:after="60"/>
        <w:ind w:left="346" w:hanging="230"/>
      </w:pPr>
      <w:r>
        <w:rPr>
          <w:rFonts w:ascii="Heiti SC" w:hAnsi="Heiti SC" w:eastAsia="Heiti SC"/>
          <w:b w:val="0"/>
          <w:color w:val="243D38"/>
          <w:sz w:val="21"/>
        </w:rPr>
        <w:t>个别沟通：使用“观察事实 - 学生感受 - 共同目标 - 两周行动”的结构。</w:t>
      </w:r>
    </w:p>
    <w:p>
      <w:pPr>
        <w:spacing w:before="240" w:after="100"/>
      </w:pPr>
      <w:r>
        <w:rPr>
          <w:rFonts w:ascii="Heiti SC" w:hAnsi="Heiti SC" w:eastAsia="Heiti SC"/>
          <w:b/>
          <w:color w:val="174C45"/>
          <w:sz w:val="34"/>
        </w:rPr>
        <w:t>05｜家长会沟通建议</w:t>
      </w:r>
    </w:p>
    <w:p>
      <w:pPr>
        <w:spacing w:after="100" w:before="0" w:line="300" w:lineRule="auto"/>
      </w:pPr>
      <w:r>
        <w:rPr>
          <w:rFonts w:ascii="Heiti SC" w:hAnsi="Heiti SC" w:eastAsia="Heiti SC"/>
          <w:b w:val="0"/>
          <w:color w:val="243D38"/>
          <w:sz w:val="21"/>
        </w:rPr>
        <w:t>建议现场先讲成长，再讲数据；先讲班级共性，再讲家校协作。具体学生情况安排会后一对一沟通。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EAF3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74C45"/>
                <w:sz w:val="19"/>
              </w:rPr>
              <w:t>建议说法</w:t>
            </w:r>
          </w:p>
        </w:tc>
        <w:tc>
          <w:tcPr>
            <w:tcW w:type="dxa" w:w="4917"/>
            <w:shd w:fill="FFFD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D38"/>
                <w:sz w:val="19"/>
              </w:rPr>
              <w:t>“我们希望帮助孩子找到可持续的方法。”</w:t>
            </w:r>
          </w:p>
        </w:tc>
      </w:tr>
      <w:tr>
        <w:tc>
          <w:tcPr>
            <w:tcW w:type="dxa" w:w="4917"/>
            <w:shd w:fill="EAF3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74C45"/>
                <w:sz w:val="19"/>
              </w:rPr>
              <w:t>避免说法</w:t>
            </w:r>
          </w:p>
        </w:tc>
        <w:tc>
          <w:tcPr>
            <w:tcW w:type="dxa" w:w="4917"/>
            <w:shd w:fill="FFFD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D38"/>
                <w:sz w:val="19"/>
              </w:rPr>
              <w:t>“某些孩子拖了班级后腿。”</w:t>
            </w:r>
          </w:p>
        </w:tc>
      </w:tr>
      <w:tr>
        <w:tc>
          <w:tcPr>
            <w:tcW w:type="dxa" w:w="4917"/>
            <w:shd w:fill="EAF3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74C45"/>
                <w:sz w:val="19"/>
              </w:rPr>
              <w:t>会后材料</w:t>
            </w:r>
          </w:p>
        </w:tc>
        <w:tc>
          <w:tcPr>
            <w:tcW w:type="dxa" w:w="4917"/>
            <w:shd w:fill="FFFD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D38"/>
                <w:sz w:val="19"/>
              </w:rPr>
              <w:t>发送精简 PDF，不发送学生明细表。</w:t>
            </w:r>
          </w:p>
        </w:tc>
      </w:tr>
      <w:tr>
        <w:tc>
          <w:tcPr>
            <w:tcW w:type="dxa" w:w="4917"/>
            <w:shd w:fill="EAF3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Heiti SC" w:hAnsi="Heiti SC" w:eastAsia="Heiti SC"/>
                <w:b/>
                <w:color w:val="174C45"/>
                <w:sz w:val="19"/>
              </w:rPr>
              <w:t>反馈入口</w:t>
            </w:r>
          </w:p>
        </w:tc>
        <w:tc>
          <w:tcPr>
            <w:tcW w:type="dxa" w:w="4917"/>
            <w:shd w:fill="FFFD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D38"/>
                <w:sz w:val="19"/>
              </w:rPr>
              <w:t>家长可预约 10 分钟个别沟通。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82918D"/>
        <w:sz w:val="16"/>
      </w:rPr>
      <w:t>模拟数据 · 家长会工作包 · 2026-08-30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D817C"/>
        <w:sz w:val="17"/>
      </w:rPr>
      <w:t>五年级二班｜期中学情分析与改进计划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