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EB881" w14:textId="77777777" w:rsidR="00E95797" w:rsidRDefault="0003570C" w:rsidP="0003570C">
      <w:pPr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</w:pPr>
      <w:r w:rsidRPr="00EB49EC"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  <w:t>Data Normalization</w:t>
      </w:r>
    </w:p>
    <w:p w14:paraId="1FE18D88" w14:textId="77777777" w:rsidR="00EB49EC" w:rsidRDefault="00EB49EC" w:rsidP="0003570C">
      <w:pPr>
        <w:rPr>
          <w:rFonts w:ascii="Times New Roman" w:eastAsia="宋体" w:hAnsi="Times New Roman" w:cs="Times New Roman" w:hint="eastAsia"/>
          <w:b/>
          <w:color w:val="000000" w:themeColor="text1"/>
          <w:sz w:val="30"/>
          <w:szCs w:val="30"/>
        </w:rPr>
      </w:pPr>
    </w:p>
    <w:p w14:paraId="5C3D9C35" w14:textId="7BCF4BF2" w:rsidR="0026424E" w:rsidRDefault="0026424E" w:rsidP="0003570C">
      <w:pPr>
        <w:rPr>
          <w:rFonts w:ascii="Times New Roman" w:hAnsi="Times New Roman" w:cs="Times New Roman" w:hint="eastAsia"/>
          <w:color w:val="000000" w:themeColor="text1"/>
        </w:rPr>
      </w:pPr>
      <w:r w:rsidRPr="0026424E">
        <w:rPr>
          <w:rFonts w:ascii="Times New Roman" w:hAnsi="Times New Roman" w:cs="Times New Roman"/>
          <w:color w:val="000000" w:themeColor="text1"/>
        </w:rPr>
        <w:t>This document</w:t>
      </w:r>
      <w:r w:rsidRPr="0026424E">
        <w:t xml:space="preserve"> </w:t>
      </w:r>
      <w:r w:rsidRPr="0026424E">
        <w:rPr>
          <w:rFonts w:ascii="Times New Roman" w:hAnsi="Times New Roman" w:cs="Times New Roman"/>
          <w:color w:val="000000" w:themeColor="text1"/>
        </w:rPr>
        <w:t>is used to introduce the details of data</w:t>
      </w:r>
      <w:r>
        <w:rPr>
          <w:rFonts w:ascii="Times New Roman" w:hAnsi="Times New Roman" w:cs="Times New Roman" w:hint="eastAsia"/>
          <w:color w:val="000000" w:themeColor="text1"/>
        </w:rPr>
        <w:t xml:space="preserve"> n</w:t>
      </w:r>
      <w:r w:rsidRPr="0026424E">
        <w:rPr>
          <w:rFonts w:ascii="Times New Roman" w:hAnsi="Times New Roman" w:cs="Times New Roman"/>
          <w:color w:val="000000" w:themeColor="text1"/>
        </w:rPr>
        <w:t>ormalization</w:t>
      </w:r>
      <w:r>
        <w:rPr>
          <w:rFonts w:ascii="Times New Roman" w:hAnsi="Times New Roman" w:cs="Times New Roman" w:hint="eastAsia"/>
          <w:color w:val="000000" w:themeColor="text1"/>
        </w:rPr>
        <w:t>.</w:t>
      </w:r>
      <w:bookmarkStart w:id="0" w:name="_GoBack"/>
      <w:bookmarkEnd w:id="0"/>
    </w:p>
    <w:p w14:paraId="46E9C7CA" w14:textId="77777777" w:rsidR="0026424E" w:rsidRPr="0026424E" w:rsidRDefault="0026424E" w:rsidP="0003570C">
      <w:pPr>
        <w:rPr>
          <w:rFonts w:ascii="Times New Roman" w:hAnsi="Times New Roman" w:cs="Times New Roman" w:hint="eastAsia"/>
          <w:color w:val="000000" w:themeColor="text1"/>
        </w:rPr>
      </w:pPr>
    </w:p>
    <w:p w14:paraId="4B58E9B4" w14:textId="29FC4A9A" w:rsidR="0003570C" w:rsidRDefault="00D24EB9" w:rsidP="0003570C">
      <w:pPr>
        <w:rPr>
          <w:rFonts w:ascii="Times New Roman" w:hAnsi="Times New Roman" w:cs="Times New Roman"/>
          <w:color w:val="000000" w:themeColor="text1"/>
        </w:rPr>
      </w:pPr>
      <w:r w:rsidRPr="00D24EB9">
        <w:rPr>
          <w:rFonts w:ascii="Times New Roman" w:hAnsi="Times New Roman" w:cs="Times New Roman"/>
          <w:color w:val="000000" w:themeColor="text1"/>
        </w:rPr>
        <w:t>Data normalization is based on the types of values:</w:t>
      </w:r>
    </w:p>
    <w:p w14:paraId="2D0A8B1D" w14:textId="77777777" w:rsidR="0003570C" w:rsidRPr="00104326" w:rsidRDefault="00104326" w:rsidP="0010432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(1) 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Entity data, </w:t>
      </w:r>
      <w:r w:rsidR="0003570C" w:rsidRPr="00104326">
        <w:rPr>
          <w:rFonts w:ascii="Times New Roman" w:hAnsi="Times New Roman" w:cs="Times New Roman"/>
          <w:color w:val="000000" w:themeColor="text1"/>
        </w:rPr>
        <w:t xml:space="preserve">such as disease name, test name 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in </w:t>
      </w:r>
      <w:r w:rsidR="0003570C" w:rsidRPr="00104326">
        <w:rPr>
          <w:rFonts w:ascii="Times New Roman" w:hAnsi="Times New Roman" w:cs="Times New Roman"/>
          <w:color w:val="000000" w:themeColor="text1"/>
        </w:rPr>
        <w:t>relational database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. </w:t>
      </w:r>
      <w:r w:rsidR="0003570C" w:rsidRPr="00104326">
        <w:rPr>
          <w:rFonts w:ascii="Times New Roman" w:hAnsi="Times New Roman" w:cs="Times New Roman"/>
          <w:color w:val="000000" w:themeColor="text1"/>
        </w:rPr>
        <w:t>When processing these values, we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 will</w:t>
      </w:r>
      <w:r w:rsidR="0003570C" w:rsidRPr="00104326">
        <w:rPr>
          <w:rFonts w:ascii="Times New Roman" w:hAnsi="Times New Roman" w:cs="Times New Roman"/>
          <w:color w:val="000000" w:themeColor="text1"/>
        </w:rPr>
        <w:t xml:space="preserve"> match the 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>entities</w:t>
      </w:r>
      <w:r w:rsidR="0003570C" w:rsidRPr="00104326">
        <w:rPr>
          <w:rFonts w:ascii="Times New Roman" w:hAnsi="Times New Roman" w:cs="Times New Roman"/>
          <w:color w:val="000000" w:themeColor="text1"/>
        </w:rPr>
        <w:t xml:space="preserve"> with the knowledge base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 using </w:t>
      </w:r>
      <w:r w:rsidR="0003570C" w:rsidRPr="00104326">
        <w:rPr>
          <w:rFonts w:ascii="Times New Roman" w:hAnsi="Times New Roman" w:cs="Times New Roman"/>
          <w:color w:val="000000" w:themeColor="text1"/>
        </w:rPr>
        <w:t>similarity function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. </w:t>
      </w:r>
      <w:r w:rsidR="0003570C" w:rsidRPr="00104326">
        <w:rPr>
          <w:rFonts w:ascii="Times New Roman" w:hAnsi="Times New Roman" w:cs="Times New Roman"/>
          <w:color w:val="000000" w:themeColor="text1"/>
        </w:rPr>
        <w:t>The similarity function σ considers the Levenshtein distance, trigram, and longest common substring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, here is </w:t>
      </w:r>
      <w:r w:rsidR="0003570C" w:rsidRPr="00104326">
        <w:rPr>
          <w:rFonts w:ascii="Times New Roman" w:hAnsi="Times New Roman" w:cs="Times New Roman"/>
          <w:color w:val="000000" w:themeColor="text1"/>
        </w:rPr>
        <w:t>formula</w:t>
      </w:r>
      <w:r w:rsidR="0003570C" w:rsidRPr="00104326">
        <w:rPr>
          <w:rFonts w:ascii="Times New Roman" w:hAnsi="Times New Roman" w:cs="Times New Roman" w:hint="eastAsia"/>
          <w:color w:val="000000" w:themeColor="text1"/>
        </w:rPr>
        <w:t xml:space="preserve">: </w:t>
      </w:r>
    </w:p>
    <w:p w14:paraId="0887A085" w14:textId="77777777" w:rsidR="0003570C" w:rsidRPr="0003570C" w:rsidRDefault="0003570C" w:rsidP="0003570C">
      <w:pPr>
        <w:rPr>
          <w:rFonts w:ascii="Times New Roman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σ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token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token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h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token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h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LCS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token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den>
          </m:f>
        </m:oMath>
      </m:oMathPara>
    </w:p>
    <w:p w14:paraId="5625BEA5" w14:textId="261FED01" w:rsidR="0003570C" w:rsidRDefault="009D76F7" w:rsidP="0003570C">
      <w:pPr>
        <w:rPr>
          <w:rFonts w:ascii="Times New Roman" w:hAnsi="Times New Roman" w:cs="Times New Roman"/>
          <w:color w:val="000000" w:themeColor="text1"/>
        </w:rPr>
      </w:pPr>
      <w:r w:rsidRPr="009D76F7">
        <w:rPr>
          <w:rFonts w:ascii="Times New Roman" w:hAnsi="Times New Roman" w:cs="Times New Roman"/>
          <w:color w:val="000000" w:themeColor="text1"/>
        </w:rPr>
        <w:t>We use Area Under Curve (AUC) to optimize the threshold with a small-scale dataset with manua</w:t>
      </w:r>
      <w:r w:rsidR="009F0043">
        <w:rPr>
          <w:rFonts w:ascii="Times New Roman" w:hAnsi="Times New Roman" w:cs="Times New Roman"/>
          <w:color w:val="000000" w:themeColor="text1"/>
        </w:rPr>
        <w:t>l annotations. We also mention</w:t>
      </w:r>
      <w:r w:rsidRPr="009D76F7">
        <w:rPr>
          <w:rFonts w:ascii="Times New Roman" w:hAnsi="Times New Roman" w:cs="Times New Roman"/>
          <w:color w:val="000000" w:themeColor="text1"/>
        </w:rPr>
        <w:t xml:space="preserve"> the step on page 7 of our paper.</w:t>
      </w:r>
      <w:r w:rsidR="0003570C" w:rsidRPr="0003570C">
        <w:rPr>
          <w:rFonts w:ascii="Arial Narrow" w:eastAsia="宋体" w:hAnsi="Arial Narrow" w:cs="Helvetica" w:hint="eastAsia"/>
          <w:color w:val="4472C4" w:themeColor="accent1"/>
        </w:rPr>
        <w:t xml:space="preserve"> </w:t>
      </w:r>
      <w:r w:rsidR="0003570C" w:rsidRPr="0003570C">
        <w:rPr>
          <w:rFonts w:ascii="Times New Roman" w:hAnsi="Times New Roman" w:cs="Times New Roman" w:hint="eastAsia"/>
          <w:color w:val="000000" w:themeColor="text1"/>
        </w:rPr>
        <w:t xml:space="preserve">The </w:t>
      </w:r>
      <w:r w:rsidR="0003570C" w:rsidRPr="0003570C">
        <w:rPr>
          <w:rFonts w:ascii="Times New Roman" w:hAnsi="Times New Roman" w:cs="Times New Roman"/>
          <w:color w:val="000000" w:themeColor="text1"/>
        </w:rPr>
        <w:t>performance</w:t>
      </w:r>
      <w:r w:rsidR="0003570C" w:rsidRPr="0003570C">
        <w:rPr>
          <w:rFonts w:ascii="Times New Roman" w:hAnsi="Times New Roman" w:cs="Times New Roman" w:hint="eastAsia"/>
          <w:color w:val="000000" w:themeColor="text1"/>
        </w:rPr>
        <w:t xml:space="preserve"> for entity data </w:t>
      </w:r>
      <w:r w:rsidR="0003570C" w:rsidRPr="0003570C">
        <w:rPr>
          <w:rFonts w:ascii="Times New Roman" w:hAnsi="Times New Roman" w:cs="Times New Roman"/>
          <w:color w:val="000000" w:themeColor="text1"/>
        </w:rPr>
        <w:t>normalization</w:t>
      </w:r>
      <w:r w:rsidR="0003570C" w:rsidRPr="0003570C">
        <w:rPr>
          <w:rFonts w:ascii="Times New Roman" w:hAnsi="Times New Roman" w:cs="Times New Roman" w:hint="eastAsia"/>
          <w:color w:val="000000" w:themeColor="text1"/>
        </w:rPr>
        <w:t xml:space="preserve"> i</w:t>
      </w:r>
      <w:r w:rsidR="0003570C" w:rsidRPr="0003570C">
        <w:rPr>
          <w:rFonts w:ascii="Times New Roman" w:hAnsi="Times New Roman" w:cs="Times New Roman"/>
          <w:color w:val="000000" w:themeColor="text1"/>
        </w:rPr>
        <w:t>s divided into three categories</w:t>
      </w:r>
      <w:r w:rsidR="0003570C" w:rsidRPr="0003570C">
        <w:rPr>
          <w:rFonts w:ascii="Times New Roman" w:hAnsi="Times New Roman" w:cs="Times New Roman" w:hint="eastAsia"/>
          <w:color w:val="000000" w:themeColor="text1"/>
        </w:rPr>
        <w:t xml:space="preserve">, </w:t>
      </w:r>
      <w:r w:rsidR="0003570C">
        <w:rPr>
          <w:rFonts w:ascii="Times New Roman" w:hAnsi="Times New Roman" w:cs="Times New Roman"/>
          <w:color w:val="000000" w:themeColor="text1"/>
        </w:rPr>
        <w:t>t</w:t>
      </w:r>
      <w:r w:rsidR="0003570C" w:rsidRPr="0003570C">
        <w:rPr>
          <w:rFonts w:ascii="Times New Roman" w:hAnsi="Times New Roman" w:cs="Times New Roman"/>
          <w:color w:val="000000" w:themeColor="text1"/>
        </w:rPr>
        <w:t xml:space="preserve">he concrete </w:t>
      </w:r>
      <w:r w:rsidR="0003570C" w:rsidRPr="0003570C">
        <w:rPr>
          <w:rFonts w:ascii="Times New Roman" w:hAnsi="Times New Roman" w:cs="Times New Roman" w:hint="eastAsia"/>
          <w:color w:val="000000" w:themeColor="text1"/>
        </w:rPr>
        <w:t>AUC score</w:t>
      </w:r>
      <w:r w:rsidR="00C80B7A">
        <w:rPr>
          <w:rFonts w:ascii="Times New Roman" w:hAnsi="Times New Roman" w:cs="Times New Roman" w:hint="eastAsia"/>
          <w:color w:val="000000" w:themeColor="text1"/>
        </w:rPr>
        <w:t>s</w:t>
      </w:r>
      <w:r w:rsidR="0003570C" w:rsidRPr="0003570C">
        <w:rPr>
          <w:rFonts w:ascii="Times New Roman" w:hAnsi="Times New Roman" w:cs="Times New Roman"/>
          <w:color w:val="000000" w:themeColor="text1"/>
        </w:rPr>
        <w:t xml:space="preserve"> </w:t>
      </w:r>
      <w:r w:rsidR="00C80B7A">
        <w:rPr>
          <w:rFonts w:ascii="Times New Roman" w:hAnsi="Times New Roman" w:cs="Times New Roman" w:hint="eastAsia"/>
          <w:color w:val="000000" w:themeColor="text1"/>
        </w:rPr>
        <w:t>are</w:t>
      </w:r>
      <w:r w:rsidR="0003570C" w:rsidRPr="0003570C">
        <w:rPr>
          <w:rFonts w:ascii="Times New Roman" w:hAnsi="Times New Roman" w:cs="Times New Roman"/>
          <w:color w:val="000000" w:themeColor="text1"/>
        </w:rPr>
        <w:t xml:space="preserve"> shown in the following table</w:t>
      </w:r>
      <w:r w:rsidR="00C80B7A">
        <w:rPr>
          <w:rFonts w:ascii="Times New Roman" w:hAnsi="Times New Roman" w:cs="Times New Roman" w:hint="eastAsia"/>
          <w:color w:val="000000" w:themeColor="text1"/>
        </w:rPr>
        <w:t>.</w:t>
      </w:r>
      <w:r w:rsidR="00540ECC">
        <w:rPr>
          <w:rFonts w:ascii="Times New Roman" w:hAnsi="Times New Roman" w:cs="Times New Roman" w:hint="eastAsia"/>
          <w:color w:val="000000" w:themeColor="text1"/>
        </w:rPr>
        <w:t xml:space="preserve"> Final, </w:t>
      </w:r>
      <w:r w:rsidR="00540ECC">
        <w:rPr>
          <w:rFonts w:ascii="Times New Roman" w:hAnsi="Times New Roman" w:cs="Times New Roman"/>
          <w:color w:val="000000" w:themeColor="text1"/>
        </w:rPr>
        <w:t>w</w:t>
      </w:r>
      <w:r w:rsidR="00540ECC" w:rsidRPr="00540ECC">
        <w:rPr>
          <w:rFonts w:ascii="Times New Roman" w:hAnsi="Times New Roman" w:cs="Times New Roman"/>
          <w:color w:val="000000" w:themeColor="text1"/>
        </w:rPr>
        <w:t>e apply the optimal thresholds to all entities,</w:t>
      </w:r>
      <w:r w:rsidR="00540ECC">
        <w:rPr>
          <w:rFonts w:ascii="Times New Roman" w:hAnsi="Times New Roman" w:cs="Times New Roman" w:hint="eastAsia"/>
          <w:color w:val="000000" w:themeColor="text1"/>
        </w:rPr>
        <w:t xml:space="preserve"> and compute the l</w:t>
      </w:r>
      <w:r w:rsidR="00104326" w:rsidRPr="00104326">
        <w:rPr>
          <w:rFonts w:ascii="Times New Roman" w:hAnsi="Times New Roman" w:cs="Times New Roman"/>
          <w:color w:val="000000" w:themeColor="text1"/>
        </w:rPr>
        <w:t>ink rate</w:t>
      </w:r>
      <w:r w:rsidR="00540ECC">
        <w:rPr>
          <w:rFonts w:ascii="Times New Roman" w:hAnsi="Times New Roman" w:cs="Times New Roman" w:hint="eastAsia"/>
          <w:color w:val="000000" w:themeColor="text1"/>
        </w:rPr>
        <w:t xml:space="preserve"> which</w:t>
      </w:r>
      <w:r w:rsidR="00104326" w:rsidRPr="00104326">
        <w:rPr>
          <w:rFonts w:ascii="Times New Roman" w:hAnsi="Times New Roman" w:cs="Times New Roman"/>
          <w:color w:val="000000" w:themeColor="text1"/>
        </w:rPr>
        <w:t xml:space="preserve"> indicates the percentage of </w:t>
      </w:r>
      <w:r w:rsidR="00540ECC">
        <w:rPr>
          <w:rFonts w:ascii="Times New Roman" w:hAnsi="Times New Roman" w:cs="Times New Roman" w:hint="eastAsia"/>
          <w:color w:val="000000" w:themeColor="text1"/>
        </w:rPr>
        <w:t xml:space="preserve">all </w:t>
      </w:r>
      <w:r w:rsidR="00104326" w:rsidRPr="00104326">
        <w:rPr>
          <w:rFonts w:ascii="Times New Roman" w:hAnsi="Times New Roman" w:cs="Times New Roman"/>
          <w:color w:val="000000" w:themeColor="text1"/>
        </w:rPr>
        <w:t xml:space="preserve">entities that have been successfully linked to the knowledge </w:t>
      </w:r>
      <w:r w:rsidR="00104326">
        <w:rPr>
          <w:rFonts w:ascii="Times New Roman" w:hAnsi="Times New Roman" w:cs="Times New Roman" w:hint="eastAsia"/>
          <w:color w:val="000000" w:themeColor="text1"/>
        </w:rPr>
        <w:t>graph.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2"/>
        <w:gridCol w:w="2073"/>
      </w:tblGrid>
      <w:tr w:rsidR="00540ECC" w14:paraId="369CE865" w14:textId="77777777" w:rsidTr="0020303B">
        <w:tc>
          <w:tcPr>
            <w:tcW w:w="2072" w:type="dxa"/>
          </w:tcPr>
          <w:p w14:paraId="010F9FDB" w14:textId="77777777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/>
                <w:color w:val="000000" w:themeColor="text1"/>
              </w:rPr>
              <w:t>Entity type</w:t>
            </w:r>
          </w:p>
        </w:tc>
        <w:tc>
          <w:tcPr>
            <w:tcW w:w="2072" w:type="dxa"/>
          </w:tcPr>
          <w:p w14:paraId="3F1F1C59" w14:textId="3EF9C52F" w:rsidR="00540ECC" w:rsidRDefault="009D3CE1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</w:t>
            </w:r>
            <w:r w:rsidRPr="00540ECC">
              <w:rPr>
                <w:rFonts w:ascii="Times New Roman" w:hAnsi="Times New Roman" w:cs="Times New Roman"/>
                <w:color w:val="000000" w:themeColor="text1"/>
              </w:rPr>
              <w:t>ptimal threshold</w:t>
            </w:r>
          </w:p>
        </w:tc>
        <w:tc>
          <w:tcPr>
            <w:tcW w:w="2072" w:type="dxa"/>
          </w:tcPr>
          <w:p w14:paraId="4F7434DA" w14:textId="1423DE98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AUC</w:t>
            </w:r>
          </w:p>
        </w:tc>
        <w:tc>
          <w:tcPr>
            <w:tcW w:w="2073" w:type="dxa"/>
          </w:tcPr>
          <w:p w14:paraId="381C740D" w14:textId="77777777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Link rate</w:t>
            </w:r>
          </w:p>
        </w:tc>
      </w:tr>
      <w:tr w:rsidR="00540ECC" w14:paraId="62C2F11D" w14:textId="77777777" w:rsidTr="0020303B">
        <w:tc>
          <w:tcPr>
            <w:tcW w:w="2072" w:type="dxa"/>
          </w:tcPr>
          <w:p w14:paraId="3C8C4415" w14:textId="77777777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/>
                <w:color w:val="000000" w:themeColor="text1"/>
              </w:rPr>
              <w:t>Disease</w:t>
            </w:r>
          </w:p>
        </w:tc>
        <w:tc>
          <w:tcPr>
            <w:tcW w:w="2072" w:type="dxa"/>
          </w:tcPr>
          <w:p w14:paraId="4342A4F9" w14:textId="71B57F62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0.40</w:t>
            </w:r>
          </w:p>
        </w:tc>
        <w:tc>
          <w:tcPr>
            <w:tcW w:w="2072" w:type="dxa"/>
          </w:tcPr>
          <w:p w14:paraId="6C1CA7DA" w14:textId="278F65D7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 w:hint="eastAsia"/>
                <w:color w:val="000000" w:themeColor="text1"/>
              </w:rPr>
              <w:t>0.76</w:t>
            </w:r>
          </w:p>
        </w:tc>
        <w:tc>
          <w:tcPr>
            <w:tcW w:w="2073" w:type="dxa"/>
          </w:tcPr>
          <w:p w14:paraId="22604850" w14:textId="4F23AA01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0.80</w:t>
            </w:r>
          </w:p>
        </w:tc>
      </w:tr>
      <w:tr w:rsidR="00540ECC" w14:paraId="6ADD6E43" w14:textId="77777777" w:rsidTr="0020303B">
        <w:tc>
          <w:tcPr>
            <w:tcW w:w="2072" w:type="dxa"/>
          </w:tcPr>
          <w:p w14:paraId="6BA8CD62" w14:textId="77777777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Drug</w:t>
            </w:r>
          </w:p>
        </w:tc>
        <w:tc>
          <w:tcPr>
            <w:tcW w:w="2072" w:type="dxa"/>
          </w:tcPr>
          <w:p w14:paraId="4DB4D29E" w14:textId="5AE4C265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0.40</w:t>
            </w:r>
          </w:p>
        </w:tc>
        <w:tc>
          <w:tcPr>
            <w:tcW w:w="2072" w:type="dxa"/>
          </w:tcPr>
          <w:p w14:paraId="45DC1F5D" w14:textId="6EBFC350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 w:hint="eastAsia"/>
                <w:color w:val="000000" w:themeColor="text1"/>
              </w:rPr>
              <w:t>0.85</w:t>
            </w:r>
          </w:p>
        </w:tc>
        <w:tc>
          <w:tcPr>
            <w:tcW w:w="2073" w:type="dxa"/>
          </w:tcPr>
          <w:p w14:paraId="28AC08E1" w14:textId="263DD89C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0.79</w:t>
            </w:r>
          </w:p>
        </w:tc>
      </w:tr>
      <w:tr w:rsidR="00540ECC" w14:paraId="5CF67DB2" w14:textId="77777777" w:rsidTr="0020303B">
        <w:tc>
          <w:tcPr>
            <w:tcW w:w="2072" w:type="dxa"/>
          </w:tcPr>
          <w:p w14:paraId="4BDBE7F7" w14:textId="77777777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/>
                <w:color w:val="000000" w:themeColor="text1"/>
              </w:rPr>
              <w:t>Assay</w:t>
            </w:r>
          </w:p>
        </w:tc>
        <w:tc>
          <w:tcPr>
            <w:tcW w:w="2072" w:type="dxa"/>
          </w:tcPr>
          <w:p w14:paraId="1237308B" w14:textId="150276D5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0.70</w:t>
            </w:r>
          </w:p>
        </w:tc>
        <w:tc>
          <w:tcPr>
            <w:tcW w:w="2072" w:type="dxa"/>
          </w:tcPr>
          <w:p w14:paraId="4E5ED0A9" w14:textId="2D00C94C" w:rsidR="00540ECC" w:rsidRPr="0003570C" w:rsidRDefault="00540ECC" w:rsidP="00A67292">
            <w:pPr>
              <w:widowControl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03570C">
              <w:rPr>
                <w:rFonts w:ascii="Times New Roman" w:hAnsi="Times New Roman" w:cs="Times New Roman" w:hint="eastAsia"/>
                <w:color w:val="000000" w:themeColor="text1"/>
              </w:rPr>
              <w:t>0.82</w:t>
            </w:r>
          </w:p>
        </w:tc>
        <w:tc>
          <w:tcPr>
            <w:tcW w:w="2073" w:type="dxa"/>
          </w:tcPr>
          <w:p w14:paraId="2677CCBF" w14:textId="61EF142B" w:rsidR="00540ECC" w:rsidRDefault="00540ECC" w:rsidP="0003570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0.64</w:t>
            </w:r>
          </w:p>
        </w:tc>
      </w:tr>
    </w:tbl>
    <w:p w14:paraId="77410C59" w14:textId="77777777" w:rsidR="0003570C" w:rsidRDefault="0003570C" w:rsidP="0003570C">
      <w:pPr>
        <w:rPr>
          <w:rFonts w:ascii="Times New Roman" w:hAnsi="Times New Roman" w:cs="Times New Roman"/>
          <w:color w:val="000000" w:themeColor="text1"/>
        </w:rPr>
      </w:pPr>
    </w:p>
    <w:p w14:paraId="1583A7BF" w14:textId="722F03F0" w:rsidR="0003570C" w:rsidRPr="00787615" w:rsidRDefault="0003570C" w:rsidP="00787615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 w:hint="eastAsia"/>
          <w:color w:val="000000" w:themeColor="text1"/>
        </w:rPr>
        <w:t>(2)</w:t>
      </w:r>
      <w:r w:rsidR="00426146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EB49EC" w:rsidRPr="00EB49EC">
        <w:rPr>
          <w:rFonts w:ascii="Times New Roman" w:hAnsi="Times New Roman" w:cs="Times New Roman"/>
          <w:color w:val="000000" w:themeColor="text1"/>
        </w:rPr>
        <w:t>Non-entity data, such as test result and unit.</w:t>
      </w:r>
      <w:r w:rsidR="000379C2" w:rsidRPr="000379C2">
        <w:t xml:space="preserve"> </w:t>
      </w:r>
      <w:r w:rsidR="000379C2" w:rsidRPr="000379C2">
        <w:rPr>
          <w:rFonts w:ascii="Times New Roman" w:hAnsi="Times New Roman" w:cs="Times New Roman"/>
          <w:color w:val="000000" w:themeColor="text1"/>
        </w:rPr>
        <w:t>These data in EMR have quality problems</w:t>
      </w:r>
      <w:r w:rsidR="00A60641">
        <w:rPr>
          <w:rFonts w:ascii="Times New Roman" w:hAnsi="Times New Roman" w:cs="Times New Roman" w:hint="eastAsia"/>
          <w:color w:val="000000" w:themeColor="text1"/>
        </w:rPr>
        <w:t xml:space="preserve"> which include</w:t>
      </w:r>
      <w:r w:rsidR="000379C2" w:rsidRPr="000379C2">
        <w:rPr>
          <w:rFonts w:ascii="Times New Roman" w:hAnsi="Times New Roman" w:cs="Times New Roman"/>
          <w:color w:val="000000" w:themeColor="text1"/>
        </w:rPr>
        <w:t xml:space="preserve"> missing value, </w:t>
      </w:r>
      <w:r w:rsidR="000379C2">
        <w:rPr>
          <w:rFonts w:ascii="Times New Roman" w:hAnsi="Times New Roman" w:cs="Times New Roman"/>
          <w:color w:val="000000" w:themeColor="text1"/>
        </w:rPr>
        <w:t xml:space="preserve">non-standard value, </w:t>
      </w:r>
      <w:r w:rsidR="00A60641">
        <w:rPr>
          <w:rFonts w:ascii="Times New Roman" w:hAnsi="Times New Roman" w:cs="Times New Roman" w:hint="eastAsia"/>
          <w:color w:val="000000" w:themeColor="text1"/>
        </w:rPr>
        <w:t>and so on</w:t>
      </w:r>
      <w:r w:rsidR="000379C2">
        <w:rPr>
          <w:rFonts w:ascii="Times New Roman" w:hAnsi="Times New Roman" w:cs="Times New Roman" w:hint="eastAsia"/>
          <w:color w:val="000000" w:themeColor="text1"/>
        </w:rPr>
        <w:t>.</w:t>
      </w:r>
      <w:r w:rsidR="00EB49EC" w:rsidRPr="00EB49EC">
        <w:rPr>
          <w:rFonts w:ascii="Times New Roman" w:hAnsi="Times New Roman" w:cs="Times New Roman"/>
          <w:color w:val="000000" w:themeColor="text1"/>
        </w:rPr>
        <w:t xml:space="preserve"> </w:t>
      </w:r>
      <w:r w:rsidR="00046F57">
        <w:rPr>
          <w:rFonts w:ascii="Times New Roman" w:hAnsi="Times New Roman" w:cs="Times New Roman" w:hint="eastAsia"/>
          <w:color w:val="000000" w:themeColor="text1"/>
        </w:rPr>
        <w:t>G</w:t>
      </w:r>
      <w:r w:rsidR="00046F57" w:rsidRPr="00046F57">
        <w:rPr>
          <w:rFonts w:ascii="Times New Roman" w:hAnsi="Times New Roman" w:cs="Times New Roman"/>
          <w:color w:val="000000" w:themeColor="text1"/>
        </w:rPr>
        <w:t>ive an example</w:t>
      </w:r>
      <w:r w:rsidR="000379C2">
        <w:rPr>
          <w:rFonts w:ascii="Times New Roman" w:hAnsi="Times New Roman" w:cs="Times New Roman" w:hint="eastAsia"/>
          <w:color w:val="000000" w:themeColor="text1"/>
        </w:rPr>
        <w:t xml:space="preserve">, </w:t>
      </w:r>
      <w:r w:rsidR="00CB14D9" w:rsidRPr="00CB14D9">
        <w:rPr>
          <w:rFonts w:ascii="Times New Roman" w:hAnsi="Times New Roman" w:cs="Times New Roman"/>
          <w:color w:val="000000" w:themeColor="text1"/>
        </w:rPr>
        <w:t xml:space="preserve">the unit </w:t>
      </w:r>
      <w:r w:rsidR="00CB14D9">
        <w:rPr>
          <w:rFonts w:ascii="Times New Roman" w:hAnsi="Times New Roman" w:cs="Times New Roman"/>
          <w:color w:val="000000" w:themeColor="text1"/>
        </w:rPr>
        <w:t xml:space="preserve">of test results is not the same </w:t>
      </w:r>
      <w:r w:rsidR="00CB14D9">
        <w:rPr>
          <w:rFonts w:ascii="Times New Roman" w:hAnsi="Times New Roman" w:cs="Times New Roman" w:hint="eastAsia"/>
          <w:color w:val="000000" w:themeColor="text1"/>
        </w:rPr>
        <w:t xml:space="preserve">in the </w:t>
      </w:r>
      <w:r w:rsidR="006F7155" w:rsidRPr="006F7155">
        <w:rPr>
          <w:rFonts w:ascii="Times New Roman" w:hAnsi="Times New Roman" w:cs="Times New Roman"/>
          <w:color w:val="000000" w:themeColor="text1"/>
        </w:rPr>
        <w:t>identical</w:t>
      </w:r>
      <w:r w:rsidR="006F7155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CB14D9">
        <w:rPr>
          <w:rFonts w:ascii="Times New Roman" w:hAnsi="Times New Roman" w:cs="Times New Roman" w:hint="eastAsia"/>
          <w:color w:val="000000" w:themeColor="text1"/>
        </w:rPr>
        <w:t>test</w:t>
      </w:r>
      <w:r w:rsidR="00A60641">
        <w:rPr>
          <w:rFonts w:ascii="Times New Roman" w:hAnsi="Times New Roman" w:cs="Times New Roman" w:hint="eastAsia"/>
          <w:color w:val="000000" w:themeColor="text1"/>
        </w:rPr>
        <w:t>.</w:t>
      </w:r>
      <w:r w:rsidR="00787615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046F57">
        <w:rPr>
          <w:rFonts w:ascii="Times New Roman" w:hAnsi="Times New Roman" w:cs="Times New Roman" w:hint="eastAsia"/>
          <w:color w:val="000000" w:themeColor="text1"/>
        </w:rPr>
        <w:t xml:space="preserve">For instance, </w:t>
      </w:r>
      <w:r w:rsidR="00787615" w:rsidRPr="00A60641">
        <w:rPr>
          <w:rFonts w:ascii="Times New Roman" w:hAnsi="Times New Roman" w:cs="Times New Roman"/>
          <w:color w:val="000000" w:themeColor="text1"/>
        </w:rPr>
        <w:t>the “</w:t>
      </w:r>
      <w:r w:rsidR="00821169" w:rsidRPr="00A60641">
        <w:rPr>
          <w:rFonts w:ascii="Times New Roman" w:hAnsi="Times New Roman" w:cs="Times New Roman" w:hint="eastAsia"/>
          <w:color w:val="000000" w:themeColor="text1"/>
        </w:rPr>
        <w:t>b</w:t>
      </w:r>
      <w:r w:rsidR="00D56070" w:rsidRPr="00A60641">
        <w:rPr>
          <w:rFonts w:ascii="Times New Roman" w:hAnsi="Times New Roman" w:cs="Times New Roman"/>
          <w:color w:val="000000" w:themeColor="text1"/>
        </w:rPr>
        <w:t>lood glucose</w:t>
      </w:r>
      <w:r w:rsidR="00787615" w:rsidRPr="00A60641">
        <w:rPr>
          <w:rFonts w:ascii="Times New Roman" w:hAnsi="Times New Roman" w:cs="Times New Roman"/>
          <w:color w:val="000000" w:themeColor="text1"/>
        </w:rPr>
        <w:t xml:space="preserve">” result values use the units of </w:t>
      </w:r>
      <w:r w:rsidR="00D56070" w:rsidRPr="00A60641">
        <w:rPr>
          <w:rFonts w:ascii="Times New Roman" w:hAnsi="Times New Roman" w:cs="Times New Roman" w:hint="eastAsia"/>
          <w:color w:val="000000" w:themeColor="text1"/>
        </w:rPr>
        <w:t>m</w:t>
      </w:r>
      <w:r w:rsidR="00945AA8" w:rsidRPr="00A60641">
        <w:rPr>
          <w:rFonts w:ascii="Times New Roman" w:hAnsi="Times New Roman" w:cs="Times New Roman"/>
          <w:color w:val="000000" w:themeColor="text1"/>
        </w:rPr>
        <w:t>g/</w:t>
      </w:r>
      <w:r w:rsidR="00787615" w:rsidRPr="00A60641">
        <w:rPr>
          <w:rFonts w:ascii="Times New Roman" w:hAnsi="Times New Roman" w:cs="Times New Roman"/>
          <w:color w:val="000000" w:themeColor="text1"/>
        </w:rPr>
        <w:t>L and g/L</w:t>
      </w:r>
      <w:r w:rsidR="00EB49EC">
        <w:rPr>
          <w:rFonts w:ascii="Times New Roman" w:hAnsi="Times New Roman" w:cs="Times New Roman" w:hint="eastAsia"/>
          <w:color w:val="000000" w:themeColor="text1"/>
        </w:rPr>
        <w:t>.</w:t>
      </w:r>
      <w:r w:rsidR="00787615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374E29" w:rsidRPr="00374E29">
        <w:rPr>
          <w:rFonts w:ascii="Times New Roman" w:hAnsi="Times New Roman" w:cs="Times New Roman"/>
          <w:color w:val="000000" w:themeColor="text1"/>
        </w:rPr>
        <w:t>We need a uniform unit, and the result values are converted along with it.</w:t>
      </w:r>
      <w:r w:rsidR="00374E29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BC6AE0">
        <w:rPr>
          <w:rFonts w:ascii="Times New Roman" w:hAnsi="Times New Roman" w:cs="Times New Roman" w:hint="eastAsia"/>
          <w:color w:val="000000" w:themeColor="text1"/>
        </w:rPr>
        <w:t xml:space="preserve">In addition, </w:t>
      </w:r>
      <w:r w:rsidR="002C20AC">
        <w:rPr>
          <w:rFonts w:ascii="Times New Roman" w:hAnsi="Times New Roman" w:cs="Times New Roman" w:hint="eastAsia"/>
          <w:color w:val="000000" w:themeColor="text1"/>
        </w:rPr>
        <w:t xml:space="preserve">the following situations may </w:t>
      </w:r>
      <w:r w:rsidR="00046F57">
        <w:rPr>
          <w:rFonts w:ascii="Times New Roman" w:hAnsi="Times New Roman" w:cs="Times New Roman" w:hint="eastAsia"/>
          <w:color w:val="000000" w:themeColor="text1"/>
        </w:rPr>
        <w:t>occur</w:t>
      </w:r>
      <w:r w:rsidR="002C20AC">
        <w:rPr>
          <w:rFonts w:ascii="Times New Roman" w:hAnsi="Times New Roman" w:cs="Times New Roman" w:hint="eastAsia"/>
          <w:color w:val="000000" w:themeColor="text1"/>
        </w:rPr>
        <w:t>:</w:t>
      </w:r>
      <w:r w:rsidR="002C20AC" w:rsidRPr="00A60641">
        <w:rPr>
          <w:rFonts w:ascii="Times New Roman" w:hAnsi="Times New Roman" w:cs="Times New Roman"/>
          <w:color w:val="000000" w:themeColor="text1"/>
        </w:rPr>
        <w:t xml:space="preserve"> </w:t>
      </w:r>
      <w:r w:rsidR="000B4CC2" w:rsidRPr="000B4CC2">
        <w:rPr>
          <w:rFonts w:ascii="Times New Roman" w:hAnsi="Times New Roman" w:cs="Times New Roman"/>
          <w:color w:val="000000" w:themeColor="text1"/>
        </w:rPr>
        <w:t xml:space="preserve">If a patient is diagnosed with multiple diseases, the name of the disease is recorded in a cell separated by punctuation and spaces. </w:t>
      </w:r>
      <w:r w:rsidR="00046F57" w:rsidRPr="00046F57">
        <w:rPr>
          <w:rFonts w:ascii="Times New Roman" w:hAnsi="Times New Roman" w:cs="Times New Roman"/>
          <w:color w:val="000000" w:themeColor="text1"/>
        </w:rPr>
        <w:t>We need to separate them to make sure that each row in the record stores only one disease.</w:t>
      </w:r>
      <w:r w:rsidR="002C20AC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2C20AC" w:rsidRPr="00374E29">
        <w:rPr>
          <w:rFonts w:ascii="Times New Roman" w:hAnsi="Times New Roman" w:cs="Times New Roman"/>
          <w:color w:val="000000" w:themeColor="text1"/>
        </w:rPr>
        <w:t xml:space="preserve">We use the Google refine tool to process and unify these </w:t>
      </w:r>
      <w:r w:rsidR="002C20AC">
        <w:rPr>
          <w:rFonts w:ascii="Times New Roman" w:hAnsi="Times New Roman" w:cs="Times New Roman" w:hint="eastAsia"/>
          <w:color w:val="000000" w:themeColor="text1"/>
        </w:rPr>
        <w:t>situations</w:t>
      </w:r>
      <w:r w:rsidR="002C20AC" w:rsidRPr="00374E29">
        <w:rPr>
          <w:rFonts w:ascii="Times New Roman" w:hAnsi="Times New Roman" w:cs="Times New Roman"/>
          <w:color w:val="000000" w:themeColor="text1"/>
        </w:rPr>
        <w:t>.</w:t>
      </w:r>
    </w:p>
    <w:sectPr w:rsidR="0003570C" w:rsidRPr="00787615" w:rsidSect="00EA77E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73DD"/>
    <w:multiLevelType w:val="hybridMultilevel"/>
    <w:tmpl w:val="2136997E"/>
    <w:lvl w:ilvl="0" w:tplc="140EE0A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9C1B94"/>
    <w:multiLevelType w:val="hybridMultilevel"/>
    <w:tmpl w:val="CF36CA70"/>
    <w:lvl w:ilvl="0" w:tplc="ADC85EE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97"/>
    <w:rsid w:val="0003570C"/>
    <w:rsid w:val="000379C2"/>
    <w:rsid w:val="00046F57"/>
    <w:rsid w:val="000B4CC2"/>
    <w:rsid w:val="00104326"/>
    <w:rsid w:val="00151552"/>
    <w:rsid w:val="001B7D44"/>
    <w:rsid w:val="0026424E"/>
    <w:rsid w:val="002C20AC"/>
    <w:rsid w:val="00374E29"/>
    <w:rsid w:val="00426146"/>
    <w:rsid w:val="004B6130"/>
    <w:rsid w:val="00540ECC"/>
    <w:rsid w:val="006F7155"/>
    <w:rsid w:val="00787615"/>
    <w:rsid w:val="007B48A9"/>
    <w:rsid w:val="00804102"/>
    <w:rsid w:val="00821169"/>
    <w:rsid w:val="00833AD8"/>
    <w:rsid w:val="00840DA1"/>
    <w:rsid w:val="008806E5"/>
    <w:rsid w:val="00945AA8"/>
    <w:rsid w:val="009D3CE1"/>
    <w:rsid w:val="009D76F7"/>
    <w:rsid w:val="009F0043"/>
    <w:rsid w:val="00A414B5"/>
    <w:rsid w:val="00A60641"/>
    <w:rsid w:val="00BC6AE0"/>
    <w:rsid w:val="00C80B7A"/>
    <w:rsid w:val="00CB14D9"/>
    <w:rsid w:val="00D24EB9"/>
    <w:rsid w:val="00D56070"/>
    <w:rsid w:val="00E95797"/>
    <w:rsid w:val="00EA77E8"/>
    <w:rsid w:val="00EB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979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0C"/>
    <w:pPr>
      <w:ind w:firstLineChars="200" w:firstLine="420"/>
    </w:pPr>
  </w:style>
  <w:style w:type="table" w:styleId="a4">
    <w:name w:val="Table Grid"/>
    <w:basedOn w:val="a1"/>
    <w:uiPriority w:val="39"/>
    <w:rsid w:val="00035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280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2018-12-28T06:53:00Z</dcterms:created>
  <dcterms:modified xsi:type="dcterms:W3CDTF">2018-12-31T04:54:00Z</dcterms:modified>
</cp:coreProperties>
</file>