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w:t>
      </w:r>
    </w:p>
    <w:p>
      <w:pPr>
        <w:pStyle w:val="BodyText"/>
      </w:pPr>
      <w:r>
        <w:t xml:space="preserve">针对基于LSB的图像隐写分析的方法主要有</w:t>
      </w:r>
      <m:oMath>
        <m:sSup>
          <m:e>
            <m:r>
              <m:rPr/>
              <m:t>χ</m:t>
            </m:r>
          </m:e>
          <m:sup>
            <m:r>
              <m:rPr/>
              <m:t>2</m:t>
            </m:r>
          </m:sup>
        </m:sSup>
      </m:oMath>
      <w:r>
        <w:t xml:space="preserve">测试</w:t>
      </w:r>
      <w:r>
        <w:rPr>
          <w:vertAlign w:val="superscript"/>
        </w:rPr>
        <w:t xml:space="preserve">[5]</w:t>
      </w:r>
      <w:r>
        <w:t xml:space="preserve">，样本对分析</w:t>
      </w:r>
      <w:r>
        <w:rPr>
          <w:vertAlign w:val="superscript"/>
        </w:rPr>
        <w:t xml:space="preserve">[6]</w:t>
      </w:r>
      <w:r>
        <w:t xml:space="preserve">和RS隐写分析</w:t>
      </w:r>
      <w:r>
        <w:rPr>
          <w:vertAlign w:val="superscript"/>
        </w:rPr>
        <w:t xml:space="preserve">[7]</w:t>
      </w:r>
      <w:r>
        <w:t xml:space="preserve">。</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WESTFELD A, PFITZMANN A. Attacks on steganographic systems[C]//Information hiding. Springer, 1999: 61–76.</w:t>
      </w:r>
    </w:p>
    <w:p>
      <w:pPr>
        <w:pStyle w:val="Bibliography"/>
      </w:pPr>
      <w:r>
        <w:t xml:space="preserve">[6] DUMITRESCU S, WU X, MEMON N. On steganalysis of random lSB embedding in continuous-tone images[C]//Image processing. 2002. proceedings. 2002 international conference on. IEEE, 2002, 3: 641–644.</w:t>
      </w:r>
    </w:p>
    <w:p>
      <w:pPr>
        <w:pStyle w:val="Bibliography"/>
      </w:pPr>
      <w:r>
        <w:t xml:space="preserve">[7] FRIDRICH J, GOLJAN M, DU R. Reliable detection of lSB steganography in color and grayscale images[C]//Proceedings of the 2001 workshop on multimedia and security: New challenges. ACM, 2001: 27–30.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286a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3650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