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66A4C">
      <w:pPr>
        <w:spacing w:before="0" w:after="280"/>
      </w:pPr>
      <w:r>
        <w:rPr>
          <w:rFonts w:ascii="Arial" w:hAnsi="Arial" w:eastAsia="Arial" w:cs="Arial"/>
          <w:b w:val="0"/>
          <w:bCs w:val="0"/>
          <w:i w:val="0"/>
          <w:iCs w:val="0"/>
          <w:color w:val="404040"/>
          <w:sz w:val="18"/>
          <w:szCs w:val="18"/>
        </w:rPr>
        <w:t>This taxonomy identifies 15 document types mapped to the 10 ESRS environmental, social, and governance standards. Documents are grouped into six functional categories reflecting how they appear on corporate websites or are generated synthetically to fill corpus gaps. All 10 ESR</w:t>
      </w:r>
      <w:bookmarkStart w:id="0" w:name="_GoBack"/>
      <w:bookmarkEnd w:id="0"/>
      <w:r>
        <w:rPr>
          <w:rFonts w:ascii="Arial" w:hAnsi="Arial" w:eastAsia="Arial" w:cs="Arial"/>
          <w:b w:val="0"/>
          <w:bCs w:val="0"/>
          <w:i w:val="0"/>
          <w:iCs w:val="0"/>
          <w:color w:val="404040"/>
          <w:sz w:val="18"/>
          <w:szCs w:val="18"/>
        </w:rPr>
        <w:t>S standards are covered across at least three document types.</w:t>
      </w:r>
    </w:p>
    <w:tbl>
      <w:tblPr>
        <w:tblStyle w:val="11"/>
        <w:tblW w:w="101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1"/>
        <w:gridCol w:w="2492"/>
        <w:gridCol w:w="5576"/>
        <w:gridCol w:w="1597"/>
      </w:tblGrid>
      <w:tr w14:paraId="29477C5F">
        <w:tc>
          <w:tcPr>
            <w:tcW w:w="400" w:type="dxa"/>
            <w:tcBorders>
              <w:top w:val="single" w:color="CCCCCC" w:sz="0" w:space="0"/>
              <w:left w:val="single" w:color="CCCCCC" w:sz="0" w:space="0"/>
              <w:bottom w:val="single" w:color="CCCCCC" w:sz="0" w:space="0"/>
              <w:right w:val="single" w:color="CCCCCC" w:sz="0" w:space="0"/>
            </w:tcBorders>
            <w:shd w:val="clear" w:color="auto" w:fill="2F4858"/>
            <w:tcMar>
              <w:top w:w="80" w:type="dxa"/>
              <w:left w:w="120" w:type="dxa"/>
              <w:bottom w:w="80" w:type="dxa"/>
              <w:right w:w="120" w:type="dxa"/>
            </w:tcMar>
            <w:vAlign w:val="top"/>
          </w:tcPr>
          <w:p w14:paraId="6C5422CB">
            <w:r>
              <w:rPr>
                <w:rFonts w:ascii="Arial" w:hAnsi="Arial" w:eastAsia="Arial" w:cs="Arial"/>
                <w:b/>
                <w:bCs/>
                <w:i w:val="0"/>
                <w:iCs w:val="0"/>
                <w:color w:val="FFFFFF"/>
                <w:sz w:val="18"/>
                <w:szCs w:val="18"/>
              </w:rPr>
              <w:t>#</w:t>
            </w:r>
          </w:p>
        </w:tc>
        <w:tc>
          <w:tcPr>
            <w:tcW w:w="2500" w:type="dxa"/>
            <w:tcBorders>
              <w:top w:val="single" w:color="CCCCCC" w:sz="0" w:space="0"/>
              <w:left w:val="single" w:color="CCCCCC" w:sz="0" w:space="0"/>
              <w:bottom w:val="single" w:color="CCCCCC" w:sz="0" w:space="0"/>
              <w:right w:val="single" w:color="CCCCCC" w:sz="0" w:space="0"/>
            </w:tcBorders>
            <w:shd w:val="clear" w:color="auto" w:fill="2F4858"/>
            <w:tcMar>
              <w:top w:w="80" w:type="dxa"/>
              <w:left w:w="120" w:type="dxa"/>
              <w:bottom w:w="80" w:type="dxa"/>
              <w:right w:w="120" w:type="dxa"/>
            </w:tcMar>
            <w:vAlign w:val="top"/>
          </w:tcPr>
          <w:p w14:paraId="2A84FFB1">
            <w:r>
              <w:rPr>
                <w:rFonts w:ascii="Arial" w:hAnsi="Arial" w:eastAsia="Arial" w:cs="Arial"/>
                <w:b/>
                <w:bCs/>
                <w:i w:val="0"/>
                <w:iCs w:val="0"/>
                <w:color w:val="FFFFFF"/>
                <w:sz w:val="18"/>
                <w:szCs w:val="18"/>
              </w:rPr>
              <w:t>Document Type</w:t>
            </w:r>
          </w:p>
        </w:tc>
        <w:tc>
          <w:tcPr>
            <w:tcW w:w="5606" w:type="dxa"/>
            <w:tcBorders>
              <w:top w:val="single" w:color="CCCCCC" w:sz="0" w:space="0"/>
              <w:left w:val="single" w:color="CCCCCC" w:sz="0" w:space="0"/>
              <w:bottom w:val="single" w:color="CCCCCC" w:sz="0" w:space="0"/>
              <w:right w:val="single" w:color="CCCCCC" w:sz="0" w:space="0"/>
            </w:tcBorders>
            <w:shd w:val="clear" w:color="auto" w:fill="2F4858"/>
            <w:tcMar>
              <w:top w:w="80" w:type="dxa"/>
              <w:left w:w="120" w:type="dxa"/>
              <w:bottom w:w="80" w:type="dxa"/>
              <w:right w:w="120" w:type="dxa"/>
            </w:tcMar>
            <w:vAlign w:val="top"/>
          </w:tcPr>
          <w:p w14:paraId="0F1BFECD">
            <w:r>
              <w:rPr>
                <w:rFonts w:ascii="Arial" w:hAnsi="Arial" w:eastAsia="Arial" w:cs="Arial"/>
                <w:b/>
                <w:bCs/>
                <w:i w:val="0"/>
                <w:iCs w:val="0"/>
                <w:color w:val="FFFFFF"/>
                <w:sz w:val="18"/>
                <w:szCs w:val="18"/>
              </w:rPr>
              <w:t>Description</w:t>
            </w:r>
          </w:p>
        </w:tc>
        <w:tc>
          <w:tcPr>
            <w:tcW w:w="1600" w:type="dxa"/>
            <w:tcBorders>
              <w:top w:val="single" w:color="CCCCCC" w:sz="0" w:space="0"/>
              <w:left w:val="single" w:color="CCCCCC" w:sz="0" w:space="0"/>
              <w:bottom w:val="single" w:color="CCCCCC" w:sz="0" w:space="0"/>
              <w:right w:val="single" w:color="CCCCCC" w:sz="0" w:space="0"/>
            </w:tcBorders>
            <w:shd w:val="clear" w:color="auto" w:fill="2F4858"/>
            <w:tcMar>
              <w:top w:w="80" w:type="dxa"/>
              <w:left w:w="120" w:type="dxa"/>
              <w:bottom w:w="80" w:type="dxa"/>
              <w:right w:w="120" w:type="dxa"/>
            </w:tcMar>
            <w:vAlign w:val="top"/>
          </w:tcPr>
          <w:p w14:paraId="6BCAD9D9">
            <w:r>
              <w:rPr>
                <w:rFonts w:ascii="Arial" w:hAnsi="Arial" w:eastAsia="Arial" w:cs="Arial"/>
                <w:b/>
                <w:bCs/>
                <w:i w:val="0"/>
                <w:iCs w:val="0"/>
                <w:color w:val="FFFFFF"/>
                <w:sz w:val="18"/>
                <w:szCs w:val="18"/>
              </w:rPr>
              <w:t>ESRS Standards</w:t>
            </w:r>
          </w:p>
        </w:tc>
      </w:tr>
      <w:tr w14:paraId="0FC5D349">
        <w:tc>
          <w:tcPr>
            <w:tcW w:w="10106" w:type="dxa"/>
            <w:gridSpan w:val="4"/>
            <w:tcBorders>
              <w:top w:val="single" w:color="CCCCCC" w:sz="0" w:space="0"/>
              <w:left w:val="single" w:color="CCCCCC" w:sz="0" w:space="0"/>
              <w:bottom w:val="single" w:color="CCCCCC" w:sz="0" w:space="0"/>
              <w:right w:val="single" w:color="CCCCCC" w:sz="0" w:space="0"/>
            </w:tcBorders>
            <w:shd w:val="clear" w:color="auto" w:fill="C6EFCE"/>
            <w:tcMar>
              <w:top w:w="110" w:type="dxa"/>
              <w:left w:w="140" w:type="dxa"/>
              <w:bottom w:w="110" w:type="dxa"/>
              <w:right w:w="140" w:type="dxa"/>
            </w:tcMar>
          </w:tcPr>
          <w:p w14:paraId="4E76B8CD">
            <w:r>
              <w:rPr>
                <w:rFonts w:ascii="Arial" w:hAnsi="Arial" w:eastAsia="Arial" w:cs="Arial"/>
                <w:b/>
                <w:bCs/>
                <w:color w:val="375623"/>
                <w:sz w:val="20"/>
                <w:szCs w:val="20"/>
              </w:rPr>
              <w:t>A    Environmental &amp; Operations</w:t>
            </w:r>
          </w:p>
        </w:tc>
      </w:tr>
      <w:tr w14:paraId="3DF95776">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C6C34B">
            <w:r>
              <w:rPr>
                <w:rFonts w:ascii="Arial" w:hAnsi="Arial" w:eastAsia="Arial" w:cs="Arial"/>
                <w:b w:val="0"/>
                <w:bCs w:val="0"/>
                <w:i w:val="0"/>
                <w:iCs w:val="0"/>
                <w:color w:val="000000"/>
                <w:sz w:val="18"/>
                <w:szCs w:val="18"/>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0C651A">
            <w:r>
              <w:rPr>
                <w:rFonts w:ascii="Arial" w:hAnsi="Arial" w:eastAsia="Arial" w:cs="Arial"/>
                <w:b/>
                <w:bCs/>
                <w:i w:val="0"/>
                <w:iCs w:val="0"/>
                <w:color w:val="000000"/>
                <w:sz w:val="18"/>
                <w:szCs w:val="18"/>
              </w:rPr>
              <w:t>Environmental &amp; Climate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29CBE1">
            <w:r>
              <w:rPr>
                <w:rFonts w:ascii="Arial" w:hAnsi="Arial" w:eastAsia="Arial" w:cs="Arial"/>
                <w:b w:val="0"/>
                <w:bCs w:val="0"/>
                <w:i w:val="0"/>
                <w:iCs w:val="0"/>
                <w:color w:val="000000"/>
                <w:sz w:val="18"/>
                <w:szCs w:val="18"/>
              </w:rPr>
              <w:t>Corporate commitment across all environmental dimensions: GHG reduction targets (Scope 1/2/3) and energy transition; waste classification, disposal, and circular economy; water stewardship and discharge quality; biodiversity protection and land use; and hazardous substances management (REACH / RoHS). Serves as the policy-level catch-all for E1–E5 disclosures.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77A513">
            <w:r>
              <w:rPr>
                <w:rFonts w:ascii="Arial" w:hAnsi="Arial" w:eastAsia="Arial" w:cs="Arial"/>
                <w:b w:val="0"/>
                <w:bCs w:val="0"/>
                <w:i w:val="0"/>
                <w:iCs w:val="0"/>
                <w:color w:val="000000"/>
                <w:sz w:val="18"/>
                <w:szCs w:val="18"/>
              </w:rPr>
              <w:t>E1, E2, E3, E4, E5</w:t>
            </w:r>
          </w:p>
        </w:tc>
      </w:tr>
      <w:tr w14:paraId="7541ACE3">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010CE5">
            <w:r>
              <w:rPr>
                <w:rFonts w:ascii="Arial" w:hAnsi="Arial" w:eastAsia="Arial" w:cs="Arial"/>
                <w:b w:val="0"/>
                <w:bCs w:val="0"/>
                <w:i w:val="0"/>
                <w:iCs w:val="0"/>
                <w:color w:val="000000"/>
                <w:sz w:val="18"/>
                <w:szCs w:val="18"/>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632ED02">
            <w:r>
              <w:rPr>
                <w:rFonts w:ascii="Arial" w:hAnsi="Arial" w:eastAsia="Arial" w:cs="Arial"/>
                <w:b/>
                <w:bCs/>
                <w:i w:val="0"/>
                <w:iCs w:val="0"/>
                <w:color w:val="000000"/>
                <w:sz w:val="18"/>
                <w:szCs w:val="18"/>
              </w:rPr>
              <w:t>Facility &amp; Operations Overview</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0769BF">
            <w:r>
              <w:rPr>
                <w:rFonts w:ascii="Arial" w:hAnsi="Arial" w:eastAsia="Arial" w:cs="Arial"/>
                <w:b w:val="0"/>
                <w:bCs w:val="0"/>
                <w:i w:val="0"/>
                <w:iCs w:val="0"/>
                <w:color w:val="000000"/>
                <w:sz w:val="18"/>
                <w:szCs w:val="18"/>
              </w:rPr>
              <w:t>Descriptions of physical assets, production or service processes, site locations, logistics and transport operations, and operational capacity. Primary source of site-level environmental footprint evidence and proximity impacts on surrounding communities.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987865">
            <w:r>
              <w:rPr>
                <w:rFonts w:ascii="Arial" w:hAnsi="Arial" w:eastAsia="Arial" w:cs="Arial"/>
                <w:b w:val="0"/>
                <w:bCs w:val="0"/>
                <w:i w:val="0"/>
                <w:iCs w:val="0"/>
                <w:color w:val="000000"/>
                <w:sz w:val="18"/>
                <w:szCs w:val="18"/>
              </w:rPr>
              <w:t>E1, E2, E3, E4, E5, S3</w:t>
            </w:r>
          </w:p>
        </w:tc>
      </w:tr>
      <w:tr w14:paraId="5EDDC0A6">
        <w:tc>
          <w:tcPr>
            <w:tcW w:w="10106" w:type="dxa"/>
            <w:gridSpan w:val="4"/>
            <w:tcBorders>
              <w:top w:val="single" w:color="CCCCCC" w:sz="0" w:space="0"/>
              <w:left w:val="single" w:color="CCCCCC" w:sz="0" w:space="0"/>
              <w:bottom w:val="single" w:color="CCCCCC" w:sz="0" w:space="0"/>
              <w:right w:val="single" w:color="CCCCCC" w:sz="0" w:space="0"/>
            </w:tcBorders>
            <w:shd w:val="clear" w:color="auto" w:fill="FCE4D6"/>
            <w:tcMar>
              <w:top w:w="110" w:type="dxa"/>
              <w:left w:w="140" w:type="dxa"/>
              <w:bottom w:w="110" w:type="dxa"/>
              <w:right w:w="140" w:type="dxa"/>
            </w:tcMar>
          </w:tcPr>
          <w:p w14:paraId="5A81B7F4">
            <w:r>
              <w:rPr>
                <w:rFonts w:ascii="Arial" w:hAnsi="Arial" w:eastAsia="Arial" w:cs="Arial"/>
                <w:b/>
                <w:bCs/>
                <w:color w:val="843C0C"/>
                <w:sz w:val="20"/>
                <w:szCs w:val="20"/>
              </w:rPr>
              <w:t>B    Supply Chain</w:t>
            </w:r>
          </w:p>
        </w:tc>
      </w:tr>
      <w:tr w14:paraId="6554F96A">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E645F7A">
            <w:r>
              <w:rPr>
                <w:rFonts w:ascii="Arial" w:hAnsi="Arial" w:eastAsia="Arial" w:cs="Arial"/>
                <w:b w:val="0"/>
                <w:bCs w:val="0"/>
                <w:i w:val="0"/>
                <w:iCs w:val="0"/>
                <w:color w:val="000000"/>
                <w:sz w:val="18"/>
                <w:szCs w:val="18"/>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DDE894">
            <w:r>
              <w:rPr>
                <w:rFonts w:ascii="Arial" w:hAnsi="Arial" w:eastAsia="Arial" w:cs="Arial"/>
                <w:b/>
                <w:bCs/>
                <w:i w:val="0"/>
                <w:iCs w:val="0"/>
                <w:color w:val="000000"/>
                <w:sz w:val="18"/>
                <w:szCs w:val="18"/>
              </w:rPr>
              <w:t>Supplier Code of Conduct</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BB3446">
            <w:r>
              <w:rPr>
                <w:rFonts w:ascii="Arial" w:hAnsi="Arial" w:eastAsia="Arial" w:cs="Arial"/>
                <w:b w:val="0"/>
                <w:bCs w:val="0"/>
                <w:i w:val="0"/>
                <w:iCs w:val="0"/>
                <w:color w:val="000000"/>
                <w:sz w:val="18"/>
                <w:szCs w:val="18"/>
              </w:rPr>
              <w:t>Environmental, social, and governance standards required of suppliers, covering GHG emissions, resource use, labour rights, anti-corruption, and human rights expectations throughout the value chain.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AFCF98">
            <w:r>
              <w:rPr>
                <w:rFonts w:ascii="Arial" w:hAnsi="Arial" w:eastAsia="Arial" w:cs="Arial"/>
                <w:b w:val="0"/>
                <w:bCs w:val="0"/>
                <w:i w:val="0"/>
                <w:iCs w:val="0"/>
                <w:color w:val="000000"/>
                <w:sz w:val="18"/>
                <w:szCs w:val="18"/>
              </w:rPr>
              <w:t>E1, E2, E3, E4, E5, S2, G1</w:t>
            </w:r>
          </w:p>
        </w:tc>
      </w:tr>
      <w:tr w14:paraId="755C6424">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2E515AF">
            <w:r>
              <w:rPr>
                <w:rFonts w:ascii="Arial" w:hAnsi="Arial" w:eastAsia="Arial" w:cs="Arial"/>
                <w:b w:val="0"/>
                <w:bCs w:val="0"/>
                <w:i w:val="0"/>
                <w:iCs w:val="0"/>
                <w:color w:val="000000"/>
                <w:sz w:val="18"/>
                <w:szCs w:val="18"/>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BCFA66">
            <w:r>
              <w:rPr>
                <w:rFonts w:ascii="Arial" w:hAnsi="Arial" w:eastAsia="Arial" w:cs="Arial"/>
                <w:b/>
                <w:bCs/>
                <w:i w:val="0"/>
                <w:iCs w:val="0"/>
                <w:color w:val="000000"/>
                <w:sz w:val="18"/>
                <w:szCs w:val="18"/>
              </w:rPr>
              <w:t>Procurement &amp; Supply Chain Due Diligence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26214F6">
            <w:r>
              <w:rPr>
                <w:rFonts w:ascii="Arial" w:hAnsi="Arial" w:eastAsia="Arial" w:cs="Arial"/>
                <w:b w:val="0"/>
                <w:bCs w:val="0"/>
                <w:i w:val="0"/>
                <w:iCs w:val="0"/>
                <w:color w:val="000000"/>
                <w:sz w:val="18"/>
                <w:szCs w:val="18"/>
              </w:rPr>
              <w:t>Responsible sourcing criteria, supplier selection and periodic assessment processes, and formal human rights and environmental due diligence procedures aligned with CSDDD requirements.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A857F0">
            <w:r>
              <w:rPr>
                <w:rFonts w:ascii="Arial" w:hAnsi="Arial" w:eastAsia="Arial" w:cs="Arial"/>
                <w:b w:val="0"/>
                <w:bCs w:val="0"/>
                <w:i w:val="0"/>
                <w:iCs w:val="0"/>
                <w:color w:val="000000"/>
                <w:sz w:val="18"/>
                <w:szCs w:val="18"/>
              </w:rPr>
              <w:t>S2, E1, E2, G1</w:t>
            </w:r>
          </w:p>
        </w:tc>
      </w:tr>
      <w:tr w14:paraId="31E74B17">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960E51">
            <w:r>
              <w:rPr>
                <w:rFonts w:ascii="Arial" w:hAnsi="Arial" w:eastAsia="Arial" w:cs="Arial"/>
                <w:b w:val="0"/>
                <w:bCs w:val="0"/>
                <w:i w:val="0"/>
                <w:iCs w:val="0"/>
                <w:color w:val="000000"/>
                <w:sz w:val="18"/>
                <w:szCs w:val="18"/>
              </w:rPr>
              <w:t>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0BBED7">
            <w:r>
              <w:rPr>
                <w:rFonts w:ascii="Arial" w:hAnsi="Arial" w:eastAsia="Arial" w:cs="Arial"/>
                <w:b/>
                <w:bCs/>
                <w:i w:val="0"/>
                <w:iCs w:val="0"/>
                <w:color w:val="000000"/>
                <w:sz w:val="18"/>
                <w:szCs w:val="18"/>
              </w:rPr>
              <w:t>Modern Slavery Statement</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B2199D">
            <w:r>
              <w:rPr>
                <w:rFonts w:ascii="Arial" w:hAnsi="Arial" w:eastAsia="Arial" w:cs="Arial"/>
                <w:b w:val="0"/>
                <w:bCs w:val="0"/>
                <w:i w:val="0"/>
                <w:iCs w:val="0"/>
                <w:color w:val="000000"/>
                <w:sz w:val="18"/>
                <w:szCs w:val="18"/>
              </w:rPr>
              <w:t>Public declaration of measures to identify, assess, and prevent forced labour, child labour, and human trafficking across own operations and the supply chain.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5128F7">
            <w:r>
              <w:rPr>
                <w:rFonts w:ascii="Arial" w:hAnsi="Arial" w:eastAsia="Arial" w:cs="Arial"/>
                <w:b w:val="0"/>
                <w:bCs w:val="0"/>
                <w:i w:val="0"/>
                <w:iCs w:val="0"/>
                <w:color w:val="000000"/>
                <w:sz w:val="18"/>
                <w:szCs w:val="18"/>
              </w:rPr>
              <w:t>S2, G1</w:t>
            </w:r>
          </w:p>
        </w:tc>
      </w:tr>
      <w:tr w14:paraId="648792A4">
        <w:tc>
          <w:tcPr>
            <w:tcW w:w="10106" w:type="dxa"/>
            <w:gridSpan w:val="4"/>
            <w:tcBorders>
              <w:top w:val="single" w:color="CCCCCC" w:sz="0" w:space="0"/>
              <w:left w:val="single" w:color="CCCCCC" w:sz="0" w:space="0"/>
              <w:bottom w:val="single" w:color="CCCCCC" w:sz="0" w:space="0"/>
              <w:right w:val="single" w:color="CCCCCC" w:sz="0" w:space="0"/>
            </w:tcBorders>
            <w:shd w:val="clear" w:color="auto" w:fill="BDD7EE"/>
            <w:tcMar>
              <w:top w:w="110" w:type="dxa"/>
              <w:left w:w="140" w:type="dxa"/>
              <w:bottom w:w="110" w:type="dxa"/>
              <w:right w:w="140" w:type="dxa"/>
            </w:tcMar>
          </w:tcPr>
          <w:p w14:paraId="31C1A99E">
            <w:r>
              <w:rPr>
                <w:rFonts w:ascii="Arial" w:hAnsi="Arial" w:eastAsia="Arial" w:cs="Arial"/>
                <w:b/>
                <w:bCs/>
                <w:color w:val="1F4E79"/>
                <w:sz w:val="20"/>
                <w:szCs w:val="20"/>
              </w:rPr>
              <w:t>C    Own Workforce</w:t>
            </w:r>
          </w:p>
        </w:tc>
      </w:tr>
      <w:tr w14:paraId="17D130E9">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646583F">
            <w:r>
              <w:rPr>
                <w:rFonts w:ascii="Arial" w:hAnsi="Arial" w:eastAsia="Arial" w:cs="Arial"/>
                <w:b w:val="0"/>
                <w:bCs w:val="0"/>
                <w:i w:val="0"/>
                <w:iCs w:val="0"/>
                <w:color w:val="000000"/>
                <w:sz w:val="18"/>
                <w:szCs w:val="18"/>
              </w:rPr>
              <w:t>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91FD40">
            <w:r>
              <w:rPr>
                <w:rFonts w:ascii="Arial" w:hAnsi="Arial" w:eastAsia="Arial" w:cs="Arial"/>
                <w:b/>
                <w:bCs/>
                <w:i w:val="0"/>
                <w:iCs w:val="0"/>
                <w:color w:val="000000"/>
                <w:sz w:val="18"/>
                <w:szCs w:val="18"/>
              </w:rPr>
              <w:t>HR, People, Culture &amp; Training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58AA016">
            <w:r>
              <w:rPr>
                <w:rFonts w:ascii="Arial" w:hAnsi="Arial" w:eastAsia="Arial" w:cs="Arial"/>
                <w:b w:val="0"/>
                <w:bCs w:val="0"/>
                <w:i w:val="0"/>
                <w:iCs w:val="0"/>
                <w:color w:val="000000"/>
                <w:sz w:val="18"/>
                <w:szCs w:val="18"/>
              </w:rPr>
              <w:t>Employment terms and conditions, recruitment standards, fair pay and living wage commitments, freedom of association, diversity and inclusion commitments, and skills development and career progression frameworks.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97F99B">
            <w:r>
              <w:rPr>
                <w:rFonts w:ascii="Arial" w:hAnsi="Arial" w:eastAsia="Arial" w:cs="Arial"/>
                <w:b w:val="0"/>
                <w:bCs w:val="0"/>
                <w:i w:val="0"/>
                <w:iCs w:val="0"/>
                <w:color w:val="000000"/>
                <w:sz w:val="18"/>
                <w:szCs w:val="18"/>
              </w:rPr>
              <w:t>S1</w:t>
            </w:r>
          </w:p>
        </w:tc>
      </w:tr>
      <w:tr w14:paraId="65EDA700">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50AE1E">
            <w:r>
              <w:rPr>
                <w:rFonts w:ascii="Arial" w:hAnsi="Arial" w:eastAsia="Arial" w:cs="Arial"/>
                <w:b w:val="0"/>
                <w:bCs w:val="0"/>
                <w:i w:val="0"/>
                <w:iCs w:val="0"/>
                <w:color w:val="000000"/>
                <w:sz w:val="18"/>
                <w:szCs w:val="18"/>
              </w:rPr>
              <w:t>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F14AB87">
            <w:r>
              <w:rPr>
                <w:rFonts w:ascii="Arial" w:hAnsi="Arial" w:eastAsia="Arial" w:cs="Arial"/>
                <w:b/>
                <w:bCs/>
                <w:i w:val="0"/>
                <w:iCs w:val="0"/>
                <w:color w:val="000000"/>
                <w:sz w:val="18"/>
                <w:szCs w:val="18"/>
              </w:rPr>
              <w:t>Health &amp; Safety Procedures</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A695CD">
            <w:r>
              <w:rPr>
                <w:rFonts w:ascii="Arial" w:hAnsi="Arial" w:eastAsia="Arial" w:cs="Arial"/>
                <w:b w:val="0"/>
                <w:bCs w:val="0"/>
                <w:i w:val="0"/>
                <w:iCs w:val="0"/>
                <w:color w:val="000000"/>
                <w:sz w:val="18"/>
                <w:szCs w:val="18"/>
              </w:rPr>
              <w:t>Occupational safety protocols, risk assessment frameworks, incident and near-miss reporting, and — where applicable — community health and safety considerations near operational sites.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66A2A9">
            <w:r>
              <w:rPr>
                <w:rFonts w:ascii="Arial" w:hAnsi="Arial" w:eastAsia="Arial" w:cs="Arial"/>
                <w:b w:val="0"/>
                <w:bCs w:val="0"/>
                <w:i w:val="0"/>
                <w:iCs w:val="0"/>
                <w:color w:val="000000"/>
                <w:sz w:val="18"/>
                <w:szCs w:val="18"/>
              </w:rPr>
              <w:t>S1, S3†</w:t>
            </w:r>
          </w:p>
        </w:tc>
      </w:tr>
      <w:tr w14:paraId="65A9CF5C">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4F5775A">
            <w:r>
              <w:rPr>
                <w:rFonts w:ascii="Arial" w:hAnsi="Arial" w:eastAsia="Arial" w:cs="Arial"/>
                <w:b w:val="0"/>
                <w:bCs w:val="0"/>
                <w:i w:val="0"/>
                <w:iCs w:val="0"/>
                <w:color w:val="000000"/>
                <w:sz w:val="18"/>
                <w:szCs w:val="18"/>
              </w:rPr>
              <w:t>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34E437">
            <w:r>
              <w:rPr>
                <w:rFonts w:ascii="Arial" w:hAnsi="Arial" w:eastAsia="Arial" w:cs="Arial"/>
                <w:b/>
                <w:bCs/>
                <w:i w:val="0"/>
                <w:iCs w:val="0"/>
                <w:color w:val="000000"/>
                <w:sz w:val="18"/>
                <w:szCs w:val="18"/>
              </w:rPr>
              <w:t>Whistleblower / Speak-Up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238F45">
            <w:r>
              <w:rPr>
                <w:rFonts w:ascii="Arial" w:hAnsi="Arial" w:eastAsia="Arial" w:cs="Arial"/>
                <w:b w:val="0"/>
                <w:bCs w:val="0"/>
                <w:i w:val="0"/>
                <w:iCs w:val="0"/>
                <w:color w:val="000000"/>
                <w:sz w:val="18"/>
                <w:szCs w:val="18"/>
              </w:rPr>
              <w:t>Internal reporting channels, investigation and escalation procedures, and legal protections for employees who raise concerns about misconduct, safety violations, or ethical breaches.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D3110B">
            <w:r>
              <w:rPr>
                <w:rFonts w:ascii="Arial" w:hAnsi="Arial" w:eastAsia="Arial" w:cs="Arial"/>
                <w:b w:val="0"/>
                <w:bCs w:val="0"/>
                <w:i w:val="0"/>
                <w:iCs w:val="0"/>
                <w:color w:val="000000"/>
                <w:sz w:val="18"/>
                <w:szCs w:val="18"/>
              </w:rPr>
              <w:t xml:space="preserve">S1, </w:t>
            </w:r>
            <w:r>
              <w:rPr>
                <w:rFonts w:hint="eastAsia" w:eastAsia="宋体" w:cs="Arial"/>
                <w:b w:val="0"/>
                <w:bCs w:val="0"/>
                <w:i w:val="0"/>
                <w:iCs w:val="0"/>
                <w:color w:val="000000"/>
                <w:sz w:val="18"/>
                <w:szCs w:val="18"/>
                <w:lang w:val="en-US" w:eastAsia="zh-CN"/>
              </w:rPr>
              <w:t>S</w:t>
            </w:r>
            <w:r>
              <w:rPr>
                <w:rFonts w:hint="default" w:eastAsia="宋体" w:cs="Arial"/>
                <w:b w:val="0"/>
                <w:bCs w:val="0"/>
                <w:i w:val="0"/>
                <w:iCs w:val="0"/>
                <w:color w:val="000000"/>
                <w:sz w:val="18"/>
                <w:szCs w:val="18"/>
                <w:lang w:val="en-US" w:eastAsia="zh-CN"/>
              </w:rPr>
              <w:t xml:space="preserve">2, S3, </w:t>
            </w:r>
            <w:r>
              <w:rPr>
                <w:rFonts w:ascii="Arial" w:hAnsi="Arial" w:eastAsia="Arial" w:cs="Arial"/>
                <w:b w:val="0"/>
                <w:bCs w:val="0"/>
                <w:i w:val="0"/>
                <w:iCs w:val="0"/>
                <w:color w:val="000000"/>
                <w:sz w:val="18"/>
                <w:szCs w:val="18"/>
              </w:rPr>
              <w:t>G1</w:t>
            </w:r>
          </w:p>
        </w:tc>
      </w:tr>
      <w:tr w14:paraId="435163A6">
        <w:tc>
          <w:tcPr>
            <w:tcW w:w="10106" w:type="dxa"/>
            <w:gridSpan w:val="4"/>
            <w:tcBorders>
              <w:top w:val="single" w:color="CCCCCC" w:sz="0" w:space="0"/>
              <w:left w:val="single" w:color="CCCCCC" w:sz="0" w:space="0"/>
              <w:bottom w:val="single" w:color="CCCCCC" w:sz="0" w:space="0"/>
              <w:right w:val="single" w:color="CCCCCC" w:sz="0" w:space="0"/>
            </w:tcBorders>
            <w:shd w:val="clear" w:color="auto" w:fill="E2D0EF"/>
            <w:tcMar>
              <w:top w:w="110" w:type="dxa"/>
              <w:left w:w="140" w:type="dxa"/>
              <w:bottom w:w="110" w:type="dxa"/>
              <w:right w:w="140" w:type="dxa"/>
            </w:tcMar>
          </w:tcPr>
          <w:p w14:paraId="26F62C17">
            <w:r>
              <w:rPr>
                <w:rFonts w:ascii="Arial" w:hAnsi="Arial" w:eastAsia="Arial" w:cs="Arial"/>
                <w:b/>
                <w:bCs/>
                <w:color w:val="4A1D6E"/>
                <w:sz w:val="20"/>
                <w:szCs w:val="20"/>
              </w:rPr>
              <w:t>D    Community, Customers &amp; Human Rights</w:t>
            </w:r>
          </w:p>
        </w:tc>
      </w:tr>
      <w:tr w14:paraId="37975164">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364214">
            <w:r>
              <w:rPr>
                <w:rFonts w:ascii="Arial" w:hAnsi="Arial" w:eastAsia="Arial" w:cs="Arial"/>
                <w:b w:val="0"/>
                <w:bCs w:val="0"/>
                <w:i w:val="0"/>
                <w:iCs w:val="0"/>
                <w:color w:val="000000"/>
                <w:sz w:val="18"/>
                <w:szCs w:val="18"/>
              </w:rPr>
              <w:t>9</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B4D18E">
            <w:r>
              <w:rPr>
                <w:rFonts w:ascii="Arial" w:hAnsi="Arial" w:eastAsia="Arial" w:cs="Arial"/>
                <w:b/>
                <w:bCs/>
                <w:i w:val="0"/>
                <w:iCs w:val="0"/>
                <w:color w:val="000000"/>
                <w:sz w:val="18"/>
                <w:szCs w:val="18"/>
              </w:rPr>
              <w:t>Human Rights &amp; Community Engagement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E71930">
            <w:r>
              <w:rPr>
                <w:rFonts w:ascii="Arial" w:hAnsi="Arial" w:eastAsia="Arial" w:cs="Arial"/>
                <w:b w:val="0"/>
                <w:bCs w:val="0"/>
                <w:i w:val="0"/>
                <w:iCs w:val="0"/>
                <w:color w:val="000000"/>
                <w:sz w:val="18"/>
                <w:szCs w:val="18"/>
              </w:rPr>
              <w:t>Enterprise-wide commitment to human rights aligned with the UN Guiding Principles (UNGPs), and consultation and remedy mechanisms for local and affected communities, including commitments on indigenous peoples’ rights.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E420FA8">
            <w:r>
              <w:rPr>
                <w:rFonts w:ascii="Arial" w:hAnsi="Arial" w:eastAsia="Arial" w:cs="Arial"/>
                <w:b w:val="0"/>
                <w:bCs w:val="0"/>
                <w:i w:val="0"/>
                <w:iCs w:val="0"/>
                <w:color w:val="000000"/>
                <w:sz w:val="18"/>
                <w:szCs w:val="18"/>
              </w:rPr>
              <w:t>S1, S2, S3</w:t>
            </w:r>
          </w:p>
        </w:tc>
      </w:tr>
      <w:tr w14:paraId="16DE3D3B">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3062CE">
            <w:r>
              <w:rPr>
                <w:rFonts w:ascii="Arial" w:hAnsi="Arial" w:eastAsia="Arial" w:cs="Arial"/>
                <w:b w:val="0"/>
                <w:bCs w:val="0"/>
                <w:i w:val="0"/>
                <w:iCs w:val="0"/>
                <w:color w:val="000000"/>
                <w:sz w:val="18"/>
                <w:szCs w:val="18"/>
              </w:rPr>
              <w:t>10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AF194B9">
            <w:r>
              <w:rPr>
                <w:rFonts w:ascii="Arial" w:hAnsi="Arial" w:eastAsia="Arial" w:cs="Arial"/>
                <w:b/>
                <w:bCs/>
                <w:i w:val="0"/>
                <w:iCs w:val="0"/>
                <w:color w:val="000000"/>
                <w:sz w:val="18"/>
                <w:szCs w:val="18"/>
              </w:rPr>
              <w:t>Product &amp; Service Description</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0CFD3A">
            <w:r>
              <w:rPr>
                <w:rFonts w:ascii="Arial" w:hAnsi="Arial" w:eastAsia="Arial" w:cs="Arial"/>
                <w:b w:val="0"/>
                <w:bCs w:val="0"/>
                <w:i w:val="0"/>
                <w:iCs w:val="0"/>
                <w:color w:val="000000"/>
                <w:sz w:val="18"/>
                <w:szCs w:val="18"/>
              </w:rPr>
              <w:t>Consumer-facing and operational overview of the company’s products and services: intended use, end-user characteristics, material composition and resource inputs, manufacturing process highlights, embedded carbon footprint, sustainability certifications or claims, and safety and regulatory compliance (REACH / RoHS). Primary source for S4 IROs and operational evidence for E1, E2, and E5.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2613CD">
            <w:r>
              <w:rPr>
                <w:rFonts w:ascii="Arial" w:hAnsi="Arial" w:eastAsia="Arial" w:cs="Arial"/>
                <w:b w:val="0"/>
                <w:bCs w:val="0"/>
                <w:i w:val="0"/>
                <w:iCs w:val="0"/>
                <w:color w:val="000000"/>
                <w:sz w:val="18"/>
                <w:szCs w:val="18"/>
              </w:rPr>
              <w:t>S4, E1, E2, E5</w:t>
            </w:r>
          </w:p>
        </w:tc>
      </w:tr>
      <w:tr w14:paraId="1A5E6E42">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BDB48F">
            <w:r>
              <w:rPr>
                <w:rFonts w:ascii="Arial" w:hAnsi="Arial" w:eastAsia="Arial" w:cs="Arial"/>
                <w:b w:val="0"/>
                <w:bCs w:val="0"/>
                <w:i w:val="0"/>
                <w:iCs w:val="0"/>
                <w:color w:val="000000"/>
                <w:sz w:val="18"/>
                <w:szCs w:val="18"/>
              </w:rPr>
              <w:t>11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CF8319">
            <w:r>
              <w:rPr>
                <w:rFonts w:ascii="Arial" w:hAnsi="Arial" w:eastAsia="Arial" w:cs="Arial"/>
                <w:b/>
                <w:bCs/>
                <w:i w:val="0"/>
                <w:iCs w:val="0"/>
                <w:color w:val="000000"/>
                <w:sz w:val="18"/>
                <w:szCs w:val="18"/>
              </w:rPr>
              <w:t>Data Protection &amp; Privacy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817A9D">
            <w:r>
              <w:rPr>
                <w:rFonts w:ascii="Arial" w:hAnsi="Arial" w:eastAsia="Arial" w:cs="Arial"/>
                <w:b w:val="0"/>
                <w:bCs w:val="0"/>
                <w:i w:val="0"/>
                <w:iCs w:val="0"/>
                <w:color w:val="000000"/>
                <w:sz w:val="18"/>
                <w:szCs w:val="18"/>
              </w:rPr>
              <w:t>Personal data collection, processing, and retention principles, GDPR compliance framework, and governance of consumer and employee data rights and subject access requests.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E0D8EE8">
            <w:r>
              <w:rPr>
                <w:rFonts w:ascii="Arial" w:hAnsi="Arial" w:eastAsia="Arial" w:cs="Arial"/>
                <w:b w:val="0"/>
                <w:bCs w:val="0"/>
                <w:i w:val="0"/>
                <w:iCs w:val="0"/>
                <w:color w:val="000000"/>
                <w:sz w:val="18"/>
                <w:szCs w:val="18"/>
              </w:rPr>
              <w:t>S4, G1</w:t>
            </w:r>
          </w:p>
        </w:tc>
      </w:tr>
      <w:tr w14:paraId="2FC8F9B8">
        <w:tc>
          <w:tcPr>
            <w:tcW w:w="10106" w:type="dxa"/>
            <w:gridSpan w:val="4"/>
            <w:tcBorders>
              <w:top w:val="single" w:color="CCCCCC" w:sz="0" w:space="0"/>
              <w:left w:val="single" w:color="CCCCCC" w:sz="0" w:space="0"/>
              <w:bottom w:val="single" w:color="CCCCCC" w:sz="0" w:space="0"/>
              <w:right w:val="single" w:color="CCCCCC" w:sz="0" w:space="0"/>
            </w:tcBorders>
            <w:shd w:val="clear" w:color="auto" w:fill="D9D9D9"/>
            <w:tcMar>
              <w:top w:w="110" w:type="dxa"/>
              <w:left w:w="140" w:type="dxa"/>
              <w:bottom w:w="110" w:type="dxa"/>
              <w:right w:w="140" w:type="dxa"/>
            </w:tcMar>
          </w:tcPr>
          <w:p w14:paraId="13D3BFB6">
            <w:r>
              <w:rPr>
                <w:rFonts w:ascii="Arial" w:hAnsi="Arial" w:eastAsia="Arial" w:cs="Arial"/>
                <w:b/>
                <w:bCs/>
                <w:color w:val="404040"/>
                <w:sz w:val="20"/>
                <w:szCs w:val="20"/>
              </w:rPr>
              <w:t>E    Governance</w:t>
            </w:r>
          </w:p>
        </w:tc>
      </w:tr>
      <w:tr w14:paraId="742ACAAC">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D463FA">
            <w:r>
              <w:rPr>
                <w:rFonts w:ascii="Arial" w:hAnsi="Arial" w:eastAsia="Arial" w:cs="Arial"/>
                <w:b w:val="0"/>
                <w:bCs w:val="0"/>
                <w:i w:val="0"/>
                <w:iCs w:val="0"/>
                <w:color w:val="000000"/>
                <w:sz w:val="18"/>
                <w:szCs w:val="18"/>
              </w:rPr>
              <w:t>12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72A8F1">
            <w:r>
              <w:rPr>
                <w:rFonts w:ascii="Arial" w:hAnsi="Arial" w:eastAsia="Arial" w:cs="Arial"/>
                <w:b/>
                <w:bCs/>
                <w:i w:val="0"/>
                <w:iCs w:val="0"/>
                <w:color w:val="000000"/>
                <w:sz w:val="18"/>
                <w:szCs w:val="18"/>
              </w:rPr>
              <w:t>Corporate Governance &amp; Ethics Charter</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DBE0F3">
            <w:r>
              <w:rPr>
                <w:rFonts w:ascii="Arial" w:hAnsi="Arial" w:eastAsia="Arial" w:cs="Arial"/>
                <w:b w:val="0"/>
                <w:bCs w:val="0"/>
                <w:i w:val="0"/>
                <w:iCs w:val="0"/>
                <w:color w:val="000000"/>
                <w:sz w:val="18"/>
                <w:szCs w:val="18"/>
              </w:rPr>
              <w:t>Board and committee structure, oversight responsibilities for sustainability and risk, corporate values and ethical standards, conflicts of interest management, and conduct requirements for employees and business partners.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0C59A8">
            <w:r>
              <w:rPr>
                <w:rFonts w:ascii="Arial" w:hAnsi="Arial" w:eastAsia="Arial" w:cs="Arial"/>
                <w:b w:val="0"/>
                <w:bCs w:val="0"/>
                <w:i w:val="0"/>
                <w:iCs w:val="0"/>
                <w:color w:val="000000"/>
                <w:sz w:val="18"/>
                <w:szCs w:val="18"/>
              </w:rPr>
              <w:t>G1, S1, S2</w:t>
            </w:r>
          </w:p>
        </w:tc>
      </w:tr>
      <w:tr w14:paraId="487006A5">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093459">
            <w:r>
              <w:rPr>
                <w:rFonts w:ascii="Arial" w:hAnsi="Arial" w:eastAsia="Arial" w:cs="Arial"/>
                <w:b w:val="0"/>
                <w:bCs w:val="0"/>
                <w:i w:val="0"/>
                <w:iCs w:val="0"/>
                <w:color w:val="000000"/>
                <w:sz w:val="18"/>
                <w:szCs w:val="18"/>
              </w:rPr>
              <w:t>13</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5EB256">
            <w:r>
              <w:rPr>
                <w:rFonts w:ascii="Arial" w:hAnsi="Arial" w:eastAsia="Arial" w:cs="Arial"/>
                <w:b/>
                <w:bCs/>
                <w:i w:val="0"/>
                <w:iCs w:val="0"/>
                <w:color w:val="000000"/>
                <w:sz w:val="18"/>
                <w:szCs w:val="18"/>
              </w:rPr>
              <w:t>Anti-Bribery, Anti-Corruption &amp; Conflict of Interest Policy</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28ED06">
            <w:r>
              <w:rPr>
                <w:rFonts w:ascii="Arial" w:hAnsi="Arial" w:eastAsia="Arial" w:cs="Arial"/>
                <w:b w:val="0"/>
                <w:bCs w:val="0"/>
                <w:i w:val="0"/>
                <w:iCs w:val="0"/>
                <w:color w:val="000000"/>
                <w:sz w:val="18"/>
                <w:szCs w:val="18"/>
              </w:rPr>
              <w:t>Zero-tolerance approach to bribery and corruption, compliance training requirements, third-party due diligence procedures, and conflict of interest declaration and management processes.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284676">
            <w:r>
              <w:rPr>
                <w:rFonts w:ascii="Arial" w:hAnsi="Arial" w:eastAsia="Arial" w:cs="Arial"/>
                <w:b w:val="0"/>
                <w:bCs w:val="0"/>
                <w:i w:val="0"/>
                <w:iCs w:val="0"/>
                <w:color w:val="000000"/>
                <w:sz w:val="18"/>
                <w:szCs w:val="18"/>
              </w:rPr>
              <w:t>G1</w:t>
            </w:r>
          </w:p>
        </w:tc>
      </w:tr>
      <w:tr w14:paraId="185CBC13">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C46B76">
            <w:r>
              <w:rPr>
                <w:rFonts w:ascii="Arial" w:hAnsi="Arial" w:eastAsia="Arial" w:cs="Arial"/>
                <w:b w:val="0"/>
                <w:bCs w:val="0"/>
                <w:i w:val="0"/>
                <w:iCs w:val="0"/>
                <w:color w:val="000000"/>
                <w:sz w:val="18"/>
                <w:szCs w:val="18"/>
              </w:rPr>
              <w:t>14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D2C936">
            <w:r>
              <w:rPr>
                <w:rFonts w:ascii="Arial" w:hAnsi="Arial" w:eastAsia="Arial" w:cs="Arial"/>
                <w:b/>
                <w:bCs/>
                <w:i w:val="0"/>
                <w:iCs w:val="0"/>
                <w:color w:val="000000"/>
                <w:sz w:val="18"/>
                <w:szCs w:val="18"/>
              </w:rPr>
              <w:t>Tax Transparency Statement</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09AD0F">
            <w:r>
              <w:rPr>
                <w:rFonts w:ascii="Arial" w:hAnsi="Arial" w:eastAsia="Arial" w:cs="Arial"/>
                <w:b w:val="0"/>
                <w:bCs w:val="0"/>
                <w:i w:val="0"/>
                <w:iCs w:val="0"/>
                <w:color w:val="000000"/>
                <w:sz w:val="18"/>
                <w:szCs w:val="18"/>
              </w:rPr>
              <w:t>Corporate tax strategy, approach to tax planning and risk management, payments to governments, and the company’s position on country-by-country reporting.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B70704">
            <w:r>
              <w:rPr>
                <w:rFonts w:ascii="Arial" w:hAnsi="Arial" w:eastAsia="Arial" w:cs="Arial"/>
                <w:b w:val="0"/>
                <w:bCs w:val="0"/>
                <w:i w:val="0"/>
                <w:iCs w:val="0"/>
                <w:color w:val="000000"/>
                <w:sz w:val="18"/>
                <w:szCs w:val="18"/>
              </w:rPr>
              <w:t>G1</w:t>
            </w:r>
          </w:p>
        </w:tc>
      </w:tr>
      <w:tr w14:paraId="6108EBC1">
        <w:tc>
          <w:tcPr>
            <w:tcW w:w="10106" w:type="dxa"/>
            <w:gridSpan w:val="4"/>
            <w:tcBorders>
              <w:top w:val="single" w:color="CCCCCC" w:sz="0" w:space="0"/>
              <w:left w:val="single" w:color="CCCCCC" w:sz="0" w:space="0"/>
              <w:bottom w:val="single" w:color="CCCCCC" w:sz="0" w:space="0"/>
              <w:right w:val="single" w:color="CCCCCC" w:sz="0" w:space="0"/>
            </w:tcBorders>
            <w:shd w:val="clear" w:color="auto" w:fill="FFF2CC"/>
            <w:tcMar>
              <w:top w:w="110" w:type="dxa"/>
              <w:left w:w="140" w:type="dxa"/>
              <w:bottom w:w="110" w:type="dxa"/>
              <w:right w:w="140" w:type="dxa"/>
            </w:tcMar>
          </w:tcPr>
          <w:p w14:paraId="515CA666">
            <w:r>
              <w:rPr>
                <w:rFonts w:ascii="Arial" w:hAnsi="Arial" w:eastAsia="Arial" w:cs="Arial"/>
                <w:b/>
                <w:bCs/>
                <w:color w:val="7F6000"/>
                <w:sz w:val="20"/>
                <w:szCs w:val="20"/>
              </w:rPr>
              <w:t>F    Company Context</w:t>
            </w:r>
          </w:p>
        </w:tc>
      </w:tr>
      <w:tr w14:paraId="0297DFB6">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D53C80">
            <w:r>
              <w:rPr>
                <w:rFonts w:ascii="Arial" w:hAnsi="Arial" w:eastAsia="Arial" w:cs="Arial"/>
                <w:b w:val="0"/>
                <w:bCs w:val="0"/>
                <w:i w:val="0"/>
                <w:iCs w:val="0"/>
                <w:color w:val="000000"/>
                <w:sz w:val="18"/>
                <w:szCs w:val="18"/>
              </w:rPr>
              <w:t>15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CDB9147">
            <w:r>
              <w:rPr>
                <w:rFonts w:ascii="Arial" w:hAnsi="Arial" w:eastAsia="Arial" w:cs="Arial"/>
                <w:b/>
                <w:bCs/>
                <w:i w:val="0"/>
                <w:iCs w:val="0"/>
                <w:color w:val="000000"/>
                <w:sz w:val="18"/>
                <w:szCs w:val="18"/>
              </w:rPr>
              <w:t>About Us / Company Overview</w:t>
            </w:r>
          </w:p>
        </w:tc>
        <w:tc>
          <w:tcPr>
            <w:tcW w:w="560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B3A0D4">
            <w:r>
              <w:rPr>
                <w:rFonts w:ascii="Arial" w:hAnsi="Arial" w:eastAsia="Arial" w:cs="Arial"/>
                <w:b w:val="0"/>
                <w:bCs w:val="0"/>
                <w:i w:val="0"/>
                <w:iCs w:val="0"/>
                <w:color w:val="000000"/>
                <w:sz w:val="18"/>
                <w:szCs w:val="18"/>
              </w:rPr>
              <w:t>General company background, ownership and governance structure, geographic footprint, workforce scale, and key operational activities. Provides contextual framing for all ESRS disclosures.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52212D">
            <w:r>
              <w:rPr>
                <w:rFonts w:ascii="Arial" w:hAnsi="Arial" w:eastAsia="Arial" w:cs="Arial"/>
                <w:b w:val="0"/>
                <w:bCs w:val="0"/>
                <w:i w:val="0"/>
                <w:iCs w:val="0"/>
                <w:color w:val="000000"/>
                <w:sz w:val="18"/>
                <w:szCs w:val="18"/>
              </w:rPr>
              <w:t>S1, S3, G1</w:t>
            </w:r>
          </w:p>
        </w:tc>
      </w:tr>
    </w:tbl>
    <w:p w14:paraId="2698FD85">
      <w:pPr>
        <w:spacing w:before="0" w:after="120"/>
      </w:pPr>
    </w:p>
    <w:p w14:paraId="529D5E50">
      <w:pPr>
        <w:spacing w:before="0" w:after="0"/>
      </w:pPr>
      <w:r>
        <w:rPr>
          <w:rFonts w:ascii="Arial" w:hAnsi="Arial" w:eastAsia="Arial" w:cs="Arial"/>
          <w:b w:val="0"/>
          <w:bCs w:val="0"/>
          <w:i/>
          <w:iCs/>
          <w:color w:val="595959"/>
          <w:sz w:val="16"/>
          <w:szCs w:val="16"/>
        </w:rPr>
        <w:t>† S3 mapping for Health &amp; Safety Procedures (Doc 7) is conditional — applicable only where operations pose direct community health or safety risks (e.g. industrial, logistics, or extractive sites).  The Environmental &amp; Climate Policy (Doc 1) provides broad E1–E5 policy-level coverage; the Facility &amp; Operations Overview (Doc 2) supplies the primary site-level operational evidence for those same standards.</w:t>
      </w:r>
    </w:p>
    <w:sectPr>
      <w:pgSz w:w="11906" w:h="16838"/>
      <w:pgMar w:top="1080" w:right="900" w:bottom="108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isplayBackgroundShape w:val="1"/>
  <w:documentProtection w:enforcement="0"/>
  <w:compat>
    <w:useFELayout/>
    <w:compatSetting w:name="compatibilityMode" w:uri="http://schemas.microsoft.com/office/word" w:val="15"/>
  </w:compat>
  <w:rsids>
    <w:rsidRoot w:val="00000000"/>
    <w:rsid w:val="7735EC92"/>
    <w:rsid w:val="FEBDDB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241</TotalTime>
  <ScaleCrop>false</ScaleCrop>
  <LinksUpToDate>false</LinksUpToDate>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一只心鱼</cp:lastModifiedBy>
  <dcterms:modified xsi:type="dcterms:W3CDTF">2026-06-30T14:21:59Z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6E8356E38520650B1004436A97634B33_42</vt:lpwstr>
  </property>
</Properties>
</file>