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2418F8" w14:textId="77777777" w:rsidR="00815C03" w:rsidRDefault="00815C03" w:rsidP="008B3A31">
      <w:pPr>
        <w:pStyle w:val="BodyText"/>
        <w:tabs>
          <w:tab w:val="left" w:pos="10206"/>
        </w:tabs>
        <w:ind w:right="652"/>
        <w:rPr>
          <w:rFonts w:ascii="Calibri" w:eastAsia="Calibri" w:hAnsi="Calibri" w:cs="Calibri"/>
          <w:b/>
          <w:bCs/>
        </w:rPr>
      </w:pPr>
      <w:bookmarkStart w:id="0" w:name="_Hlk177320078"/>
    </w:p>
    <w:p w14:paraId="53473846" w14:textId="77777777" w:rsidR="008B3A31" w:rsidRPr="00891B90" w:rsidRDefault="00C90453" w:rsidP="008B3A31">
      <w:pPr>
        <w:pStyle w:val="BodyText"/>
        <w:tabs>
          <w:tab w:val="left" w:pos="10206"/>
        </w:tabs>
        <w:ind w:right="652"/>
        <w:rPr>
          <w:b/>
        </w:rPr>
      </w:pPr>
      <w:proofErr w:type="gramStart"/>
      <w:r w:rsidRPr="004A507B">
        <w:rPr>
          <w:rFonts w:ascii="Calibri" w:eastAsia="Calibri" w:hAnsi="Calibri" w:cs="Calibri"/>
          <w:b/>
          <w:bCs/>
        </w:rPr>
        <w:t>Date :</w:t>
      </w:r>
      <w:proofErr w:type="gramEnd"/>
      <w:r w:rsidRPr="004A507B">
        <w:rPr>
          <w:rFonts w:ascii="Calibri" w:eastAsia="Calibri" w:hAnsi="Calibri" w:cs="Calibri"/>
          <w:b/>
          <w:bCs/>
        </w:rPr>
        <w:t xml:space="preserve"> </w:t>
      </w:r>
      <w:r w:rsidR="008B3A31">
        <w:rPr>
          <w:b/>
          <w:spacing w:val="-5"/>
        </w:rPr>
        <w:t>[Todays Date]</w:t>
      </w:r>
    </w:p>
    <w:p w14:paraId="6EF46ED2" w14:textId="434684A6" w:rsidR="00C90453" w:rsidRPr="004A507B" w:rsidRDefault="00C90453" w:rsidP="00C90453">
      <w:pPr>
        <w:spacing w:after="100"/>
        <w:rPr>
          <w:rFonts w:ascii="Calibri" w:eastAsia="Calibri" w:hAnsi="Calibri" w:cs="Calibri"/>
          <w:b/>
          <w:bCs/>
        </w:rPr>
      </w:pPr>
      <w:r w:rsidRPr="004A507B">
        <w:rPr>
          <w:rFonts w:ascii="Calibri" w:eastAsia="Calibri" w:hAnsi="Calibri" w:cs="Calibri"/>
          <w:b/>
          <w:bCs/>
          <w:u w:val="single"/>
        </w:rPr>
        <w:t xml:space="preserve">Client </w:t>
      </w:r>
      <w:proofErr w:type="gramStart"/>
      <w:r w:rsidRPr="004A507B">
        <w:rPr>
          <w:rFonts w:ascii="Calibri" w:eastAsia="Calibri" w:hAnsi="Calibri" w:cs="Calibri"/>
          <w:b/>
          <w:bCs/>
          <w:u w:val="single"/>
        </w:rPr>
        <w:t>Name</w:t>
      </w:r>
      <w:r w:rsidRPr="004A507B">
        <w:rPr>
          <w:rFonts w:ascii="Calibri" w:eastAsia="Calibri" w:hAnsi="Calibri" w:cs="Calibri"/>
          <w:b/>
          <w:bCs/>
        </w:rPr>
        <w:t xml:space="preserve"> :</w:t>
      </w:r>
      <w:proofErr w:type="gramEnd"/>
      <w:r w:rsidRPr="004A507B">
        <w:rPr>
          <w:rFonts w:ascii="Calibri" w:eastAsia="Calibri" w:hAnsi="Calibri" w:cs="Calibri"/>
          <w:b/>
          <w:bCs/>
        </w:rPr>
        <w:t xml:space="preserve"> </w:t>
      </w:r>
      <w:r w:rsidR="004A507B" w:rsidRPr="004A507B">
        <w:rPr>
          <w:rFonts w:ascii="Calibri" w:eastAsia="Calibri" w:hAnsi="Calibri" w:cs="Calibri"/>
          <w:b/>
          <w:bCs/>
        </w:rPr>
        <w:tab/>
      </w:r>
      <w:r w:rsidR="008B3A31" w:rsidRPr="008E1609">
        <w:rPr>
          <w:rFonts w:eastAsia="Calibri"/>
          <w:b/>
        </w:rPr>
        <w:t>[title] [full names]</w:t>
      </w:r>
      <w:r w:rsidR="004A507B" w:rsidRPr="004A507B">
        <w:rPr>
          <w:rFonts w:ascii="Calibri" w:eastAsia="Calibri" w:hAnsi="Calibri" w:cs="Calibri"/>
        </w:rPr>
        <w:t xml:space="preserve">  </w:t>
      </w:r>
      <w:r w:rsidR="004A507B" w:rsidRPr="004A507B">
        <w:rPr>
          <w:rFonts w:ascii="Calibri" w:eastAsia="Calibri" w:hAnsi="Calibri" w:cs="Calibri"/>
          <w:b/>
          <w:bCs/>
          <w:u w:val="single"/>
        </w:rPr>
        <w:t>Date of Birth</w:t>
      </w:r>
      <w:r w:rsidR="00B25F22">
        <w:rPr>
          <w:rFonts w:ascii="Calibri" w:eastAsia="Calibri" w:hAnsi="Calibri" w:cs="Calibri"/>
          <w:b/>
          <w:bCs/>
          <w:u w:val="single"/>
        </w:rPr>
        <w:t xml:space="preserve">: [DOB] </w:t>
      </w:r>
      <w:r w:rsidR="004A507B" w:rsidRPr="004A507B">
        <w:rPr>
          <w:rFonts w:ascii="Calibri" w:eastAsia="Calibri" w:hAnsi="Calibri" w:cs="Calibri"/>
          <w:b/>
          <w:bCs/>
          <w:u w:val="single"/>
        </w:rPr>
        <w:t xml:space="preserve"> </w:t>
      </w:r>
      <w:r w:rsidR="004A507B" w:rsidRPr="004A507B">
        <w:rPr>
          <w:rFonts w:ascii="Calibri" w:eastAsia="Calibri" w:hAnsi="Calibri" w:cs="Calibri"/>
          <w:b/>
          <w:bCs/>
        </w:rPr>
        <w:t xml:space="preserve"> </w:t>
      </w:r>
    </w:p>
    <w:p w14:paraId="52A88FEA" w14:textId="43850C6E" w:rsidR="00C90453" w:rsidRPr="004A507B" w:rsidRDefault="00C90453" w:rsidP="00C90453">
      <w:pPr>
        <w:spacing w:after="100"/>
        <w:jc w:val="center"/>
        <w:rPr>
          <w:color w:val="365F91" w:themeColor="accent1" w:themeShade="BF"/>
        </w:rPr>
      </w:pPr>
      <w:r w:rsidRPr="004A507B">
        <w:rPr>
          <w:rFonts w:ascii="Calibri" w:eastAsia="Calibri" w:hAnsi="Calibri" w:cs="Calibri"/>
          <w:b/>
          <w:bCs/>
          <w:color w:val="365F91" w:themeColor="accent1" w:themeShade="BF"/>
        </w:rPr>
        <w:t>SIMPLE ENGLISH GUIDE TO YOUR ASYLUM APPLICATION LETTER</w:t>
      </w:r>
    </w:p>
    <w:p w14:paraId="27A5D7D1" w14:textId="205D360C" w:rsidR="00C90453" w:rsidRPr="00C90453" w:rsidRDefault="00C90453" w:rsidP="00C90453">
      <w:pPr>
        <w:spacing w:after="400"/>
        <w:jc w:val="center"/>
      </w:pPr>
      <w:r w:rsidRPr="00C90453">
        <w:rPr>
          <w:rFonts w:ascii="Calibri" w:eastAsia="Calibri" w:hAnsi="Calibri" w:cs="Calibri"/>
          <w:i/>
          <w:iCs/>
        </w:rPr>
        <w:t xml:space="preserve">What it is, what it means, and </w:t>
      </w:r>
      <w:r w:rsidR="004A507B">
        <w:rPr>
          <w:rFonts w:ascii="Calibri" w:eastAsia="Calibri" w:hAnsi="Calibri" w:cs="Calibri"/>
          <w:i/>
          <w:iCs/>
        </w:rPr>
        <w:t xml:space="preserve">what </w:t>
      </w:r>
      <w:r w:rsidRPr="00C90453">
        <w:rPr>
          <w:rFonts w:ascii="Calibri" w:eastAsia="Calibri" w:hAnsi="Calibri" w:cs="Calibri"/>
          <w:i/>
          <w:iCs/>
        </w:rPr>
        <w:t>protection it actually gives you</w:t>
      </w:r>
    </w:p>
    <w:tbl>
      <w:tblPr>
        <w:tblW w:w="5000" w:type="pct"/>
        <w:tblBorders>
          <w:top w:val="single" w:sz="4" w:space="0" w:color="C09A00"/>
          <w:left w:val="single" w:sz="4" w:space="0" w:color="C09A00"/>
          <w:bottom w:val="single" w:sz="4" w:space="0" w:color="C09A00"/>
          <w:right w:val="single" w:sz="4" w:space="0" w:color="C09A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55"/>
      </w:tblGrid>
      <w:tr w:rsidR="00C90453" w:rsidRPr="00C90453" w14:paraId="253B1577" w14:textId="77777777" w:rsidTr="00DD7E89">
        <w:tc>
          <w:tcPr>
            <w:tcW w:w="0" w:type="auto"/>
            <w:shd w:val="clear" w:color="auto" w:fill="FFF3CD"/>
            <w:tcMar>
              <w:top w:w="200" w:type="dxa"/>
              <w:left w:w="200" w:type="dxa"/>
              <w:bottom w:w="200" w:type="dxa"/>
              <w:right w:w="200" w:type="dxa"/>
            </w:tcMar>
          </w:tcPr>
          <w:p w14:paraId="205539F4" w14:textId="77777777" w:rsidR="00C90453" w:rsidRPr="00C90453" w:rsidRDefault="00C90453" w:rsidP="00DD7E89">
            <w:pPr>
              <w:spacing w:after="120" w:line="300" w:lineRule="auto"/>
            </w:pPr>
            <w:r w:rsidRPr="00C90453">
              <w:rPr>
                <w:rFonts w:ascii="Calibri" w:eastAsia="Calibri" w:hAnsi="Calibri" w:cs="Calibri"/>
                <w:b/>
                <w:bCs/>
              </w:rPr>
              <w:t>Who this guide is for:</w:t>
            </w:r>
          </w:p>
          <w:p w14:paraId="009D14FE" w14:textId="71D534D9" w:rsidR="00C90453" w:rsidRPr="00C90453" w:rsidRDefault="00C90453" w:rsidP="00DD7E89">
            <w:pPr>
              <w:spacing w:after="120" w:line="300" w:lineRule="auto"/>
            </w:pPr>
            <w:r w:rsidRPr="00C90453">
              <w:rPr>
                <w:rFonts w:ascii="Calibri" w:eastAsia="Calibri" w:hAnsi="Calibri" w:cs="Calibri"/>
              </w:rPr>
              <w:t xml:space="preserve">This guide explains the legal letter prepared for </w:t>
            </w:r>
            <w:r w:rsidR="008B3A31" w:rsidRPr="008E1609">
              <w:rPr>
                <w:rFonts w:ascii="Calibri" w:eastAsia="Calibri" w:hAnsi="Calibri" w:cs="Calibri"/>
                <w:b/>
              </w:rPr>
              <w:t>[title] [full names]</w:t>
            </w:r>
            <w:r w:rsidRPr="008E1609">
              <w:rPr>
                <w:rFonts w:ascii="Calibri" w:eastAsia="Calibri" w:hAnsi="Calibri" w:cs="Calibri"/>
                <w:b/>
              </w:rPr>
              <w:t xml:space="preserve">. </w:t>
            </w:r>
            <w:r w:rsidRPr="00C90453">
              <w:rPr>
                <w:rFonts w:ascii="Calibri" w:eastAsia="Calibri" w:hAnsi="Calibri" w:cs="Calibri"/>
              </w:rPr>
              <w:t>The original letter contains legal terminology, court cases, and detailed legal arguments. This guide explains, in ordinary language, what the letter is, what protection it describes, and — just as importantly — what it does NOT do. This guide does not replace advice from your own lawyer or migration practitioner.</w:t>
            </w:r>
          </w:p>
        </w:tc>
      </w:tr>
    </w:tbl>
    <w:p w14:paraId="66B32AC1" w14:textId="77777777" w:rsidR="00C90453" w:rsidRPr="00C90453" w:rsidRDefault="00C90453" w:rsidP="00C90453">
      <w:pPr>
        <w:spacing w:after="200"/>
      </w:pPr>
    </w:p>
    <w:p w14:paraId="027C201F" w14:textId="77777777" w:rsidR="00C90453" w:rsidRPr="00C90453" w:rsidRDefault="00C90453" w:rsidP="00C90453">
      <w:pPr>
        <w:spacing w:before="380" w:after="180"/>
      </w:pPr>
      <w:r w:rsidRPr="00C90453">
        <w:rPr>
          <w:rFonts w:ascii="Calibri" w:eastAsia="Calibri" w:hAnsi="Calibri" w:cs="Calibri"/>
          <w:b/>
          <w:bCs/>
          <w:color w:val="1F5C8B"/>
        </w:rPr>
        <w:t>1. What Is This Document, In One Sentence?</w:t>
      </w:r>
    </w:p>
    <w:p w14:paraId="6EE8F391" w14:textId="77777777" w:rsidR="00C90453" w:rsidRPr="00C90453" w:rsidRDefault="00C90453" w:rsidP="00C90453">
      <w:pPr>
        <w:spacing w:after="200" w:line="300" w:lineRule="auto"/>
      </w:pPr>
      <w:r w:rsidRPr="00C90453">
        <w:rPr>
          <w:rFonts w:ascii="Calibri" w:eastAsia="Calibri" w:hAnsi="Calibri" w:cs="Calibri"/>
        </w:rPr>
        <w:t>This is a letter written by a migration practitioner on your behalf. It is intended to be shown to police officers, immigration officers, health officials, or soldiers if they question, detain, or attempt to arrest you because of your immigration status. Using South African court judgments, the letter explains the legal protection you have while your asylum claim is being processed.</w:t>
      </w:r>
    </w:p>
    <w:p w14:paraId="79D4E541" w14:textId="77777777" w:rsidR="00C90453" w:rsidRPr="00C90453" w:rsidRDefault="00C90453" w:rsidP="00C90453">
      <w:pPr>
        <w:spacing w:before="380" w:after="180"/>
      </w:pPr>
      <w:r w:rsidRPr="00C90453">
        <w:rPr>
          <w:rFonts w:ascii="Calibri" w:eastAsia="Calibri" w:hAnsi="Calibri" w:cs="Calibri"/>
          <w:b/>
          <w:bCs/>
          <w:color w:val="1F5C8B"/>
        </w:rPr>
        <w:t>2. Who Is This Letter Actually Addressed To?</w:t>
      </w:r>
    </w:p>
    <w:p w14:paraId="776BEED0" w14:textId="77777777" w:rsidR="00C90453" w:rsidRPr="00C90453" w:rsidRDefault="00C90453" w:rsidP="00C90453">
      <w:pPr>
        <w:spacing w:after="200" w:line="300" w:lineRule="auto"/>
      </w:pPr>
      <w:r w:rsidRPr="00C90453">
        <w:rPr>
          <w:rFonts w:ascii="Calibri" w:eastAsia="Calibri" w:hAnsi="Calibri" w:cs="Calibri"/>
        </w:rPr>
        <w:t>The letter is not mainly written for you. It is addressed to the officials who may stop or question you:</w:t>
      </w:r>
    </w:p>
    <w:p w14:paraId="02B599AD" w14:textId="77777777" w:rsidR="00C90453" w:rsidRPr="00C90453" w:rsidRDefault="00C90453" w:rsidP="00C90453">
      <w:pPr>
        <w:spacing w:after="120" w:line="300" w:lineRule="auto"/>
        <w:ind w:left="400" w:hanging="200"/>
      </w:pPr>
      <w:r w:rsidRPr="00C90453">
        <w:rPr>
          <w:rFonts w:ascii="Calibri" w:eastAsia="Calibri" w:hAnsi="Calibri" w:cs="Calibri"/>
        </w:rPr>
        <w:t>•  The South African Police Service (SAPS)</w:t>
      </w:r>
    </w:p>
    <w:p w14:paraId="0BD53BEC" w14:textId="77777777" w:rsidR="00C90453" w:rsidRPr="00C90453" w:rsidRDefault="00C90453" w:rsidP="00C90453">
      <w:pPr>
        <w:spacing w:after="120" w:line="300" w:lineRule="auto"/>
        <w:ind w:left="400" w:hanging="200"/>
      </w:pPr>
      <w:r w:rsidRPr="00C90453">
        <w:rPr>
          <w:rFonts w:ascii="Calibri" w:eastAsia="Calibri" w:hAnsi="Calibri" w:cs="Calibri"/>
        </w:rPr>
        <w:t>•  Traffic Police</w:t>
      </w:r>
    </w:p>
    <w:p w14:paraId="0E687773" w14:textId="77777777" w:rsidR="00C90453" w:rsidRPr="00C90453" w:rsidRDefault="00C90453" w:rsidP="00C90453">
      <w:pPr>
        <w:spacing w:after="120" w:line="300" w:lineRule="auto"/>
        <w:ind w:left="400" w:hanging="200"/>
      </w:pPr>
      <w:r w:rsidRPr="00C90453">
        <w:rPr>
          <w:rFonts w:ascii="Calibri" w:eastAsia="Calibri" w:hAnsi="Calibri" w:cs="Calibri"/>
        </w:rPr>
        <w:t>•  The Immigration Inspectorate (Home Affairs enforcement officers)</w:t>
      </w:r>
    </w:p>
    <w:p w14:paraId="58BB2F6A" w14:textId="77777777" w:rsidR="00C90453" w:rsidRPr="00C90453" w:rsidRDefault="00C90453" w:rsidP="00C90453">
      <w:pPr>
        <w:spacing w:after="120" w:line="300" w:lineRule="auto"/>
        <w:ind w:left="400" w:hanging="200"/>
      </w:pPr>
      <w:r w:rsidRPr="00C90453">
        <w:rPr>
          <w:rFonts w:ascii="Calibri" w:eastAsia="Calibri" w:hAnsi="Calibri" w:cs="Calibri"/>
        </w:rPr>
        <w:t>•  Health Services (clinics and hospitals, so that they understand your position)</w:t>
      </w:r>
    </w:p>
    <w:p w14:paraId="2016CC64" w14:textId="77777777" w:rsidR="00C90453" w:rsidRPr="00C90453" w:rsidRDefault="00C90453" w:rsidP="00C90453">
      <w:pPr>
        <w:spacing w:after="120" w:line="300" w:lineRule="auto"/>
        <w:ind w:left="400" w:hanging="200"/>
      </w:pPr>
      <w:r w:rsidRPr="00C90453">
        <w:rPr>
          <w:rFonts w:ascii="Calibri" w:eastAsia="Calibri" w:hAnsi="Calibri" w:cs="Calibri"/>
        </w:rPr>
        <w:t>•  The Department of Defence (soldiers doing border or patrol duties)</w:t>
      </w:r>
    </w:p>
    <w:p w14:paraId="25ABD014" w14:textId="77777777" w:rsidR="00C90453" w:rsidRPr="00C90453" w:rsidRDefault="00C90453" w:rsidP="00C90453">
      <w:pPr>
        <w:spacing w:after="200" w:line="300" w:lineRule="auto"/>
      </w:pPr>
      <w:r w:rsidRPr="00C90453">
        <w:rPr>
          <w:rFonts w:ascii="Calibri" w:eastAsia="Calibri" w:hAnsi="Calibri" w:cs="Calibri"/>
        </w:rPr>
        <w:lastRenderedPageBreak/>
        <w:t>Think of the letter as a legal shield that you carry with you. It is written in language officials can understand and refers them to the laws and court judgments that explain your legal protection if you are stopped, detained, or threatened with deportation.</w:t>
      </w:r>
    </w:p>
    <w:p w14:paraId="79DED149" w14:textId="77777777" w:rsidR="00815C03" w:rsidRDefault="00815C03" w:rsidP="00C90453">
      <w:pPr>
        <w:spacing w:before="380" w:after="180"/>
        <w:rPr>
          <w:rFonts w:ascii="Calibri" w:eastAsia="Calibri" w:hAnsi="Calibri" w:cs="Calibri"/>
          <w:b/>
          <w:bCs/>
          <w:color w:val="1F5C8B"/>
        </w:rPr>
      </w:pPr>
    </w:p>
    <w:p w14:paraId="4B5A4823" w14:textId="71202E5B" w:rsidR="00C90453" w:rsidRPr="00C90453" w:rsidRDefault="00C90453" w:rsidP="00C90453">
      <w:pPr>
        <w:spacing w:before="380" w:after="180"/>
      </w:pPr>
      <w:r w:rsidRPr="00C90453">
        <w:rPr>
          <w:rFonts w:ascii="Calibri" w:eastAsia="Calibri" w:hAnsi="Calibri" w:cs="Calibri"/>
          <w:b/>
          <w:bCs/>
          <w:color w:val="1F5C8B"/>
        </w:rPr>
        <w:t xml:space="preserve">3. The </w:t>
      </w:r>
      <w:proofErr w:type="gramStart"/>
      <w:r w:rsidRPr="00C90453">
        <w:rPr>
          <w:rFonts w:ascii="Calibri" w:eastAsia="Calibri" w:hAnsi="Calibri" w:cs="Calibri"/>
          <w:b/>
          <w:bCs/>
          <w:color w:val="1F5C8B"/>
        </w:rPr>
        <w:t>REASON  Behind</w:t>
      </w:r>
      <w:proofErr w:type="gramEnd"/>
      <w:r w:rsidRPr="00C90453">
        <w:rPr>
          <w:rFonts w:ascii="Calibri" w:eastAsia="Calibri" w:hAnsi="Calibri" w:cs="Calibri"/>
          <w:b/>
          <w:bCs/>
          <w:color w:val="1F5C8B"/>
        </w:rPr>
        <w:t xml:space="preserve"> the SA Migration Letter</w:t>
      </w:r>
    </w:p>
    <w:tbl>
      <w:tblPr>
        <w:tblW w:w="5000" w:type="pct"/>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55"/>
      </w:tblGrid>
      <w:tr w:rsidR="00C90453" w:rsidRPr="00C90453" w14:paraId="2B2587E9" w14:textId="77777777" w:rsidTr="00DD7E89">
        <w:tc>
          <w:tcPr>
            <w:tcW w:w="0" w:type="auto"/>
            <w:shd w:val="clear" w:color="auto" w:fill="F2F2F2"/>
            <w:tcMar>
              <w:top w:w="200" w:type="dxa"/>
              <w:left w:w="200" w:type="dxa"/>
              <w:bottom w:w="200" w:type="dxa"/>
              <w:right w:w="200" w:type="dxa"/>
            </w:tcMar>
          </w:tcPr>
          <w:p w14:paraId="618E3B62" w14:textId="77777777" w:rsidR="00C90453" w:rsidRPr="00C90453" w:rsidRDefault="00C90453" w:rsidP="00DD7E89">
            <w:pPr>
              <w:spacing w:after="120" w:line="300" w:lineRule="auto"/>
            </w:pPr>
            <w:r w:rsidRPr="00C90453">
              <w:rPr>
                <w:rFonts w:ascii="Calibri" w:eastAsia="Calibri" w:hAnsi="Calibri" w:cs="Calibri"/>
                <w:b/>
                <w:bCs/>
              </w:rPr>
              <w:t>The one rule that matters most:</w:t>
            </w:r>
          </w:p>
          <w:p w14:paraId="2889022F" w14:textId="77777777" w:rsidR="00C90453" w:rsidRPr="00C90453" w:rsidRDefault="00C90453" w:rsidP="00DD7E89">
            <w:pPr>
              <w:spacing w:after="120" w:line="300" w:lineRule="auto"/>
            </w:pPr>
            <w:r w:rsidRPr="00C90453">
              <w:rPr>
                <w:rFonts w:ascii="Calibri" w:eastAsia="Calibri" w:hAnsi="Calibri" w:cs="Calibri"/>
              </w:rPr>
              <w:t>The moment you clearly express an intention to apply for asylum in South Africa, important protections under the Refugees Act come into operation. Technical issues such as how you entered the country, whether you had a transit visa, or whether you reported late cannot automatically be used to prevent you from accessing the asylum process. The court cases discussed in this guide explain and reinforce these protections.</w:t>
            </w:r>
          </w:p>
        </w:tc>
      </w:tr>
    </w:tbl>
    <w:p w14:paraId="59DBD062" w14:textId="77777777" w:rsidR="00C90453" w:rsidRPr="00C90453" w:rsidRDefault="00C90453" w:rsidP="00C90453">
      <w:pPr>
        <w:spacing w:after="200"/>
      </w:pPr>
    </w:p>
    <w:p w14:paraId="60D6182A" w14:textId="77777777" w:rsidR="00C90453" w:rsidRPr="00C90453" w:rsidRDefault="00C90453" w:rsidP="00C90453">
      <w:pPr>
        <w:spacing w:after="200" w:line="300" w:lineRule="auto"/>
      </w:pPr>
      <w:r w:rsidRPr="00C90453">
        <w:rPr>
          <w:rFonts w:ascii="Calibri" w:eastAsia="Calibri" w:hAnsi="Calibri" w:cs="Calibri"/>
        </w:rPr>
        <w:t>Everything else in the letter — the court cases, legal principles, and paragraph references — is there to show that these protections are based on South African law and court judgments, not merely on someone's opinion.</w:t>
      </w:r>
    </w:p>
    <w:p w14:paraId="1069F7ED" w14:textId="77777777" w:rsidR="00C90453" w:rsidRPr="00C90453" w:rsidRDefault="00C90453" w:rsidP="00C90453">
      <w:pPr>
        <w:spacing w:before="380" w:after="180"/>
      </w:pPr>
      <w:r w:rsidRPr="00C90453">
        <w:rPr>
          <w:rFonts w:ascii="Calibri" w:eastAsia="Calibri" w:hAnsi="Calibri" w:cs="Calibri"/>
          <w:b/>
          <w:bCs/>
          <w:color w:val="1F5C8B"/>
        </w:rPr>
        <w:t>4. The Court Cases, Explained in Simple English</w:t>
      </w:r>
    </w:p>
    <w:p w14:paraId="4C58EB74" w14:textId="77777777" w:rsidR="00C90453" w:rsidRPr="00C90453" w:rsidRDefault="00C90453" w:rsidP="00C90453">
      <w:pPr>
        <w:spacing w:after="200" w:line="300" w:lineRule="auto"/>
      </w:pPr>
      <w:r w:rsidRPr="00C90453">
        <w:rPr>
          <w:rFonts w:ascii="Calibri" w:eastAsia="Calibri" w:hAnsi="Calibri" w:cs="Calibri"/>
        </w:rPr>
        <w:t>Each of these cases is a decision of a South African court. Court judgments do more than decide the dispute between the people involved in that particular case: they also explain legal principles that Home Affairs, the police, other officials, and lower courts may be required to follow. Below is a simple explanation of what each case means for you.</w:t>
      </w:r>
    </w:p>
    <w:p w14:paraId="0A4DAF5D" w14:textId="77777777" w:rsidR="00C90453" w:rsidRPr="00C90453" w:rsidRDefault="00C90453" w:rsidP="00C90453">
      <w:pPr>
        <w:spacing w:before="200" w:after="120"/>
      </w:pPr>
      <w:r w:rsidRPr="00C90453">
        <w:rPr>
          <w:rFonts w:ascii="Calibri" w:eastAsia="Calibri" w:hAnsi="Calibri" w:cs="Calibri"/>
          <w:b/>
          <w:bCs/>
        </w:rPr>
        <w:t>Scalabrini v Minister of Home Affairs (2026) — the big one</w:t>
      </w:r>
    </w:p>
    <w:p w14:paraId="614D3DAD" w14:textId="77777777" w:rsidR="00C90453" w:rsidRPr="00C90453" w:rsidRDefault="00C90453" w:rsidP="00C90453">
      <w:pPr>
        <w:spacing w:after="200" w:line="300" w:lineRule="auto"/>
      </w:pPr>
      <w:r w:rsidRPr="00C90453">
        <w:rPr>
          <w:rFonts w:ascii="Calibri" w:eastAsia="Calibri" w:hAnsi="Calibri" w:cs="Calibri"/>
        </w:rPr>
        <w:t>This is the most important case referred to in your letter. South Africa's highest court, the Constitutional Court, struck down several legal barriers that had been used to prevent or restrict access to the asylum process. These included requirements relating to transit visas, the manner of entry into South Africa, and late reporting. The Court found the relevant provisions unconstitutional. In simple terms: these technical immigration issues cannot automatically be used to prevent you from seeking asylum.</w:t>
      </w:r>
    </w:p>
    <w:p w14:paraId="6B440D35" w14:textId="77777777" w:rsidR="00C90453" w:rsidRPr="00C90453" w:rsidRDefault="00C90453" w:rsidP="00C90453">
      <w:pPr>
        <w:spacing w:before="200" w:after="120"/>
      </w:pPr>
      <w:r w:rsidRPr="00C90453">
        <w:rPr>
          <w:rFonts w:ascii="Calibri" w:eastAsia="Calibri" w:hAnsi="Calibri" w:cs="Calibri"/>
          <w:b/>
          <w:bCs/>
        </w:rPr>
        <w:lastRenderedPageBreak/>
        <w:t>Ered v Minister of Home Affairs (2026) — about detention</w:t>
      </w:r>
    </w:p>
    <w:p w14:paraId="2CBB91A8" w14:textId="77777777" w:rsidR="00C90453" w:rsidRPr="00C90453" w:rsidRDefault="00C90453" w:rsidP="00C90453">
      <w:pPr>
        <w:spacing w:after="200" w:line="300" w:lineRule="auto"/>
      </w:pPr>
      <w:r w:rsidRPr="00C90453">
        <w:rPr>
          <w:rFonts w:ascii="Calibri" w:eastAsia="Calibri" w:hAnsi="Calibri" w:cs="Calibri"/>
        </w:rPr>
        <w:t>This case deals with what happens when a person is already being held in immigration detention — for example, at the Lindela Repatriation Centre — and then makes it clear that they want to apply for asylum. The Court held that the principles in Ruta continue to apply and that release from immigration detention must follow once the intention to seek asylum has been expressed. The Judge rejected the approach of keeping a prospective asylum seeker detained merely so that Home Affairs could process the person while in detention. This is an important protection if you are detained because of your immigration status.</w:t>
      </w:r>
    </w:p>
    <w:p w14:paraId="32CFA6FC" w14:textId="77777777" w:rsidR="00C90453" w:rsidRPr="00C90453" w:rsidRDefault="00C90453" w:rsidP="00C90453">
      <w:pPr>
        <w:spacing w:before="200" w:after="120"/>
      </w:pPr>
      <w:r w:rsidRPr="00C90453">
        <w:rPr>
          <w:rFonts w:ascii="Calibri" w:eastAsia="Calibri" w:hAnsi="Calibri" w:cs="Calibri"/>
          <w:b/>
          <w:bCs/>
        </w:rPr>
        <w:t>Mnamo v Minister of Home Affairs (2026) — the case that took a different approach</w:t>
      </w:r>
    </w:p>
    <w:p w14:paraId="6345D9ED" w14:textId="77777777" w:rsidR="00C90453" w:rsidRPr="00C90453" w:rsidRDefault="00C90453" w:rsidP="00C90453">
      <w:pPr>
        <w:spacing w:after="200" w:line="300" w:lineRule="auto"/>
      </w:pPr>
      <w:r w:rsidRPr="00C90453">
        <w:rPr>
          <w:rFonts w:ascii="Calibri" w:eastAsia="Calibri" w:hAnsi="Calibri" w:cs="Calibri"/>
        </w:rPr>
        <w:t>It is important to be clear that Mnamo took a different approach. In that case, the Court allowed prospective asylum seekers to remain in detention while Home Affairs processed them. Your letter explains that the later Ered judgment disagreed with this approach and considered it to have no proper legal foundation. Because these are High Court judgments of the same level, this particular point may ultimately need to be settled by a higher court. Your letter relies on Ered as the more recent decision and as the decision that follows the principles established in Ruta and Scalabrini.</w:t>
      </w:r>
    </w:p>
    <w:p w14:paraId="09C644C6" w14:textId="77777777" w:rsidR="00C90453" w:rsidRPr="00C90453" w:rsidRDefault="00C90453" w:rsidP="00C90453">
      <w:pPr>
        <w:spacing w:before="200" w:after="120"/>
      </w:pPr>
      <w:r w:rsidRPr="00C90453">
        <w:rPr>
          <w:rFonts w:ascii="Calibri" w:eastAsia="Calibri" w:hAnsi="Calibri" w:cs="Calibri"/>
          <w:b/>
          <w:bCs/>
        </w:rPr>
        <w:t>Ashebo v Minister of Home Affairs (2023)</w:t>
      </w:r>
    </w:p>
    <w:p w14:paraId="16491415" w14:textId="77777777" w:rsidR="00C90453" w:rsidRPr="00C90453" w:rsidRDefault="00C90453" w:rsidP="00C90453">
      <w:pPr>
        <w:spacing w:after="200" w:line="300" w:lineRule="auto"/>
      </w:pPr>
      <w:r w:rsidRPr="00C90453">
        <w:rPr>
          <w:rFonts w:ascii="Calibri" w:eastAsia="Calibri" w:hAnsi="Calibri" w:cs="Calibri"/>
        </w:rPr>
        <w:t>Confirms the core principle: expressing an intention to seek asylum is enough to trigger important protection under the Refugees Act. You do not first need to have a permit physically in your hand before the asylum process becomes legally relevant.</w:t>
      </w:r>
    </w:p>
    <w:p w14:paraId="0C942D4B" w14:textId="77777777" w:rsidR="00C90453" w:rsidRPr="00C90453" w:rsidRDefault="00C90453" w:rsidP="00C90453">
      <w:pPr>
        <w:spacing w:before="200" w:after="120"/>
      </w:pPr>
      <w:r w:rsidRPr="00C90453">
        <w:rPr>
          <w:rFonts w:ascii="Calibri" w:eastAsia="Calibri" w:hAnsi="Calibri" w:cs="Calibri"/>
          <w:b/>
          <w:bCs/>
        </w:rPr>
        <w:t>Ruta v Minister of Home Affairs (2018)</w:t>
      </w:r>
    </w:p>
    <w:p w14:paraId="2B9A4A8C" w14:textId="77777777" w:rsidR="00C90453" w:rsidRPr="00C90453" w:rsidRDefault="00C90453" w:rsidP="00C90453">
      <w:pPr>
        <w:spacing w:after="200" w:line="300" w:lineRule="auto"/>
      </w:pPr>
      <w:r w:rsidRPr="00C90453">
        <w:rPr>
          <w:rFonts w:ascii="Calibri" w:eastAsia="Calibri" w:hAnsi="Calibri" w:cs="Calibri"/>
        </w:rPr>
        <w:t>This important Constitutional Court case confirms that a delay in applying for asylum does not automatically disqualify a person from the asylum process. Delay may later be considered when the authorities assess the credibility of the asylum claim, but it cannot by itself be used to shut the door on the application.</w:t>
      </w:r>
    </w:p>
    <w:p w14:paraId="592AAE74" w14:textId="77777777" w:rsidR="00C90453" w:rsidRPr="00C90453" w:rsidRDefault="00C90453" w:rsidP="00C90453">
      <w:pPr>
        <w:spacing w:before="200" w:after="120"/>
      </w:pPr>
      <w:r w:rsidRPr="00C90453">
        <w:rPr>
          <w:rFonts w:ascii="Calibri" w:eastAsia="Calibri" w:hAnsi="Calibri" w:cs="Calibri"/>
          <w:b/>
          <w:bCs/>
        </w:rPr>
        <w:t>Abore v Minister of Home Affairs (2021)</w:t>
      </w:r>
    </w:p>
    <w:p w14:paraId="557390ED" w14:textId="77777777" w:rsidR="00C90453" w:rsidRPr="00C90453" w:rsidRDefault="00C90453" w:rsidP="00C90453">
      <w:pPr>
        <w:spacing w:after="200" w:line="300" w:lineRule="auto"/>
      </w:pPr>
      <w:r w:rsidRPr="00C90453">
        <w:rPr>
          <w:rFonts w:ascii="Calibri" w:eastAsia="Calibri" w:hAnsi="Calibri" w:cs="Calibri"/>
        </w:rPr>
        <w:t>Builds on Ruta and confirms that delay cannot, by itself, operate as an automatic and complete bar to an asylum application.</w:t>
      </w:r>
    </w:p>
    <w:p w14:paraId="740FCCA3" w14:textId="77777777" w:rsidR="00815C03" w:rsidRDefault="00815C03" w:rsidP="00C90453">
      <w:pPr>
        <w:spacing w:before="200" w:after="120"/>
        <w:rPr>
          <w:rFonts w:ascii="Calibri" w:eastAsia="Calibri" w:hAnsi="Calibri" w:cs="Calibri"/>
          <w:b/>
          <w:bCs/>
        </w:rPr>
      </w:pPr>
    </w:p>
    <w:p w14:paraId="1D2A7171" w14:textId="77777777" w:rsidR="00815C03" w:rsidRDefault="00815C03" w:rsidP="00C90453">
      <w:pPr>
        <w:spacing w:before="200" w:after="120"/>
        <w:rPr>
          <w:rFonts w:ascii="Calibri" w:eastAsia="Calibri" w:hAnsi="Calibri" w:cs="Calibri"/>
          <w:b/>
          <w:bCs/>
        </w:rPr>
      </w:pPr>
    </w:p>
    <w:p w14:paraId="4D8BA671" w14:textId="77777777" w:rsidR="00C90453" w:rsidRPr="00C90453" w:rsidRDefault="00C90453" w:rsidP="00C90453">
      <w:pPr>
        <w:spacing w:before="200" w:after="120"/>
      </w:pPr>
      <w:r w:rsidRPr="00C90453">
        <w:rPr>
          <w:rFonts w:ascii="Calibri" w:eastAsia="Calibri" w:hAnsi="Calibri" w:cs="Calibri"/>
          <w:b/>
          <w:bCs/>
        </w:rPr>
        <w:lastRenderedPageBreak/>
        <w:t>Bula v Minister of Home Affairs</w:t>
      </w:r>
    </w:p>
    <w:p w14:paraId="017D2ECC" w14:textId="77777777" w:rsidR="00C90453" w:rsidRPr="00C90453" w:rsidRDefault="00C90453" w:rsidP="00C90453">
      <w:pPr>
        <w:spacing w:after="200" w:line="300" w:lineRule="auto"/>
      </w:pPr>
      <w:r w:rsidRPr="00C90453">
        <w:rPr>
          <w:rFonts w:ascii="Calibri" w:eastAsia="Calibri" w:hAnsi="Calibri" w:cs="Calibri"/>
        </w:rPr>
        <w:t>Confirms that once a person in immigration detention expresses an intention to apply for asylum, the protective provisions of the Refugees Act come into operation and the person is entitled to release, subject to the Refugees Act.</w:t>
      </w:r>
    </w:p>
    <w:p w14:paraId="3A78F13F" w14:textId="77777777" w:rsidR="00C90453" w:rsidRPr="00C90453" w:rsidRDefault="00C90453" w:rsidP="00C90453">
      <w:pPr>
        <w:spacing w:before="200" w:after="120"/>
      </w:pPr>
      <w:r w:rsidRPr="00C90453">
        <w:rPr>
          <w:rFonts w:ascii="Calibri" w:eastAsia="Calibri" w:hAnsi="Calibri" w:cs="Calibri"/>
          <w:b/>
          <w:bCs/>
        </w:rPr>
        <w:t>Ahmed v Minister of Home Affairs (2018)</w:t>
      </w:r>
    </w:p>
    <w:p w14:paraId="4CCBCD03" w14:textId="77777777" w:rsidR="00C90453" w:rsidRPr="00C90453" w:rsidRDefault="00C90453" w:rsidP="00C90453">
      <w:pPr>
        <w:spacing w:after="200" w:line="300" w:lineRule="auto"/>
      </w:pPr>
      <w:r w:rsidRPr="00C90453">
        <w:rPr>
          <w:rFonts w:ascii="Calibri" w:eastAsia="Calibri" w:hAnsi="Calibri" w:cs="Calibri"/>
        </w:rPr>
        <w:t>Explains the distinction between an asylum seeker and a recognised refugee and confirms the protection provided by the Refugees Act while an asylum application is being determined, including the role of the Section 22 asylum seeker permit.</w:t>
      </w:r>
    </w:p>
    <w:p w14:paraId="4184CA33" w14:textId="77777777" w:rsidR="00C90453" w:rsidRPr="00C90453" w:rsidRDefault="00C90453" w:rsidP="00C90453">
      <w:pPr>
        <w:spacing w:before="200" w:after="120"/>
      </w:pPr>
      <w:r w:rsidRPr="00C90453">
        <w:rPr>
          <w:rFonts w:ascii="Calibri" w:eastAsia="Calibri" w:hAnsi="Calibri" w:cs="Calibri"/>
          <w:b/>
          <w:bCs/>
        </w:rPr>
        <w:t>Maow v Minister of Home Affairs (2025)</w:t>
      </w:r>
    </w:p>
    <w:p w14:paraId="1E4DE5C3" w14:textId="77777777" w:rsidR="00C90453" w:rsidRPr="00C90453" w:rsidRDefault="00C90453" w:rsidP="00C90453">
      <w:pPr>
        <w:spacing w:after="200" w:line="300" w:lineRule="auto"/>
      </w:pPr>
      <w:r w:rsidRPr="00C90453">
        <w:rPr>
          <w:rFonts w:ascii="Calibri" w:eastAsia="Calibri" w:hAnsi="Calibri" w:cs="Calibri"/>
        </w:rPr>
        <w:t>If Home Affairs says, "We have no record that you applied," the absence of a record on its electronic system does not automatically prove that you never applied. The judgment emphasises the State's responsibility to maintain proper records. This is why keeping your own proof of submission can be extremely important.</w:t>
      </w:r>
    </w:p>
    <w:p w14:paraId="2D743E83" w14:textId="77777777" w:rsidR="00C90453" w:rsidRPr="00C90453" w:rsidRDefault="00C90453" w:rsidP="00C90453">
      <w:pPr>
        <w:spacing w:before="200" w:after="120"/>
      </w:pPr>
      <w:proofErr w:type="spellStart"/>
      <w:r w:rsidRPr="00C90453">
        <w:rPr>
          <w:rFonts w:ascii="Calibri" w:eastAsia="Calibri" w:hAnsi="Calibri" w:cs="Calibri"/>
          <w:b/>
          <w:bCs/>
        </w:rPr>
        <w:t>Mba</w:t>
      </w:r>
      <w:proofErr w:type="spellEnd"/>
      <w:r w:rsidRPr="00C90453">
        <w:rPr>
          <w:rFonts w:ascii="Calibri" w:eastAsia="Calibri" w:hAnsi="Calibri" w:cs="Calibri"/>
          <w:b/>
          <w:bCs/>
        </w:rPr>
        <w:t xml:space="preserve"> v Magistrate </w:t>
      </w:r>
      <w:proofErr w:type="spellStart"/>
      <w:r w:rsidRPr="00C90453">
        <w:rPr>
          <w:rFonts w:ascii="Calibri" w:eastAsia="Calibri" w:hAnsi="Calibri" w:cs="Calibri"/>
          <w:b/>
          <w:bCs/>
        </w:rPr>
        <w:t>Simlah</w:t>
      </w:r>
      <w:proofErr w:type="spellEnd"/>
      <w:r w:rsidRPr="00C90453">
        <w:rPr>
          <w:rFonts w:ascii="Calibri" w:eastAsia="Calibri" w:hAnsi="Calibri" w:cs="Calibri"/>
          <w:b/>
          <w:bCs/>
        </w:rPr>
        <w:t xml:space="preserve"> (2026)</w:t>
      </w:r>
    </w:p>
    <w:p w14:paraId="5F8EE4CE" w14:textId="77777777" w:rsidR="00C90453" w:rsidRPr="00C90453" w:rsidRDefault="00C90453" w:rsidP="00C90453">
      <w:pPr>
        <w:spacing w:after="200" w:line="300" w:lineRule="auto"/>
      </w:pPr>
      <w:r w:rsidRPr="00C90453">
        <w:rPr>
          <w:rFonts w:ascii="Calibri" w:eastAsia="Calibri" w:hAnsi="Calibri" w:cs="Calibri"/>
        </w:rPr>
        <w:t xml:space="preserve">Confirms that immigration detention must comply with strict legal and procedural requirements. Officials cannot simply take shortcuts: the State must be able to show that the detention was lawfully </w:t>
      </w:r>
      <w:proofErr w:type="spellStart"/>
      <w:r w:rsidRPr="00C90453">
        <w:rPr>
          <w:rFonts w:ascii="Calibri" w:eastAsia="Calibri" w:hAnsi="Calibri" w:cs="Calibri"/>
        </w:rPr>
        <w:t>authorised</w:t>
      </w:r>
      <w:proofErr w:type="spellEnd"/>
      <w:r w:rsidRPr="00C90453">
        <w:rPr>
          <w:rFonts w:ascii="Calibri" w:eastAsia="Calibri" w:hAnsi="Calibri" w:cs="Calibri"/>
        </w:rPr>
        <w:t xml:space="preserve"> and that the required procedures were followed.</w:t>
      </w:r>
    </w:p>
    <w:p w14:paraId="07EC9C0A" w14:textId="77777777" w:rsidR="00C90453" w:rsidRPr="00C90453" w:rsidRDefault="00C90453" w:rsidP="00C90453">
      <w:pPr>
        <w:spacing w:before="200" w:after="120"/>
      </w:pPr>
      <w:r w:rsidRPr="00C90453">
        <w:rPr>
          <w:rFonts w:ascii="Calibri" w:eastAsia="Calibri" w:hAnsi="Calibri" w:cs="Calibri"/>
          <w:b/>
          <w:bCs/>
        </w:rPr>
        <w:t xml:space="preserve">The State v Ibrahim </w:t>
      </w:r>
      <w:proofErr w:type="spellStart"/>
      <w:r w:rsidRPr="00C90453">
        <w:rPr>
          <w:rFonts w:ascii="Calibri" w:eastAsia="Calibri" w:hAnsi="Calibri" w:cs="Calibri"/>
          <w:b/>
          <w:bCs/>
        </w:rPr>
        <w:t>Hashim</w:t>
      </w:r>
      <w:proofErr w:type="spellEnd"/>
      <w:r w:rsidRPr="00C90453">
        <w:rPr>
          <w:rFonts w:ascii="Calibri" w:eastAsia="Calibri" w:hAnsi="Calibri" w:cs="Calibri"/>
          <w:b/>
          <w:bCs/>
        </w:rPr>
        <w:t xml:space="preserve"> / </w:t>
      </w:r>
      <w:proofErr w:type="spellStart"/>
      <w:r w:rsidRPr="00C90453">
        <w:rPr>
          <w:rFonts w:ascii="Calibri" w:eastAsia="Calibri" w:hAnsi="Calibri" w:cs="Calibri"/>
          <w:b/>
          <w:bCs/>
        </w:rPr>
        <w:t>Kinyo</w:t>
      </w:r>
      <w:proofErr w:type="spellEnd"/>
      <w:r w:rsidRPr="00C90453">
        <w:rPr>
          <w:rFonts w:ascii="Calibri" w:eastAsia="Calibri" w:hAnsi="Calibri" w:cs="Calibri"/>
          <w:b/>
          <w:bCs/>
        </w:rPr>
        <w:t xml:space="preserve"> (2026)</w:t>
      </w:r>
    </w:p>
    <w:p w14:paraId="1B2AE003" w14:textId="77777777" w:rsidR="00C90453" w:rsidRPr="00C90453" w:rsidRDefault="00C90453" w:rsidP="00C90453">
      <w:pPr>
        <w:spacing w:after="200" w:line="300" w:lineRule="auto"/>
      </w:pPr>
      <w:r w:rsidRPr="00C90453">
        <w:rPr>
          <w:rFonts w:ascii="Calibri" w:eastAsia="Calibri" w:hAnsi="Calibri" w:cs="Calibri"/>
        </w:rPr>
        <w:t>Confirms that a magistrate dealing with a criminal conviction under section 49(1)(a) cannot simply order deportation as part of the criminal sentence. Deportation is dealt with separately under the Immigration Act by the appropriate immigration authorities.</w:t>
      </w:r>
    </w:p>
    <w:p w14:paraId="004EC902" w14:textId="77777777" w:rsidR="00815C03" w:rsidRDefault="00815C03" w:rsidP="00C90453">
      <w:pPr>
        <w:spacing w:before="380" w:after="180"/>
        <w:rPr>
          <w:rFonts w:ascii="Calibri" w:eastAsia="Calibri" w:hAnsi="Calibri" w:cs="Calibri"/>
          <w:b/>
          <w:bCs/>
          <w:color w:val="1F5C8B"/>
        </w:rPr>
      </w:pPr>
    </w:p>
    <w:p w14:paraId="6981F3BE" w14:textId="77777777" w:rsidR="00815C03" w:rsidRDefault="00815C03" w:rsidP="00C90453">
      <w:pPr>
        <w:spacing w:before="380" w:after="180"/>
        <w:rPr>
          <w:rFonts w:ascii="Calibri" w:eastAsia="Calibri" w:hAnsi="Calibri" w:cs="Calibri"/>
          <w:b/>
          <w:bCs/>
          <w:color w:val="1F5C8B"/>
        </w:rPr>
      </w:pPr>
    </w:p>
    <w:p w14:paraId="66987AB6" w14:textId="77777777" w:rsidR="002460FC" w:rsidRDefault="002460FC" w:rsidP="00C90453">
      <w:pPr>
        <w:spacing w:before="380" w:after="180"/>
        <w:rPr>
          <w:rFonts w:ascii="Calibri" w:eastAsia="Calibri" w:hAnsi="Calibri" w:cs="Calibri"/>
          <w:b/>
          <w:bCs/>
          <w:color w:val="1F5C8B"/>
        </w:rPr>
      </w:pPr>
    </w:p>
    <w:p w14:paraId="02A891CE" w14:textId="77777777" w:rsidR="002460FC" w:rsidRDefault="002460FC" w:rsidP="00C90453">
      <w:pPr>
        <w:spacing w:before="380" w:after="180"/>
        <w:rPr>
          <w:rFonts w:ascii="Calibri" w:eastAsia="Calibri" w:hAnsi="Calibri" w:cs="Calibri"/>
          <w:b/>
          <w:bCs/>
          <w:color w:val="1F5C8B"/>
        </w:rPr>
      </w:pPr>
    </w:p>
    <w:p w14:paraId="17EE3EB7" w14:textId="77777777" w:rsidR="002460FC" w:rsidRDefault="002460FC" w:rsidP="00C90453">
      <w:pPr>
        <w:spacing w:before="380" w:after="180"/>
        <w:rPr>
          <w:rFonts w:ascii="Calibri" w:eastAsia="Calibri" w:hAnsi="Calibri" w:cs="Calibri"/>
          <w:b/>
          <w:bCs/>
          <w:color w:val="1F5C8B"/>
        </w:rPr>
      </w:pPr>
      <w:bookmarkStart w:id="1" w:name="_GoBack"/>
      <w:bookmarkEnd w:id="1"/>
    </w:p>
    <w:p w14:paraId="3970ABB3" w14:textId="77777777" w:rsidR="00815C03" w:rsidRDefault="00815C03" w:rsidP="00C90453">
      <w:pPr>
        <w:spacing w:before="380" w:after="180"/>
        <w:rPr>
          <w:rFonts w:ascii="Calibri" w:eastAsia="Calibri" w:hAnsi="Calibri" w:cs="Calibri"/>
          <w:b/>
          <w:bCs/>
          <w:color w:val="1F5C8B"/>
        </w:rPr>
      </w:pPr>
    </w:p>
    <w:p w14:paraId="3277B491" w14:textId="77777777" w:rsidR="00815C03" w:rsidRDefault="00815C03" w:rsidP="00C90453">
      <w:pPr>
        <w:spacing w:before="380" w:after="180"/>
        <w:rPr>
          <w:rFonts w:ascii="Calibri" w:eastAsia="Calibri" w:hAnsi="Calibri" w:cs="Calibri"/>
          <w:b/>
          <w:bCs/>
          <w:color w:val="1F5C8B"/>
        </w:rPr>
      </w:pPr>
    </w:p>
    <w:p w14:paraId="56E0854A" w14:textId="77777777" w:rsidR="00C90453" w:rsidRPr="00C90453" w:rsidRDefault="00C90453" w:rsidP="00C90453">
      <w:pPr>
        <w:spacing w:before="380" w:after="180"/>
      </w:pPr>
      <w:r w:rsidRPr="00C90453">
        <w:rPr>
          <w:rFonts w:ascii="Calibri" w:eastAsia="Calibri" w:hAnsi="Calibri" w:cs="Calibri"/>
          <w:b/>
          <w:bCs/>
          <w:color w:val="1F5C8B"/>
        </w:rPr>
        <w:t>5. So — What Level of Protection Do You Actually Have?</w:t>
      </w:r>
    </w:p>
    <w:tbl>
      <w:tblPr>
        <w:tblW w:w="5000" w:type="pct"/>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55"/>
      </w:tblGrid>
      <w:tr w:rsidR="00C90453" w:rsidRPr="00C90453" w14:paraId="25E44E64" w14:textId="77777777" w:rsidTr="00DD7E89">
        <w:tc>
          <w:tcPr>
            <w:tcW w:w="0" w:type="auto"/>
            <w:shd w:val="clear" w:color="auto" w:fill="E7F3E7"/>
            <w:tcMar>
              <w:top w:w="200" w:type="dxa"/>
              <w:left w:w="200" w:type="dxa"/>
              <w:bottom w:w="200" w:type="dxa"/>
              <w:right w:w="200" w:type="dxa"/>
            </w:tcMar>
          </w:tcPr>
          <w:p w14:paraId="7E665C8B" w14:textId="77777777" w:rsidR="00C90453" w:rsidRPr="00C90453" w:rsidRDefault="00C90453" w:rsidP="00DD7E89">
            <w:pPr>
              <w:spacing w:after="120" w:line="300" w:lineRule="auto"/>
            </w:pPr>
            <w:r w:rsidRPr="00C90453">
              <w:rPr>
                <w:rFonts w:ascii="Segoe UI Emoji" w:eastAsia="Calibri" w:hAnsi="Segoe UI Emoji" w:cs="Segoe UI Emoji"/>
                <w:b/>
                <w:bCs/>
              </w:rPr>
              <w:t>✅</w:t>
            </w:r>
            <w:r w:rsidRPr="00C90453">
              <w:rPr>
                <w:rFonts w:ascii="Calibri" w:eastAsia="Calibri" w:hAnsi="Calibri" w:cs="Calibri"/>
                <w:b/>
                <w:bCs/>
              </w:rPr>
              <w:t xml:space="preserve"> What you ARE protected against right now:</w:t>
            </w:r>
          </w:p>
          <w:p w14:paraId="37F93995" w14:textId="77777777" w:rsidR="00C90453" w:rsidRPr="00C90453" w:rsidRDefault="00C90453" w:rsidP="00DD7E89">
            <w:pPr>
              <w:spacing w:after="120" w:line="300" w:lineRule="auto"/>
            </w:pPr>
            <w:r w:rsidRPr="00C90453">
              <w:rPr>
                <w:rFonts w:ascii="Calibri" w:eastAsia="Calibri" w:hAnsi="Calibri" w:cs="Calibri"/>
              </w:rPr>
              <w:t>• Being automatically excluded from the asylum process simply because of how you entered South Africa or because you reported late.</w:t>
            </w:r>
          </w:p>
          <w:p w14:paraId="6F22D0FC" w14:textId="77777777" w:rsidR="00C90453" w:rsidRPr="00C90453" w:rsidRDefault="00C90453" w:rsidP="00DD7E89">
            <w:pPr>
              <w:spacing w:after="120" w:line="300" w:lineRule="auto"/>
            </w:pPr>
            <w:r w:rsidRPr="00C90453">
              <w:rPr>
                <w:rFonts w:ascii="Calibri" w:eastAsia="Calibri" w:hAnsi="Calibri" w:cs="Calibri"/>
              </w:rPr>
              <w:t>• Being refused access to the asylum process merely because you did not have a transit visa or entered through an unofficial route.</w:t>
            </w:r>
          </w:p>
          <w:p w14:paraId="25B834CE" w14:textId="77777777" w:rsidR="00C90453" w:rsidRPr="00C90453" w:rsidRDefault="00C90453" w:rsidP="00DD7E89">
            <w:pPr>
              <w:spacing w:after="120" w:line="300" w:lineRule="auto"/>
            </w:pPr>
            <w:r w:rsidRPr="00C90453">
              <w:rPr>
                <w:rFonts w:ascii="Calibri" w:eastAsia="Calibri" w:hAnsi="Calibri" w:cs="Calibri"/>
              </w:rPr>
              <w:t>• Being deported before your asylum claim has been properly dealt with in accordance with the Refugees Act and the applicable legal process.</w:t>
            </w:r>
          </w:p>
          <w:p w14:paraId="26CE93FC" w14:textId="77777777" w:rsidR="00C90453" w:rsidRPr="00C90453" w:rsidRDefault="00C90453" w:rsidP="00DD7E89">
            <w:pPr>
              <w:spacing w:after="120" w:line="300" w:lineRule="auto"/>
            </w:pPr>
            <w:r w:rsidRPr="00C90453">
              <w:rPr>
                <w:rFonts w:ascii="Calibri" w:eastAsia="Calibri" w:hAnsi="Calibri" w:cs="Calibri"/>
              </w:rPr>
              <w:t>• Unlawful immigration detention. If you are detained, the State must comply with the legal requirements governing detention, and the asylum cases discussed in this guide provide important additional protection once an intention to seek asylum has been expressed.</w:t>
            </w:r>
          </w:p>
          <w:p w14:paraId="5E0FF985" w14:textId="77777777" w:rsidR="00C90453" w:rsidRPr="00C90453" w:rsidRDefault="00C90453" w:rsidP="00DD7E89">
            <w:pPr>
              <w:spacing w:after="120" w:line="300" w:lineRule="auto"/>
            </w:pPr>
            <w:r w:rsidRPr="00C90453">
              <w:rPr>
                <w:rFonts w:ascii="Calibri" w:eastAsia="Calibri" w:hAnsi="Calibri" w:cs="Calibri"/>
              </w:rPr>
              <w:t>• Having your asylum claim automatically rejected simply because there has been a delay in applying.</w:t>
            </w:r>
          </w:p>
        </w:tc>
      </w:tr>
    </w:tbl>
    <w:p w14:paraId="42A01B75" w14:textId="77777777" w:rsidR="00C90453" w:rsidRPr="00C90453" w:rsidRDefault="00C90453" w:rsidP="00C90453">
      <w:pPr>
        <w:spacing w:after="200"/>
      </w:pPr>
    </w:p>
    <w:tbl>
      <w:tblPr>
        <w:tblW w:w="5000" w:type="pct"/>
        <w:tblBorders>
          <w:top w:val="single" w:sz="4" w:space="0" w:color="C00000"/>
          <w:left w:val="single" w:sz="4" w:space="0" w:color="C00000"/>
          <w:bottom w:val="single" w:sz="4" w:space="0" w:color="C00000"/>
          <w:right w:val="single" w:sz="4" w:space="0" w:color="C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55"/>
      </w:tblGrid>
      <w:tr w:rsidR="00C90453" w:rsidRPr="00C90453" w14:paraId="548D7015" w14:textId="77777777" w:rsidTr="00DD7E89">
        <w:tc>
          <w:tcPr>
            <w:tcW w:w="0" w:type="auto"/>
            <w:shd w:val="clear" w:color="auto" w:fill="FCE4E4"/>
            <w:tcMar>
              <w:top w:w="200" w:type="dxa"/>
              <w:left w:w="200" w:type="dxa"/>
              <w:bottom w:w="200" w:type="dxa"/>
              <w:right w:w="200" w:type="dxa"/>
            </w:tcMar>
          </w:tcPr>
          <w:p w14:paraId="134A3C23" w14:textId="77777777" w:rsidR="00C90453" w:rsidRPr="00C90453" w:rsidRDefault="00C90453" w:rsidP="00DD7E89">
            <w:pPr>
              <w:spacing w:after="120" w:line="300" w:lineRule="auto"/>
            </w:pPr>
            <w:r w:rsidRPr="00C90453">
              <w:rPr>
                <w:rFonts w:ascii="Segoe UI Emoji" w:eastAsia="Calibri" w:hAnsi="Segoe UI Emoji" w:cs="Segoe UI Emoji"/>
                <w:b/>
                <w:bCs/>
              </w:rPr>
              <w:t>❌</w:t>
            </w:r>
            <w:r w:rsidRPr="00C90453">
              <w:rPr>
                <w:rFonts w:ascii="Calibri" w:eastAsia="Calibri" w:hAnsi="Calibri" w:cs="Calibri"/>
                <w:b/>
                <w:bCs/>
              </w:rPr>
              <w:t xml:space="preserve"> What this letter does NOT do:</w:t>
            </w:r>
          </w:p>
          <w:p w14:paraId="21F1BC05" w14:textId="77777777" w:rsidR="00C90453" w:rsidRPr="00C90453" w:rsidRDefault="00C90453" w:rsidP="00DD7E89">
            <w:pPr>
              <w:spacing w:after="120" w:line="300" w:lineRule="auto"/>
            </w:pPr>
            <w:r w:rsidRPr="00C90453">
              <w:rPr>
                <w:rFonts w:ascii="Calibri" w:eastAsia="Calibri" w:hAnsi="Calibri" w:cs="Calibri"/>
              </w:rPr>
              <w:t>• It does not guarantee that you will be granted refugee status. Your asylum claim must still be considered and decided on its own facts.</w:t>
            </w:r>
          </w:p>
          <w:p w14:paraId="51C6D339" w14:textId="77777777" w:rsidR="00C90453" w:rsidRPr="00C90453" w:rsidRDefault="00C90453" w:rsidP="00DD7E89">
            <w:pPr>
              <w:spacing w:after="120" w:line="300" w:lineRule="auto"/>
            </w:pPr>
            <w:r w:rsidRPr="00C90453">
              <w:rPr>
                <w:rFonts w:ascii="Calibri" w:eastAsia="Calibri" w:hAnsi="Calibri" w:cs="Calibri"/>
              </w:rPr>
              <w:t>• It does not make you a South African citizen and does not give you permanent residence.</w:t>
            </w:r>
          </w:p>
          <w:p w14:paraId="53A20F84" w14:textId="77777777" w:rsidR="00C90453" w:rsidRPr="00C90453" w:rsidRDefault="00C90453" w:rsidP="00DD7E89">
            <w:pPr>
              <w:spacing w:after="120" w:line="300" w:lineRule="auto"/>
            </w:pPr>
            <w:r w:rsidRPr="00C90453">
              <w:rPr>
                <w:rFonts w:ascii="Calibri" w:eastAsia="Calibri" w:hAnsi="Calibri" w:cs="Calibri"/>
              </w:rPr>
              <w:t>• It does not prevent police or immigration officials from lawfully questioning you or investigating an unrelated matter.</w:t>
            </w:r>
          </w:p>
          <w:p w14:paraId="0B3A24AE" w14:textId="77777777" w:rsidR="00C90453" w:rsidRPr="00C90453" w:rsidRDefault="00C90453" w:rsidP="00DD7E89">
            <w:pPr>
              <w:spacing w:after="120" w:line="300" w:lineRule="auto"/>
            </w:pPr>
            <w:r w:rsidRPr="00C90453">
              <w:rPr>
                <w:rFonts w:ascii="Calibri" w:eastAsia="Calibri" w:hAnsi="Calibri" w:cs="Calibri"/>
              </w:rPr>
              <w:t xml:space="preserve">• It does not guarantee that every official will immediately agree with your legal position. An official may </w:t>
            </w:r>
            <w:r w:rsidRPr="00C90453">
              <w:rPr>
                <w:rFonts w:ascii="Calibri" w:eastAsia="Calibri" w:hAnsi="Calibri" w:cs="Calibri"/>
              </w:rPr>
              <w:lastRenderedPageBreak/>
              <w:t>misunderstand the law or may rely on a different interpretation. The letter gives you a detailed legal basis for explaining and, if necessary, challenging what happens.</w:t>
            </w:r>
          </w:p>
          <w:p w14:paraId="509DE600" w14:textId="77777777" w:rsidR="00C90453" w:rsidRPr="00C90453" w:rsidRDefault="00C90453" w:rsidP="00DD7E89">
            <w:pPr>
              <w:spacing w:after="120" w:line="300" w:lineRule="auto"/>
            </w:pPr>
            <w:r w:rsidRPr="00C90453">
              <w:rPr>
                <w:rFonts w:ascii="Calibri" w:eastAsia="Calibri" w:hAnsi="Calibri" w:cs="Calibri"/>
              </w:rPr>
              <w:t>• It does not replace the formal asylum process. You must continue to follow the lawful procedures and instructions applicable to your asylum application.</w:t>
            </w:r>
          </w:p>
        </w:tc>
      </w:tr>
    </w:tbl>
    <w:p w14:paraId="5111A68D" w14:textId="77777777" w:rsidR="00C90453" w:rsidRPr="00C90453" w:rsidRDefault="00C90453" w:rsidP="00C90453">
      <w:pPr>
        <w:spacing w:before="380" w:after="180"/>
      </w:pPr>
      <w:r w:rsidRPr="00C90453">
        <w:rPr>
          <w:rFonts w:ascii="Calibri" w:eastAsia="Calibri" w:hAnsi="Calibri" w:cs="Calibri"/>
          <w:b/>
          <w:bCs/>
          <w:color w:val="1F5C8B"/>
        </w:rPr>
        <w:lastRenderedPageBreak/>
        <w:t xml:space="preserve">6. What To Do If You're Stopped – Your email proof of application matters </w:t>
      </w:r>
    </w:p>
    <w:p w14:paraId="2D2F4FA8" w14:textId="77777777" w:rsidR="00C90453" w:rsidRPr="00C90453" w:rsidRDefault="00C90453" w:rsidP="00C90453">
      <w:pPr>
        <w:spacing w:after="120" w:line="300" w:lineRule="auto"/>
      </w:pPr>
      <w:r w:rsidRPr="00C90453">
        <w:rPr>
          <w:rFonts w:ascii="Calibri" w:eastAsia="Calibri" w:hAnsi="Calibri" w:cs="Calibri"/>
        </w:rPr>
        <w:t>1. Stay calm. Say clearly: "I want to apply for asylum in South Africa." Make your intention clear to the official and explain that you have documents showing the steps you have taken to seek asylum.</w:t>
      </w:r>
    </w:p>
    <w:p w14:paraId="0B0FB11B" w14:textId="77777777" w:rsidR="00C90453" w:rsidRPr="00C90453" w:rsidRDefault="00C90453" w:rsidP="00C90453">
      <w:pPr>
        <w:spacing w:after="120" w:line="300" w:lineRule="auto"/>
      </w:pPr>
      <w:r w:rsidRPr="00C90453">
        <w:rPr>
          <w:rFonts w:ascii="Calibri" w:eastAsia="Calibri" w:hAnsi="Calibri" w:cs="Calibri"/>
        </w:rPr>
        <w:t xml:space="preserve">2. Show the official this letter SA Migration official letter </w:t>
      </w:r>
      <w:proofErr w:type="gramStart"/>
      <w:r w:rsidRPr="00C90453">
        <w:rPr>
          <w:rFonts w:ascii="Calibri" w:eastAsia="Calibri" w:hAnsi="Calibri" w:cs="Calibri"/>
        </w:rPr>
        <w:t>( 11</w:t>
      </w:r>
      <w:proofErr w:type="gramEnd"/>
      <w:r w:rsidRPr="00C90453">
        <w:rPr>
          <w:rFonts w:ascii="Calibri" w:eastAsia="Calibri" w:hAnsi="Calibri" w:cs="Calibri"/>
        </w:rPr>
        <w:t xml:space="preserve"> pager ) plus court cases and your supporting documents including sent email to apply for asylum , read receipt confirming application received by Home Affairs . Ask the official to read them and, if necessary, to contact the migration practitioner using the contact details provided in the letter.</w:t>
      </w:r>
    </w:p>
    <w:p w14:paraId="740A20D0" w14:textId="77777777" w:rsidR="00C90453" w:rsidRPr="00C90453" w:rsidRDefault="00C90453" w:rsidP="00C90453">
      <w:pPr>
        <w:spacing w:after="120" w:line="300" w:lineRule="auto"/>
      </w:pPr>
      <w:r w:rsidRPr="00C90453">
        <w:rPr>
          <w:rFonts w:ascii="Calibri" w:eastAsia="Calibri" w:hAnsi="Calibri" w:cs="Calibri"/>
        </w:rPr>
        <w:t>3. Do not sign a document that you do not understand. Ask for the document to be explained to you and, where possible, contact your legal representative or migration practitioner before signing anything that may affect your rights.</w:t>
      </w:r>
    </w:p>
    <w:p w14:paraId="4399BAC2" w14:textId="77777777" w:rsidR="00C90453" w:rsidRPr="00C90453" w:rsidRDefault="00C90453" w:rsidP="00C90453">
      <w:pPr>
        <w:spacing w:after="120" w:line="300" w:lineRule="auto"/>
      </w:pPr>
      <w:r w:rsidRPr="00C90453">
        <w:rPr>
          <w:rFonts w:ascii="Calibri" w:eastAsia="Calibri" w:hAnsi="Calibri" w:cs="Calibri"/>
        </w:rPr>
        <w:t>4. Contact SA Migration as soon as possible afterwards — preferably on the same day — so that the matter can be recorded and followed up in writing if necessary.</w:t>
      </w:r>
    </w:p>
    <w:p w14:paraId="7B9E6D3B" w14:textId="77777777" w:rsidR="00C90453" w:rsidRPr="00C90453" w:rsidRDefault="00C90453" w:rsidP="00C90453">
      <w:pPr>
        <w:spacing w:after="120" w:line="300" w:lineRule="auto"/>
      </w:pPr>
      <w:r w:rsidRPr="00C90453">
        <w:rPr>
          <w:rFonts w:ascii="Calibri" w:eastAsia="Calibri" w:hAnsi="Calibri" w:cs="Calibri"/>
        </w:rPr>
        <w:t>5. Continue to follow every lawful step required in your asylum process and attend any appointment or Refugee Reception Office when instructed to do so. This letter supports and explains your position; it does not replace the formal asylum process.</w:t>
      </w:r>
    </w:p>
    <w:p w14:paraId="07D15896" w14:textId="77777777" w:rsidR="00C90453" w:rsidRPr="00C90453" w:rsidRDefault="00C90453" w:rsidP="00C90453">
      <w:pPr>
        <w:spacing w:before="200" w:after="120"/>
      </w:pPr>
      <w:r w:rsidRPr="00C90453">
        <w:rPr>
          <w:rFonts w:ascii="Calibri" w:eastAsia="Calibri" w:hAnsi="Calibri" w:cs="Calibri"/>
          <w:b/>
          <w:bCs/>
        </w:rPr>
        <w:t>Why written proof of your intention can be useful</w:t>
      </w:r>
    </w:p>
    <w:p w14:paraId="0540388E" w14:textId="77777777" w:rsidR="00C90453" w:rsidRPr="00C90453" w:rsidRDefault="00C90453" w:rsidP="00C90453">
      <w:pPr>
        <w:spacing w:after="200" w:line="300" w:lineRule="auto"/>
      </w:pPr>
      <w:r w:rsidRPr="00C90453">
        <w:rPr>
          <w:rFonts w:ascii="Calibri" w:eastAsia="Calibri" w:hAnsi="Calibri" w:cs="Calibri"/>
        </w:rPr>
        <w:t>Where you have communicated your intention to seek asylum in writing, keep a copy of that communication and any proof that it was sent or received. Written, dated evidence can help show when you expressed your intention to seek asylum, particularly if there is later a dispute about Home Affairs records.</w:t>
      </w:r>
    </w:p>
    <w:tbl>
      <w:tblPr>
        <w:tblW w:w="5000" w:type="pct"/>
        <w:tblBorders>
          <w:top w:val="single" w:sz="4" w:space="0" w:color="1F5C8B"/>
          <w:left w:val="single" w:sz="4" w:space="0" w:color="1F5C8B"/>
          <w:bottom w:val="single" w:sz="4" w:space="0" w:color="1F5C8B"/>
          <w:right w:val="single" w:sz="4" w:space="0" w:color="1F5C8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55"/>
      </w:tblGrid>
      <w:tr w:rsidR="00C90453" w:rsidRPr="00C90453" w14:paraId="30A28341" w14:textId="77777777" w:rsidTr="00DD7E89">
        <w:tc>
          <w:tcPr>
            <w:tcW w:w="0" w:type="auto"/>
            <w:shd w:val="clear" w:color="auto" w:fill="E7F0F8"/>
            <w:tcMar>
              <w:top w:w="200" w:type="dxa"/>
              <w:left w:w="200" w:type="dxa"/>
              <w:bottom w:w="200" w:type="dxa"/>
              <w:right w:w="200" w:type="dxa"/>
            </w:tcMar>
          </w:tcPr>
          <w:p w14:paraId="0BC64CB2" w14:textId="77777777" w:rsidR="00C90453" w:rsidRPr="00C90453" w:rsidRDefault="00C90453" w:rsidP="00DD7E89">
            <w:pPr>
              <w:spacing w:after="120" w:line="300" w:lineRule="auto"/>
            </w:pPr>
            <w:r w:rsidRPr="00C90453">
              <w:rPr>
                <w:rFonts w:ascii="Calibri" w:eastAsia="Calibri" w:hAnsi="Calibri" w:cs="Calibri"/>
                <w:b/>
                <w:bCs/>
              </w:rPr>
              <w:t>Why this email actually matters legally, not just practically:</w:t>
            </w:r>
          </w:p>
          <w:p w14:paraId="5179097A" w14:textId="77777777" w:rsidR="00C90453" w:rsidRPr="00C90453" w:rsidRDefault="00C90453" w:rsidP="00DD7E89">
            <w:pPr>
              <w:spacing w:after="120" w:line="300" w:lineRule="auto"/>
            </w:pPr>
            <w:r w:rsidRPr="00C90453">
              <w:rPr>
                <w:rFonts w:ascii="Calibri" w:eastAsia="Calibri" w:hAnsi="Calibri" w:cs="Calibri"/>
              </w:rPr>
              <w:lastRenderedPageBreak/>
              <w:t>1. Scalabrini removed important procedural barriers. The Constitutional Court struck down provisions that could prevent access to asylum because of matters such as a transit visa, unofficial entry, or late reporting. This strengthens the principle that technical immigration problems cannot automatically close the door to the asylum process.</w:t>
            </w:r>
          </w:p>
          <w:p w14:paraId="2B6D6BBB" w14:textId="77777777" w:rsidR="00C90453" w:rsidRPr="00C90453" w:rsidRDefault="00C90453" w:rsidP="00DD7E89">
            <w:pPr>
              <w:spacing w:after="120" w:line="300" w:lineRule="auto"/>
            </w:pPr>
            <w:r w:rsidRPr="00C90453">
              <w:rPr>
                <w:rFonts w:ascii="Calibri" w:eastAsia="Calibri" w:hAnsi="Calibri" w:cs="Calibri"/>
              </w:rPr>
              <w:t>2. Ashebo and Ruta confirm that intention matters. The cases discussed in the full letter show that clearly expressing an intention to seek asylum has legal significance and can trigger the protective framework of the Refugees Act, even before all formal documentation has been issued.</w:t>
            </w:r>
          </w:p>
          <w:p w14:paraId="1FCAB9AE" w14:textId="4F44D9D8" w:rsidR="00C90453" w:rsidRPr="00C90453" w:rsidRDefault="00C90453" w:rsidP="00DD7E89">
            <w:pPr>
              <w:spacing w:after="120" w:line="300" w:lineRule="auto"/>
            </w:pPr>
            <w:r w:rsidRPr="00C90453">
              <w:rPr>
                <w:rFonts w:ascii="Calibri" w:eastAsia="Calibri" w:hAnsi="Calibri" w:cs="Calibri"/>
              </w:rPr>
              <w:t>3. Maow shows why keeping your own evidence matters. If Home Affairs later says that its system contains no record of an application or submission, that absence does not automatically prove that nothing was submitted. A dated email, submission confirmation, or other reliable evidence can therefore be important in showing what you did and when you did it.</w:t>
            </w:r>
            <w:r w:rsidR="0060246C">
              <w:rPr>
                <w:rFonts w:ascii="Calibri" w:eastAsia="Calibri" w:hAnsi="Calibri" w:cs="Calibri"/>
              </w:rPr>
              <w:t xml:space="preserve"> With the Scalabrini ConCourt Judgement of July 2026 the asylum center cannot process newcomers as procedure to apply was struck down and </w:t>
            </w:r>
            <w:r w:rsidR="008B3A31">
              <w:rPr>
                <w:rFonts w:ascii="Calibri" w:eastAsia="Calibri" w:hAnsi="Calibri" w:cs="Calibri"/>
              </w:rPr>
              <w:t>the Minister has to have Cabine</w:t>
            </w:r>
            <w:r w:rsidR="00BA2403">
              <w:rPr>
                <w:rFonts w:ascii="Calibri" w:eastAsia="Calibri" w:hAnsi="Calibri" w:cs="Calibri"/>
              </w:rPr>
              <w:t xml:space="preserve">t approve new procedure to </w:t>
            </w:r>
            <w:proofErr w:type="gramStart"/>
            <w:r w:rsidR="00BA2403">
              <w:rPr>
                <w:rFonts w:ascii="Calibri" w:eastAsia="Calibri" w:hAnsi="Calibri" w:cs="Calibri"/>
              </w:rPr>
              <w:t>apply .</w:t>
            </w:r>
            <w:proofErr w:type="gramEnd"/>
          </w:p>
          <w:p w14:paraId="3F420C65" w14:textId="77777777" w:rsidR="00C90453" w:rsidRPr="00C90453" w:rsidRDefault="00C90453" w:rsidP="00DD7E89">
            <w:pPr>
              <w:spacing w:after="120" w:line="300" w:lineRule="auto"/>
            </w:pPr>
            <w:r w:rsidRPr="00C90453">
              <w:rPr>
                <w:rFonts w:ascii="Calibri" w:eastAsia="Calibri" w:hAnsi="Calibri" w:cs="Calibri"/>
              </w:rPr>
              <w:t>4. Put together, these cases show why independent proof is valuable. Keep copies of your declaration of intention, proof of submission, emails, acknowledgements, and any other communication with Home Affairs. These documents can help establish the history of your asylum matter if the official records are incomplete or disputed.</w:t>
            </w:r>
          </w:p>
          <w:p w14:paraId="63E263C5" w14:textId="77777777" w:rsidR="00C90453" w:rsidRPr="00C90453" w:rsidRDefault="00C90453" w:rsidP="00DD7E89">
            <w:pPr>
              <w:spacing w:after="120" w:line="300" w:lineRule="auto"/>
            </w:pPr>
          </w:p>
          <w:p w14:paraId="7F1A57AD" w14:textId="77777777" w:rsidR="00C90453" w:rsidRPr="00C90453" w:rsidRDefault="00C90453" w:rsidP="00DD7E89">
            <w:pPr>
              <w:spacing w:after="120" w:line="300" w:lineRule="auto"/>
            </w:pPr>
            <w:r w:rsidRPr="00C90453">
              <w:rPr>
                <w:rFonts w:ascii="Calibri" w:eastAsia="Calibri" w:hAnsi="Calibri" w:cs="Calibri"/>
              </w:rPr>
              <w:t>Practical tip: keep copies of your important documents in more than one safe place. For example, keep a copy on your phone, email a copy to yourself, and make sure your migration practitioner also has a copy. Do not rely on a single inbox or device that could be lost or damaged.</w:t>
            </w:r>
          </w:p>
        </w:tc>
      </w:tr>
    </w:tbl>
    <w:p w14:paraId="659234BF" w14:textId="77777777" w:rsidR="00C90453" w:rsidRPr="00C90453" w:rsidRDefault="00C90453" w:rsidP="00C90453">
      <w:pPr>
        <w:spacing w:before="380" w:after="180"/>
      </w:pPr>
      <w:r w:rsidRPr="00C90453">
        <w:rPr>
          <w:rFonts w:ascii="Calibri" w:eastAsia="Calibri" w:hAnsi="Calibri" w:cs="Calibri"/>
          <w:b/>
          <w:bCs/>
          <w:color w:val="1F5C8B"/>
        </w:rPr>
        <w:lastRenderedPageBreak/>
        <w:t>7. One-Page Summary To Remember</w:t>
      </w:r>
    </w:p>
    <w:tbl>
      <w:tblPr>
        <w:tblW w:w="5000" w:type="pct"/>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55"/>
      </w:tblGrid>
      <w:tr w:rsidR="00C90453" w:rsidRPr="00C90453" w14:paraId="3A6E4634" w14:textId="77777777" w:rsidTr="00DD7E89">
        <w:tc>
          <w:tcPr>
            <w:tcW w:w="0" w:type="auto"/>
            <w:shd w:val="clear" w:color="auto" w:fill="F2F2F2"/>
            <w:tcMar>
              <w:top w:w="200" w:type="dxa"/>
              <w:left w:w="200" w:type="dxa"/>
              <w:bottom w:w="200" w:type="dxa"/>
              <w:right w:w="200" w:type="dxa"/>
            </w:tcMar>
          </w:tcPr>
          <w:p w14:paraId="34FE5EF3" w14:textId="77777777" w:rsidR="00C90453" w:rsidRPr="00C90453" w:rsidRDefault="00C90453" w:rsidP="00DD7E89">
            <w:pPr>
              <w:spacing w:after="120" w:line="300" w:lineRule="auto"/>
            </w:pPr>
            <w:r w:rsidRPr="00C90453">
              <w:rPr>
                <w:rFonts w:ascii="Calibri" w:eastAsia="Calibri" w:hAnsi="Calibri" w:cs="Calibri"/>
                <w:b/>
                <w:bCs/>
              </w:rPr>
              <w:t>If you remember nothing else, remember this:</w:t>
            </w:r>
          </w:p>
          <w:p w14:paraId="1D8D68C5" w14:textId="77777777" w:rsidR="00C90453" w:rsidRPr="00C90453" w:rsidRDefault="00C90453" w:rsidP="00DD7E89">
            <w:pPr>
              <w:spacing w:after="120" w:line="300" w:lineRule="auto"/>
            </w:pPr>
            <w:r w:rsidRPr="00C90453">
              <w:rPr>
                <w:rFonts w:ascii="Calibri" w:eastAsia="Calibri" w:hAnsi="Calibri" w:cs="Calibri"/>
              </w:rPr>
              <w:t>1. Make your intention clear: if you want to seek asylum, say so clearly and show the documents that record the steps you have taken.</w:t>
            </w:r>
          </w:p>
          <w:p w14:paraId="54F914E6" w14:textId="77777777" w:rsidR="00C90453" w:rsidRPr="00C90453" w:rsidRDefault="00C90453" w:rsidP="00DD7E89">
            <w:pPr>
              <w:spacing w:after="120" w:line="300" w:lineRule="auto"/>
            </w:pPr>
            <w:r w:rsidRPr="00C90453">
              <w:rPr>
                <w:rFonts w:ascii="Calibri" w:eastAsia="Calibri" w:hAnsi="Calibri" w:cs="Calibri"/>
              </w:rPr>
              <w:t xml:space="preserve">2. Technical immigration problems — such as late reporting, lack of a transit visa, or the way you entered </w:t>
            </w:r>
            <w:r w:rsidRPr="00C90453">
              <w:rPr>
                <w:rFonts w:ascii="Calibri" w:eastAsia="Calibri" w:hAnsi="Calibri" w:cs="Calibri"/>
              </w:rPr>
              <w:lastRenderedPageBreak/>
              <w:t>South Africa — cannot automatically prevent you from accessing the asylum process.</w:t>
            </w:r>
          </w:p>
          <w:p w14:paraId="72A39265" w14:textId="77777777" w:rsidR="00C90453" w:rsidRPr="00C90453" w:rsidRDefault="00C90453" w:rsidP="00DD7E89">
            <w:pPr>
              <w:spacing w:after="120" w:line="300" w:lineRule="auto"/>
            </w:pPr>
            <w:r w:rsidRPr="00C90453">
              <w:rPr>
                <w:rFonts w:ascii="Calibri" w:eastAsia="Calibri" w:hAnsi="Calibri" w:cs="Calibri"/>
              </w:rPr>
              <w:t>3. If you are detained because of your immigration status, immediately tell the official that you are seeking asylum, show your documents, and ask that your legal representative or migration practitioner be contacted.</w:t>
            </w:r>
          </w:p>
          <w:p w14:paraId="08341A8A" w14:textId="77777777" w:rsidR="00C90453" w:rsidRPr="00C90453" w:rsidRDefault="00C90453" w:rsidP="00DD7E89">
            <w:pPr>
              <w:spacing w:after="120" w:line="300" w:lineRule="auto"/>
            </w:pPr>
            <w:r w:rsidRPr="00C90453">
              <w:rPr>
                <w:rFonts w:ascii="Calibri" w:eastAsia="Calibri" w:hAnsi="Calibri" w:cs="Calibri"/>
              </w:rPr>
              <w:t>4. This letter is a legal shield and explanation — it is not a guarantee that your asylum claim will succeed. You must continue to pursue the formal asylum process.</w:t>
            </w:r>
          </w:p>
          <w:p w14:paraId="51EADEB2" w14:textId="77777777" w:rsidR="00C90453" w:rsidRPr="00C90453" w:rsidRDefault="00C90453" w:rsidP="00DD7E89">
            <w:pPr>
              <w:spacing w:after="120" w:line="300" w:lineRule="auto"/>
            </w:pPr>
            <w:r w:rsidRPr="00C90453">
              <w:rPr>
                <w:rFonts w:ascii="Calibri" w:eastAsia="Calibri" w:hAnsi="Calibri" w:cs="Calibri"/>
              </w:rPr>
              <w:t>5. If there is a dispute with an official, remain calm. Do not try to argue complicated law yourself. Show the official your documents and contact your lawyer or migration practitioner for assistance.</w:t>
            </w:r>
          </w:p>
        </w:tc>
      </w:tr>
    </w:tbl>
    <w:p w14:paraId="3388162D" w14:textId="77777777" w:rsidR="00C90453" w:rsidRPr="00C90453" w:rsidRDefault="00C90453" w:rsidP="00C90453">
      <w:pPr>
        <w:spacing w:after="200"/>
      </w:pPr>
    </w:p>
    <w:p w14:paraId="76C20E34" w14:textId="3006C800" w:rsidR="008B3A31" w:rsidRDefault="00C90453" w:rsidP="00CF5510">
      <w:pPr>
        <w:spacing w:after="200" w:line="300" w:lineRule="auto"/>
      </w:pPr>
      <w:r w:rsidRPr="00C90453">
        <w:rPr>
          <w:rFonts w:ascii="Calibri" w:eastAsia="Calibri" w:hAnsi="Calibri" w:cs="Calibri"/>
          <w:i/>
          <w:iCs/>
        </w:rPr>
        <w:t>This guide is a simplified explanation to help you understand the full legal letter. If an official disputes your position, the full letter, the applicable legislation, and the actual court judgments are the legal authorities that matter. Contact SA Migration for the full legal letter and for assistance with your individual matter.</w:t>
      </w:r>
    </w:p>
    <w:p w14:paraId="0F336EF6" w14:textId="77777777" w:rsidR="00CF5510" w:rsidRPr="00CF5510" w:rsidRDefault="00CF5510" w:rsidP="00CF5510">
      <w:pPr>
        <w:spacing w:after="200" w:line="300" w:lineRule="auto"/>
      </w:pPr>
    </w:p>
    <w:p w14:paraId="06353743" w14:textId="77777777" w:rsidR="006A1275" w:rsidRPr="00C90453" w:rsidRDefault="006A1275" w:rsidP="006A1275">
      <w:pPr>
        <w:spacing w:after="200"/>
        <w:rPr>
          <w:lang w:val="en-ZA" w:eastAsia="en-ZA"/>
        </w:rPr>
      </w:pPr>
      <w:r w:rsidRPr="00C90453">
        <w:rPr>
          <w:lang w:val="en-ZA" w:eastAsia="en-ZA"/>
        </w:rPr>
        <w:t>Should the Commission require any further clarification, or wish to verify the status of any Applicant's asylum application, please do not hesitate to contact our offices.</w:t>
      </w:r>
    </w:p>
    <w:p w14:paraId="4295B585" w14:textId="77777777" w:rsidR="006A1275" w:rsidRPr="00C90453" w:rsidRDefault="006A1275" w:rsidP="006A1275">
      <w:pPr>
        <w:rPr>
          <w:lang w:val="en-ZA" w:eastAsia="en-ZA"/>
        </w:rPr>
      </w:pPr>
      <w:r w:rsidRPr="00C90453">
        <w:rPr>
          <w:lang w:val="en-ZA" w:eastAsia="en-ZA"/>
        </w:rPr>
        <w:t>Office: 082 373 8415 / 064 126 3073 / 074 036 6127</w:t>
      </w:r>
    </w:p>
    <w:p w14:paraId="0461814B" w14:textId="77777777" w:rsidR="006A1275" w:rsidRPr="00C90453" w:rsidRDefault="006A1275" w:rsidP="006A1275">
      <w:pPr>
        <w:spacing w:after="300"/>
        <w:rPr>
          <w:lang w:val="en-ZA" w:eastAsia="en-ZA"/>
        </w:rPr>
      </w:pPr>
      <w:r w:rsidRPr="00C90453">
        <w:rPr>
          <w:lang w:val="en-ZA" w:eastAsia="en-ZA"/>
        </w:rPr>
        <w:t>Email: rod@sami.co.za</w:t>
      </w:r>
    </w:p>
    <w:p w14:paraId="2BA9C2C9" w14:textId="5E3A4984" w:rsidR="006A1275" w:rsidRPr="00C90453" w:rsidRDefault="006A1275" w:rsidP="006A1275">
      <w:pPr>
        <w:spacing w:after="400"/>
        <w:rPr>
          <w:lang w:val="en-ZA" w:eastAsia="en-ZA"/>
        </w:rPr>
      </w:pPr>
      <w:r w:rsidRPr="00C90453">
        <w:rPr>
          <w:lang w:val="en-ZA" w:eastAsia="en-ZA"/>
        </w:rPr>
        <w:t>Kind Regards,</w:t>
      </w:r>
    </w:p>
    <w:p w14:paraId="1C26FB1D" w14:textId="6396C810" w:rsidR="00F729E5" w:rsidRPr="00C90453" w:rsidRDefault="00F729E5" w:rsidP="006A1275">
      <w:pPr>
        <w:spacing w:after="400"/>
        <w:rPr>
          <w:lang w:val="en-ZA" w:eastAsia="en-ZA"/>
        </w:rPr>
      </w:pPr>
    </w:p>
    <w:p w14:paraId="71613161" w14:textId="77777777" w:rsidR="00F729E5" w:rsidRPr="00C90453" w:rsidRDefault="00F729E5" w:rsidP="006A1275">
      <w:pPr>
        <w:rPr>
          <w:b/>
          <w:bCs/>
          <w:lang w:val="en-ZA" w:eastAsia="en-ZA"/>
        </w:rPr>
      </w:pPr>
    </w:p>
    <w:p w14:paraId="5DE5D655" w14:textId="77777777" w:rsidR="00F729E5" w:rsidRPr="00C90453" w:rsidRDefault="00F729E5" w:rsidP="006A1275">
      <w:pPr>
        <w:rPr>
          <w:b/>
          <w:bCs/>
          <w:lang w:val="en-ZA" w:eastAsia="en-ZA"/>
        </w:rPr>
      </w:pPr>
    </w:p>
    <w:p w14:paraId="2AA256C3" w14:textId="38B048CE" w:rsidR="006A1275" w:rsidRPr="00C90453" w:rsidRDefault="006A1275" w:rsidP="006A1275">
      <w:pPr>
        <w:rPr>
          <w:lang w:val="en-ZA" w:eastAsia="en-ZA"/>
        </w:rPr>
      </w:pPr>
      <w:r w:rsidRPr="00C90453">
        <w:rPr>
          <w:b/>
          <w:bCs/>
          <w:lang w:val="en-ZA" w:eastAsia="en-ZA"/>
        </w:rPr>
        <w:t>Rod Maxwell (IPSA)</w:t>
      </w:r>
    </w:p>
    <w:p w14:paraId="30E74418" w14:textId="77777777" w:rsidR="006A1275" w:rsidRPr="00C90453" w:rsidRDefault="006A1275" w:rsidP="006A1275">
      <w:pPr>
        <w:rPr>
          <w:lang w:val="en-ZA" w:eastAsia="en-ZA"/>
        </w:rPr>
      </w:pPr>
      <w:r w:rsidRPr="00C90453">
        <w:rPr>
          <w:b/>
          <w:bCs/>
          <w:lang w:val="en-ZA" w:eastAsia="en-ZA"/>
        </w:rPr>
        <w:t>CEO, SA Migration International</w:t>
      </w:r>
    </w:p>
    <w:p w14:paraId="6B9A5DBA" w14:textId="59126F9E" w:rsidR="00CF0294" w:rsidRPr="00C90453" w:rsidRDefault="006A1275" w:rsidP="00F729E5">
      <w:pPr>
        <w:spacing w:after="200"/>
      </w:pPr>
      <w:r w:rsidRPr="00C90453">
        <w:rPr>
          <w:b/>
          <w:bCs/>
          <w:lang w:val="en-ZA" w:eastAsia="en-ZA"/>
        </w:rPr>
        <w:t>Registered Migration Practitioner - IP(SA)</w:t>
      </w:r>
      <w:bookmarkEnd w:id="0"/>
    </w:p>
    <w:sectPr w:rsidR="00CF0294" w:rsidRPr="00C90453" w:rsidSect="00D81E12">
      <w:headerReference w:type="default" r:id="rId9"/>
      <w:footerReference w:type="default" r:id="rId10"/>
      <w:pgSz w:w="12240" w:h="15840" w:code="1"/>
      <w:pgMar w:top="1191" w:right="567" w:bottom="567"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F19554" w14:textId="77777777" w:rsidR="001D5453" w:rsidRDefault="001D5453">
      <w:r>
        <w:separator/>
      </w:r>
    </w:p>
  </w:endnote>
  <w:endnote w:type="continuationSeparator" w:id="0">
    <w:p w14:paraId="2896650A" w14:textId="77777777" w:rsidR="001D5453" w:rsidRDefault="001D5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A25C1F" w14:textId="77777777" w:rsidR="00FF383B" w:rsidRDefault="00FF383B" w:rsidP="00FF383B">
    <w:pPr>
      <w:autoSpaceDE w:val="0"/>
      <w:autoSpaceDN w:val="0"/>
      <w:adjustRightInd w:val="0"/>
      <w:spacing w:line="160" w:lineRule="exact"/>
      <w:ind w:right="-2411"/>
      <w:rPr>
        <w:rFonts w:ascii="Arial" w:hAnsi="Arial" w:cs="Arial"/>
        <w:color w:val="000000"/>
        <w:sz w:val="12"/>
        <w:szCs w:val="14"/>
      </w:rPr>
    </w:pPr>
  </w:p>
  <w:tbl>
    <w:tblPr>
      <w:tblW w:w="0" w:type="auto"/>
      <w:tblLook w:val="01E0" w:firstRow="1" w:lastRow="1" w:firstColumn="1" w:lastColumn="1" w:noHBand="0" w:noVBand="0"/>
    </w:tblPr>
    <w:tblGrid>
      <w:gridCol w:w="5688"/>
      <w:gridCol w:w="4783"/>
    </w:tblGrid>
    <w:tr w:rsidR="00FF383B" w:rsidRPr="00467C34" w14:paraId="357C24FC" w14:textId="77777777" w:rsidTr="00467C34">
      <w:tc>
        <w:tcPr>
          <w:tcW w:w="5688" w:type="dxa"/>
        </w:tcPr>
        <w:p w14:paraId="6BB4EE78" w14:textId="6C0DD3B6" w:rsidR="00931E06" w:rsidRDefault="008A3669" w:rsidP="00931E06">
          <w:pPr>
            <w:autoSpaceDE w:val="0"/>
            <w:autoSpaceDN w:val="0"/>
            <w:adjustRightInd w:val="0"/>
            <w:spacing w:line="160" w:lineRule="exact"/>
            <w:ind w:right="-2411"/>
            <w:jc w:val="both"/>
            <w:rPr>
              <w:rFonts w:ascii="Verdana" w:hAnsi="Verdana" w:cs="Arial"/>
              <w:color w:val="000000"/>
              <w:sz w:val="12"/>
              <w:szCs w:val="14"/>
            </w:rPr>
          </w:pPr>
          <w:r>
            <w:rPr>
              <w:rFonts w:ascii="Verdana" w:hAnsi="Verdana" w:cs="Arial"/>
              <w:color w:val="000000"/>
              <w:sz w:val="12"/>
              <w:szCs w:val="14"/>
            </w:rPr>
            <w:t>47 Strand</w:t>
          </w:r>
          <w:r w:rsidR="00931E06">
            <w:rPr>
              <w:rFonts w:ascii="Verdana" w:hAnsi="Verdana" w:cs="Arial"/>
              <w:color w:val="000000"/>
              <w:sz w:val="12"/>
              <w:szCs w:val="14"/>
            </w:rPr>
            <w:t xml:space="preserve"> Street, Cape Town, South Africa</w:t>
          </w:r>
        </w:p>
        <w:p w14:paraId="172D704D" w14:textId="6D2ABEE8" w:rsidR="00931E06" w:rsidRDefault="00931E06" w:rsidP="00931E06">
          <w:pPr>
            <w:autoSpaceDE w:val="0"/>
            <w:autoSpaceDN w:val="0"/>
            <w:adjustRightInd w:val="0"/>
            <w:spacing w:line="160" w:lineRule="exact"/>
            <w:ind w:right="-2411"/>
            <w:jc w:val="both"/>
            <w:rPr>
              <w:rFonts w:ascii="Arial" w:hAnsi="Arial" w:cs="Arial"/>
              <w:color w:val="000000"/>
              <w:sz w:val="12"/>
              <w:szCs w:val="14"/>
            </w:rPr>
          </w:pPr>
          <w:r>
            <w:rPr>
              <w:rFonts w:ascii="Arial" w:hAnsi="Arial" w:cs="Arial"/>
              <w:color w:val="000000"/>
              <w:sz w:val="12"/>
              <w:szCs w:val="14"/>
            </w:rPr>
            <w:t xml:space="preserve">Tel: +27 82 373 8415 / +27 </w:t>
          </w:r>
          <w:r w:rsidR="00951AC9" w:rsidRPr="00951AC9">
            <w:rPr>
              <w:rFonts w:ascii="Arial" w:hAnsi="Arial" w:cs="Arial"/>
              <w:color w:val="000000"/>
              <w:sz w:val="12"/>
              <w:szCs w:val="14"/>
            </w:rPr>
            <w:t>74 036</w:t>
          </w:r>
          <w:r w:rsidR="009F1ADE">
            <w:rPr>
              <w:rFonts w:ascii="Arial" w:hAnsi="Arial" w:cs="Arial"/>
              <w:color w:val="000000"/>
              <w:sz w:val="12"/>
              <w:szCs w:val="14"/>
            </w:rPr>
            <w:t xml:space="preserve"> </w:t>
          </w:r>
          <w:r w:rsidR="00951AC9" w:rsidRPr="00951AC9">
            <w:rPr>
              <w:rFonts w:ascii="Arial" w:hAnsi="Arial" w:cs="Arial"/>
              <w:color w:val="000000"/>
              <w:sz w:val="12"/>
              <w:szCs w:val="14"/>
            </w:rPr>
            <w:t>6127</w:t>
          </w:r>
          <w:r w:rsidR="00C90453">
            <w:rPr>
              <w:rFonts w:ascii="Arial" w:hAnsi="Arial" w:cs="Arial"/>
              <w:color w:val="000000"/>
              <w:sz w:val="12"/>
              <w:szCs w:val="14"/>
            </w:rPr>
            <w:t xml:space="preserve"> / +27 64 126 3073 </w:t>
          </w:r>
          <w:r>
            <w:rPr>
              <w:rFonts w:ascii="Arial" w:hAnsi="Arial" w:cs="Arial"/>
              <w:color w:val="000000"/>
              <w:sz w:val="12"/>
              <w:szCs w:val="14"/>
            </w:rPr>
            <w:t> email: info@sami.co.za</w:t>
          </w:r>
        </w:p>
        <w:p w14:paraId="4539F371" w14:textId="77777777" w:rsidR="00931E06" w:rsidRDefault="00931E06" w:rsidP="00931E06">
          <w:pPr>
            <w:autoSpaceDE w:val="0"/>
            <w:autoSpaceDN w:val="0"/>
            <w:adjustRightInd w:val="0"/>
            <w:spacing w:line="160" w:lineRule="exact"/>
            <w:ind w:right="-2411"/>
            <w:rPr>
              <w:rFonts w:ascii="Arial" w:hAnsi="Arial" w:cs="Arial"/>
              <w:color w:val="000000"/>
              <w:sz w:val="12"/>
              <w:szCs w:val="14"/>
            </w:rPr>
          </w:pPr>
          <w:r>
            <w:rPr>
              <w:rFonts w:ascii="Arial" w:hAnsi="Arial" w:cs="Arial"/>
              <w:color w:val="000000"/>
              <w:sz w:val="12"/>
              <w:szCs w:val="14"/>
            </w:rPr>
            <w:t xml:space="preserve">PO Box 3733 , Cape Town 8001 / </w:t>
          </w:r>
          <w:hyperlink r:id="rId1" w:history="1">
            <w:r w:rsidRPr="001A7372">
              <w:rPr>
                <w:rStyle w:val="Hyperlink"/>
                <w:rFonts w:ascii="Arial" w:hAnsi="Arial" w:cs="Arial"/>
                <w:sz w:val="12"/>
                <w:szCs w:val="14"/>
              </w:rPr>
              <w:t>www.sami.co.za</w:t>
            </w:r>
          </w:hyperlink>
          <w:r>
            <w:rPr>
              <w:rFonts w:ascii="Arial" w:hAnsi="Arial" w:cs="Arial"/>
              <w:color w:val="000000"/>
              <w:sz w:val="12"/>
              <w:szCs w:val="14"/>
            </w:rPr>
            <w:t xml:space="preserve"> / www.samigration.com</w:t>
          </w:r>
        </w:p>
        <w:p w14:paraId="5B3D1C1A" w14:textId="77777777" w:rsidR="00FF383B" w:rsidRPr="00467C34" w:rsidRDefault="00931E06" w:rsidP="00931E06">
          <w:pPr>
            <w:autoSpaceDE w:val="0"/>
            <w:autoSpaceDN w:val="0"/>
            <w:adjustRightInd w:val="0"/>
            <w:spacing w:line="160" w:lineRule="exact"/>
            <w:ind w:right="-2411"/>
            <w:rPr>
              <w:rFonts w:ascii="Verdana" w:hAnsi="Verdana" w:cs="Arial"/>
              <w:sz w:val="16"/>
            </w:rPr>
          </w:pPr>
          <w:r>
            <w:rPr>
              <w:rFonts w:ascii="Arial" w:hAnsi="Arial" w:cs="Arial"/>
              <w:color w:val="000000"/>
              <w:sz w:val="12"/>
              <w:szCs w:val="14"/>
            </w:rPr>
            <w:t xml:space="preserve">CEO - Rod Maxwell – Reg Migration Practitioner </w:t>
          </w:r>
          <w:r w:rsidR="003A6CB1">
            <w:rPr>
              <w:rFonts w:ascii="Arial" w:hAnsi="Arial" w:cs="Arial"/>
              <w:color w:val="000000"/>
              <w:sz w:val="12"/>
              <w:szCs w:val="14"/>
            </w:rPr>
            <w:t xml:space="preserve">– IP(SA) </w:t>
          </w:r>
          <w:r>
            <w:rPr>
              <w:rFonts w:ascii="Arial" w:hAnsi="Arial" w:cs="Arial"/>
              <w:color w:val="000000"/>
              <w:sz w:val="12"/>
              <w:szCs w:val="14"/>
            </w:rPr>
            <w:t>No.2004/01/0067  (DHA) RDMX-SQ (FIPSA)</w:t>
          </w:r>
        </w:p>
      </w:tc>
      <w:tc>
        <w:tcPr>
          <w:tcW w:w="4783" w:type="dxa"/>
        </w:tcPr>
        <w:p w14:paraId="526BFA6B" w14:textId="18A071CB" w:rsidR="002F2D26" w:rsidRPr="00467C34" w:rsidRDefault="002F2D26" w:rsidP="009343BE">
          <w:pPr>
            <w:pStyle w:val="Slogan"/>
            <w:framePr w:w="0" w:hRule="auto" w:hSpace="0" w:vSpace="0" w:wrap="auto" w:vAnchor="margin" w:hAnchor="text" w:xAlign="left" w:yAlign="inline"/>
            <w:ind w:left="-195" w:firstLine="195"/>
            <w:rPr>
              <w:rFonts w:ascii="Arial" w:hAnsi="Arial" w:cs="Arial"/>
              <w:i w:val="0"/>
              <w:iCs/>
              <w:sz w:val="12"/>
            </w:rPr>
          </w:pPr>
          <w:r w:rsidRPr="00467C34">
            <w:rPr>
              <w:rFonts w:ascii="Arial" w:hAnsi="Arial" w:cs="Arial"/>
              <w:i w:val="0"/>
              <w:iCs/>
              <w:sz w:val="12"/>
            </w:rPr>
            <w:t>S.A Business &amp; Migration Services</w:t>
          </w:r>
          <w:r w:rsidR="009343BE">
            <w:rPr>
              <w:rFonts w:ascii="Arial" w:hAnsi="Arial" w:cs="Arial"/>
              <w:i w:val="0"/>
              <w:iCs/>
              <w:sz w:val="12"/>
            </w:rPr>
            <w:t xml:space="preserve"> </w:t>
          </w:r>
          <w:r w:rsidR="00C90453">
            <w:rPr>
              <w:rFonts w:ascii="Arial" w:hAnsi="Arial" w:cs="Arial"/>
              <w:i w:val="0"/>
              <w:iCs/>
              <w:sz w:val="12"/>
            </w:rPr>
            <w:t xml:space="preserve">- </w:t>
          </w:r>
          <w:proofErr w:type="spellStart"/>
          <w:r w:rsidRPr="00467C34">
            <w:rPr>
              <w:rFonts w:ascii="Arial" w:hAnsi="Arial" w:cs="Arial"/>
              <w:i w:val="0"/>
              <w:iCs/>
              <w:sz w:val="12"/>
            </w:rPr>
            <w:t>Co.Reg.No</w:t>
          </w:r>
          <w:proofErr w:type="spellEnd"/>
          <w:r w:rsidR="009343BE">
            <w:rPr>
              <w:rFonts w:ascii="Arial" w:hAnsi="Arial" w:cs="Arial"/>
              <w:i w:val="0"/>
              <w:iCs/>
              <w:sz w:val="12"/>
            </w:rPr>
            <w:t xml:space="preserve"> </w:t>
          </w:r>
          <w:r w:rsidRPr="00467C34">
            <w:rPr>
              <w:rFonts w:ascii="Arial" w:hAnsi="Arial" w:cs="Arial"/>
              <w:i w:val="0"/>
              <w:iCs/>
              <w:sz w:val="12"/>
            </w:rPr>
            <w:t>200</w:t>
          </w:r>
          <w:r w:rsidR="009343BE">
            <w:rPr>
              <w:rFonts w:ascii="Arial" w:hAnsi="Arial" w:cs="Arial"/>
              <w:i w:val="0"/>
              <w:iCs/>
              <w:sz w:val="12"/>
            </w:rPr>
            <w:t>9</w:t>
          </w:r>
          <w:r w:rsidRPr="00467C34">
            <w:rPr>
              <w:rFonts w:ascii="Arial" w:hAnsi="Arial" w:cs="Arial"/>
              <w:i w:val="0"/>
              <w:iCs/>
              <w:sz w:val="12"/>
            </w:rPr>
            <w:t>/0</w:t>
          </w:r>
          <w:r w:rsidR="009343BE">
            <w:rPr>
              <w:rFonts w:ascii="Arial" w:hAnsi="Arial" w:cs="Arial"/>
              <w:i w:val="0"/>
              <w:iCs/>
              <w:sz w:val="12"/>
            </w:rPr>
            <w:t>40508/23</w:t>
          </w:r>
        </w:p>
        <w:p w14:paraId="1372C712" w14:textId="77777777" w:rsidR="00EC7104" w:rsidRDefault="00EC7104" w:rsidP="00EC7104">
          <w:pPr>
            <w:pStyle w:val="Slogan"/>
            <w:framePr w:w="0" w:hRule="auto" w:hSpace="0" w:vSpace="0" w:wrap="auto" w:vAnchor="margin" w:hAnchor="text" w:xAlign="left" w:yAlign="inline"/>
            <w:ind w:left="-108" w:firstLine="108"/>
            <w:rPr>
              <w:rFonts w:ascii="Arial" w:eastAsiaTheme="minorEastAsia" w:hAnsi="Arial" w:cs="Arial"/>
              <w:i w:val="0"/>
              <w:noProof/>
              <w:sz w:val="12"/>
              <w:szCs w:val="12"/>
              <w:lang w:eastAsia="en-ZA"/>
            </w:rPr>
          </w:pPr>
          <w:r>
            <w:rPr>
              <w:rFonts w:ascii="Arial" w:eastAsiaTheme="minorEastAsia" w:hAnsi="Arial" w:cs="Arial"/>
              <w:i w:val="0"/>
              <w:noProof/>
              <w:sz w:val="12"/>
              <w:szCs w:val="12"/>
              <w:lang w:eastAsia="en-ZA"/>
            </w:rPr>
            <w:t xml:space="preserve">Call </w:t>
          </w:r>
          <w:r w:rsidR="00B75903">
            <w:rPr>
              <w:rFonts w:ascii="Arial" w:eastAsiaTheme="minorEastAsia" w:hAnsi="Arial" w:cs="Arial"/>
              <w:i w:val="0"/>
              <w:noProof/>
              <w:sz w:val="12"/>
              <w:szCs w:val="12"/>
              <w:lang w:eastAsia="en-ZA"/>
            </w:rPr>
            <w:t xml:space="preserve">- </w:t>
          </w:r>
          <w:r w:rsidRPr="00EC7104">
            <w:rPr>
              <w:rFonts w:ascii="Arial" w:eastAsiaTheme="minorEastAsia" w:hAnsi="Arial" w:cs="Arial"/>
              <w:i w:val="0"/>
              <w:noProof/>
              <w:sz w:val="12"/>
              <w:szCs w:val="12"/>
              <w:lang w:eastAsia="en-ZA"/>
            </w:rPr>
            <w:t>06</w:t>
          </w:r>
          <w:r w:rsidR="003A6CB1">
            <w:rPr>
              <w:rFonts w:ascii="Arial" w:eastAsiaTheme="minorEastAsia" w:hAnsi="Arial" w:cs="Arial"/>
              <w:i w:val="0"/>
              <w:noProof/>
              <w:sz w:val="12"/>
              <w:szCs w:val="12"/>
              <w:lang w:eastAsia="en-ZA"/>
            </w:rPr>
            <w:t>4</w:t>
          </w:r>
          <w:r w:rsidRPr="00EC7104">
            <w:rPr>
              <w:rFonts w:ascii="Arial" w:eastAsiaTheme="minorEastAsia" w:hAnsi="Arial" w:cs="Arial"/>
              <w:i w:val="0"/>
              <w:noProof/>
              <w:sz w:val="12"/>
              <w:szCs w:val="12"/>
              <w:lang w:eastAsia="en-ZA"/>
            </w:rPr>
            <w:t xml:space="preserve"> </w:t>
          </w:r>
          <w:r w:rsidR="003A6CB1">
            <w:rPr>
              <w:rFonts w:ascii="Arial" w:eastAsiaTheme="minorEastAsia" w:hAnsi="Arial" w:cs="Arial"/>
              <w:i w:val="0"/>
              <w:noProof/>
              <w:sz w:val="12"/>
              <w:szCs w:val="12"/>
              <w:lang w:eastAsia="en-ZA"/>
            </w:rPr>
            <w:t>126</w:t>
          </w:r>
          <w:r w:rsidRPr="00EC7104">
            <w:rPr>
              <w:rFonts w:ascii="Arial" w:eastAsiaTheme="minorEastAsia" w:hAnsi="Arial" w:cs="Arial"/>
              <w:i w:val="0"/>
              <w:noProof/>
              <w:sz w:val="12"/>
              <w:szCs w:val="12"/>
              <w:lang w:eastAsia="en-ZA"/>
            </w:rPr>
            <w:t xml:space="preserve"> </w:t>
          </w:r>
          <w:r w:rsidR="003A6CB1">
            <w:rPr>
              <w:rFonts w:ascii="Arial" w:eastAsiaTheme="minorEastAsia" w:hAnsi="Arial" w:cs="Arial"/>
              <w:i w:val="0"/>
              <w:noProof/>
              <w:sz w:val="12"/>
              <w:szCs w:val="12"/>
              <w:lang w:eastAsia="en-ZA"/>
            </w:rPr>
            <w:t>3073</w:t>
          </w:r>
          <w:r w:rsidRPr="00EC7104">
            <w:rPr>
              <w:rFonts w:ascii="Arial" w:eastAsiaTheme="minorEastAsia" w:hAnsi="Arial" w:cs="Arial"/>
              <w:i w:val="0"/>
              <w:noProof/>
              <w:sz w:val="12"/>
              <w:szCs w:val="12"/>
              <w:lang w:eastAsia="en-ZA"/>
            </w:rPr>
            <w:t xml:space="preserve"> to contact your admin case officer , 082 373 8415  to contact reception , </w:t>
          </w:r>
        </w:p>
        <w:p w14:paraId="354BBC1B" w14:textId="77777777" w:rsidR="00FF383B" w:rsidRPr="00EC7104" w:rsidRDefault="00B75903" w:rsidP="00EC7104">
          <w:pPr>
            <w:pStyle w:val="Slogan"/>
            <w:framePr w:w="0" w:hRule="auto" w:hSpace="0" w:vSpace="0" w:wrap="auto" w:vAnchor="margin" w:hAnchor="text" w:xAlign="left" w:yAlign="inline"/>
            <w:ind w:left="-108" w:firstLine="108"/>
            <w:rPr>
              <w:rFonts w:ascii="Arial" w:hAnsi="Arial" w:cs="Arial"/>
              <w:i w:val="0"/>
              <w:sz w:val="12"/>
              <w:szCs w:val="12"/>
            </w:rPr>
          </w:pPr>
          <w:r>
            <w:rPr>
              <w:rFonts w:ascii="Arial" w:eastAsiaTheme="minorEastAsia" w:hAnsi="Arial" w:cs="Arial"/>
              <w:i w:val="0"/>
              <w:noProof/>
              <w:sz w:val="12"/>
              <w:szCs w:val="12"/>
              <w:lang w:eastAsia="en-ZA"/>
            </w:rPr>
            <w:t xml:space="preserve">Call - </w:t>
          </w:r>
          <w:r w:rsidR="00EC7104" w:rsidRPr="00EC7104">
            <w:rPr>
              <w:rFonts w:ascii="Arial" w:eastAsiaTheme="minorEastAsia" w:hAnsi="Arial" w:cs="Arial"/>
              <w:i w:val="0"/>
              <w:noProof/>
              <w:sz w:val="12"/>
              <w:szCs w:val="12"/>
              <w:lang w:eastAsia="en-ZA"/>
            </w:rPr>
            <w:t>0</w:t>
          </w:r>
          <w:r w:rsidR="009F1ADE">
            <w:rPr>
              <w:rFonts w:ascii="Arial" w:eastAsiaTheme="minorEastAsia" w:hAnsi="Arial" w:cs="Arial"/>
              <w:i w:val="0"/>
              <w:noProof/>
              <w:sz w:val="12"/>
              <w:szCs w:val="12"/>
              <w:lang w:eastAsia="en-ZA"/>
            </w:rPr>
            <w:t>7</w:t>
          </w:r>
          <w:r w:rsidR="009F1ADE" w:rsidRPr="009F1ADE">
            <w:rPr>
              <w:rFonts w:ascii="Arial" w:eastAsiaTheme="minorEastAsia" w:hAnsi="Arial" w:cs="Arial"/>
              <w:i w:val="0"/>
              <w:noProof/>
              <w:sz w:val="12"/>
              <w:szCs w:val="12"/>
              <w:lang w:eastAsia="en-ZA"/>
            </w:rPr>
            <w:t>4 036</w:t>
          </w:r>
          <w:r w:rsidR="009F1ADE">
            <w:rPr>
              <w:rFonts w:ascii="Arial" w:eastAsiaTheme="minorEastAsia" w:hAnsi="Arial" w:cs="Arial"/>
              <w:i w:val="0"/>
              <w:noProof/>
              <w:sz w:val="12"/>
              <w:szCs w:val="12"/>
              <w:lang w:eastAsia="en-ZA"/>
            </w:rPr>
            <w:t xml:space="preserve"> </w:t>
          </w:r>
          <w:r w:rsidR="009F1ADE" w:rsidRPr="009F1ADE">
            <w:rPr>
              <w:rFonts w:ascii="Arial" w:eastAsiaTheme="minorEastAsia" w:hAnsi="Arial" w:cs="Arial"/>
              <w:i w:val="0"/>
              <w:noProof/>
              <w:sz w:val="12"/>
              <w:szCs w:val="12"/>
              <w:lang w:eastAsia="en-ZA"/>
            </w:rPr>
            <w:t>6127</w:t>
          </w:r>
          <w:r w:rsidR="009F1ADE">
            <w:rPr>
              <w:rFonts w:ascii="Arial" w:eastAsiaTheme="minorEastAsia" w:hAnsi="Arial" w:cs="Arial"/>
              <w:i w:val="0"/>
              <w:noProof/>
              <w:sz w:val="12"/>
              <w:szCs w:val="12"/>
              <w:lang w:eastAsia="en-ZA"/>
            </w:rPr>
            <w:t xml:space="preserve"> </w:t>
          </w:r>
          <w:r w:rsidR="00EC7104" w:rsidRPr="00EC7104">
            <w:rPr>
              <w:rFonts w:ascii="Arial" w:eastAsiaTheme="minorEastAsia" w:hAnsi="Arial" w:cs="Arial"/>
              <w:i w:val="0"/>
              <w:noProof/>
              <w:sz w:val="12"/>
              <w:szCs w:val="12"/>
              <w:lang w:eastAsia="en-ZA"/>
            </w:rPr>
            <w:t>for visa information  or a visa quotation</w:t>
          </w:r>
        </w:p>
      </w:tc>
    </w:tr>
  </w:tbl>
  <w:p w14:paraId="76A3B4D4" w14:textId="77777777" w:rsidR="00FF383B" w:rsidRDefault="00FF383B" w:rsidP="00FF383B">
    <w:pPr>
      <w:pStyle w:val="Slogan"/>
      <w:framePr w:w="0" w:hRule="auto" w:hSpace="0" w:vSpace="0" w:wrap="auto" w:vAnchor="margin" w:hAnchor="text" w:xAlign="left" w:yAlign="inline"/>
      <w:rPr>
        <w:rFonts w:ascii="Verdana" w:hAnsi="Verdana" w:cs="Arial"/>
        <w:sz w:val="16"/>
      </w:rPr>
    </w:pPr>
  </w:p>
  <w:p w14:paraId="015D2EB1" w14:textId="77777777" w:rsidR="00900914" w:rsidRDefault="009009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29E3DC" w14:textId="77777777" w:rsidR="001D5453" w:rsidRDefault="001D5453">
      <w:r>
        <w:separator/>
      </w:r>
    </w:p>
  </w:footnote>
  <w:footnote w:type="continuationSeparator" w:id="0">
    <w:p w14:paraId="3C68BA54" w14:textId="77777777" w:rsidR="001D5453" w:rsidRDefault="001D54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1A8DCA" w14:textId="77777777" w:rsidR="00900914" w:rsidRDefault="00900914" w:rsidP="00900914">
    <w:pPr>
      <w:pStyle w:val="ReturnAddress"/>
      <w:framePr w:w="11034" w:h="2058" w:wrap="notBeside" w:x="576" w:y="305"/>
      <w:rPr>
        <w:rFonts w:ascii="Arial" w:hAnsi="Arial" w:cs="Arial"/>
        <w:b/>
        <w:sz w:val="12"/>
      </w:rPr>
    </w:pPr>
    <w:r>
      <w:rPr>
        <w:sz w:val="12"/>
      </w:rPr>
      <w:t xml:space="preserve">    </w:t>
    </w:r>
    <w:r w:rsidR="00E70E6A">
      <w:rPr>
        <w:b/>
        <w:noProof/>
        <w:sz w:val="12"/>
        <w:lang w:val="en-ZA" w:eastAsia="en-ZA"/>
      </w:rPr>
      <w:drawing>
        <wp:inline distT="0" distB="0" distL="0" distR="0" wp14:anchorId="2F1DB409" wp14:editId="21909384">
          <wp:extent cx="1779905" cy="1208405"/>
          <wp:effectExtent l="1905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1779905" cy="1208405"/>
                  </a:xfrm>
                  <a:prstGeom prst="rect">
                    <a:avLst/>
                  </a:prstGeom>
                  <a:noFill/>
                  <a:ln w="9525">
                    <a:noFill/>
                    <a:miter lim="800000"/>
                    <a:headEnd/>
                    <a:tailEnd/>
                  </a:ln>
                </pic:spPr>
              </pic:pic>
            </a:graphicData>
          </a:graphic>
        </wp:inline>
      </w:drawing>
    </w:r>
    <w:r>
      <w:rPr>
        <w:b/>
        <w:sz w:val="12"/>
      </w:rPr>
      <w:t xml:space="preserve">                               </w:t>
    </w:r>
    <w:r w:rsidR="00B75903">
      <w:rPr>
        <w:rFonts w:ascii="Arial" w:hAnsi="Arial" w:cs="Arial"/>
        <w:b/>
        <w:sz w:val="12"/>
      </w:rPr>
      <w:t xml:space="preserve">  </w:t>
    </w:r>
    <w:r w:rsidR="00B75903">
      <w:rPr>
        <w:rFonts w:ascii="Arial" w:hAnsi="Arial" w:cs="Arial"/>
        <w:b/>
        <w:sz w:val="12"/>
      </w:rPr>
      <w:tab/>
    </w:r>
    <w:r w:rsidR="00B75903">
      <w:rPr>
        <w:rFonts w:ascii="Arial" w:hAnsi="Arial" w:cs="Arial"/>
        <w:b/>
        <w:sz w:val="12"/>
      </w:rPr>
      <w:tab/>
    </w:r>
  </w:p>
  <w:p w14:paraId="79BE4A35" w14:textId="77777777" w:rsidR="00900914" w:rsidRDefault="00900914" w:rsidP="00900914">
    <w:pPr>
      <w:pStyle w:val="ReturnAddress"/>
      <w:framePr w:w="11034" w:h="2058" w:wrap="notBeside" w:x="576" w:y="305"/>
      <w:rPr>
        <w:rFonts w:ascii="Arial" w:hAnsi="Arial" w:cs="Arial"/>
        <w:sz w:val="12"/>
      </w:rPr>
    </w:pPr>
    <w:r>
      <w:rPr>
        <w:rFonts w:ascii="Arial" w:hAnsi="Arial" w:cs="Arial"/>
        <w:sz w:val="12"/>
      </w:rPr>
      <w:t xml:space="preserve">   ----------------------------------------------------------------------------------------------------------------------------------------------------------------------------------------------------------------------------------------------------------------------</w:t>
    </w:r>
  </w:p>
  <w:p w14:paraId="1431CC91" w14:textId="77777777" w:rsidR="00900914" w:rsidRDefault="00900914" w:rsidP="00900914">
    <w:pPr>
      <w:pStyle w:val="ReturnAddress"/>
      <w:framePr w:w="11034" w:h="2058" w:wrap="notBeside" w:x="576" w:y="305"/>
      <w:jc w:val="right"/>
      <w:rPr>
        <w:rFonts w:ascii="Arial" w:hAnsi="Arial" w:cs="Arial"/>
        <w:sz w:val="12"/>
      </w:rPr>
    </w:pPr>
    <w:r>
      <w:rPr>
        <w:rFonts w:ascii="Arial" w:hAnsi="Arial" w:cs="Arial"/>
        <w:sz w:val="12"/>
      </w:rPr>
      <w:t xml:space="preserve">     </w:t>
    </w:r>
  </w:p>
  <w:p w14:paraId="55818D26" w14:textId="77777777" w:rsidR="00900914" w:rsidRDefault="0090091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A5DD1"/>
    <w:multiLevelType w:val="hybridMultilevel"/>
    <w:tmpl w:val="0C067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1342AB7"/>
    <w:multiLevelType w:val="hybridMultilevel"/>
    <w:tmpl w:val="3CE6CCC4"/>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A29FF"/>
    <w:multiLevelType w:val="hybridMultilevel"/>
    <w:tmpl w:val="FFFFFFFF"/>
    <w:lvl w:ilvl="0" w:tplc="D8386A14">
      <w:start w:val="1"/>
      <w:numFmt w:val="decimal"/>
      <w:lvlText w:val="[%1]"/>
      <w:lvlJc w:val="left"/>
      <w:pPr>
        <w:ind w:left="1211" w:hanging="360"/>
      </w:pPr>
      <w:rPr>
        <w:rFonts w:cs="Times New Roman" w:hint="default"/>
      </w:rPr>
    </w:lvl>
    <w:lvl w:ilvl="1" w:tplc="C0868336">
      <w:start w:val="7"/>
      <w:numFmt w:val="decimal"/>
      <w:lvlText w:val="60.1%2"/>
      <w:lvlJc w:val="left"/>
      <w:pPr>
        <w:ind w:left="1440" w:hanging="360"/>
      </w:pPr>
      <w:rPr>
        <w:rFonts w:cs="Times New Roman" w:hint="default"/>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3">
    <w:nsid w:val="4EE56721"/>
    <w:multiLevelType w:val="hybridMultilevel"/>
    <w:tmpl w:val="4D30C1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5DAF5C85"/>
    <w:multiLevelType w:val="hybridMultilevel"/>
    <w:tmpl w:val="68724488"/>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614A233C"/>
    <w:multiLevelType w:val="hybridMultilevel"/>
    <w:tmpl w:val="FFFFFFFF"/>
    <w:lvl w:ilvl="0" w:tplc="55504104">
      <w:start w:val="36"/>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6">
    <w:nsid w:val="630A3A75"/>
    <w:multiLevelType w:val="hybridMultilevel"/>
    <w:tmpl w:val="B2D63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A2020CF"/>
    <w:multiLevelType w:val="hybridMultilevel"/>
    <w:tmpl w:val="9B628188"/>
    <w:lvl w:ilvl="0" w:tplc="8E106F0C">
      <w:start w:val="1"/>
      <w:numFmt w:val="decimal"/>
      <w:lvlText w:val="%1."/>
      <w:lvlJc w:val="left"/>
      <w:pPr>
        <w:tabs>
          <w:tab w:val="num" w:pos="255"/>
        </w:tabs>
        <w:ind w:left="255" w:hanging="360"/>
      </w:pPr>
      <w:rPr>
        <w:rFonts w:hint="default"/>
      </w:rPr>
    </w:lvl>
    <w:lvl w:ilvl="1" w:tplc="08090019" w:tentative="1">
      <w:start w:val="1"/>
      <w:numFmt w:val="lowerLetter"/>
      <w:lvlText w:val="%2."/>
      <w:lvlJc w:val="left"/>
      <w:pPr>
        <w:tabs>
          <w:tab w:val="num" w:pos="975"/>
        </w:tabs>
        <w:ind w:left="975" w:hanging="360"/>
      </w:pPr>
    </w:lvl>
    <w:lvl w:ilvl="2" w:tplc="0809001B" w:tentative="1">
      <w:start w:val="1"/>
      <w:numFmt w:val="lowerRoman"/>
      <w:lvlText w:val="%3."/>
      <w:lvlJc w:val="right"/>
      <w:pPr>
        <w:tabs>
          <w:tab w:val="num" w:pos="1695"/>
        </w:tabs>
        <w:ind w:left="1695" w:hanging="180"/>
      </w:pPr>
    </w:lvl>
    <w:lvl w:ilvl="3" w:tplc="0809000F" w:tentative="1">
      <w:start w:val="1"/>
      <w:numFmt w:val="decimal"/>
      <w:lvlText w:val="%4."/>
      <w:lvlJc w:val="left"/>
      <w:pPr>
        <w:tabs>
          <w:tab w:val="num" w:pos="2415"/>
        </w:tabs>
        <w:ind w:left="2415" w:hanging="360"/>
      </w:pPr>
    </w:lvl>
    <w:lvl w:ilvl="4" w:tplc="08090019" w:tentative="1">
      <w:start w:val="1"/>
      <w:numFmt w:val="lowerLetter"/>
      <w:lvlText w:val="%5."/>
      <w:lvlJc w:val="left"/>
      <w:pPr>
        <w:tabs>
          <w:tab w:val="num" w:pos="3135"/>
        </w:tabs>
        <w:ind w:left="3135" w:hanging="360"/>
      </w:pPr>
    </w:lvl>
    <w:lvl w:ilvl="5" w:tplc="0809001B" w:tentative="1">
      <w:start w:val="1"/>
      <w:numFmt w:val="lowerRoman"/>
      <w:lvlText w:val="%6."/>
      <w:lvlJc w:val="right"/>
      <w:pPr>
        <w:tabs>
          <w:tab w:val="num" w:pos="3855"/>
        </w:tabs>
        <w:ind w:left="3855" w:hanging="180"/>
      </w:pPr>
    </w:lvl>
    <w:lvl w:ilvl="6" w:tplc="0809000F" w:tentative="1">
      <w:start w:val="1"/>
      <w:numFmt w:val="decimal"/>
      <w:lvlText w:val="%7."/>
      <w:lvlJc w:val="left"/>
      <w:pPr>
        <w:tabs>
          <w:tab w:val="num" w:pos="4575"/>
        </w:tabs>
        <w:ind w:left="4575" w:hanging="360"/>
      </w:pPr>
    </w:lvl>
    <w:lvl w:ilvl="7" w:tplc="08090019" w:tentative="1">
      <w:start w:val="1"/>
      <w:numFmt w:val="lowerLetter"/>
      <w:lvlText w:val="%8."/>
      <w:lvlJc w:val="left"/>
      <w:pPr>
        <w:tabs>
          <w:tab w:val="num" w:pos="5295"/>
        </w:tabs>
        <w:ind w:left="5295" w:hanging="360"/>
      </w:pPr>
    </w:lvl>
    <w:lvl w:ilvl="8" w:tplc="0809001B" w:tentative="1">
      <w:start w:val="1"/>
      <w:numFmt w:val="lowerRoman"/>
      <w:lvlText w:val="%9."/>
      <w:lvlJc w:val="right"/>
      <w:pPr>
        <w:tabs>
          <w:tab w:val="num" w:pos="6015"/>
        </w:tabs>
        <w:ind w:left="6015" w:hanging="180"/>
      </w:pPr>
    </w:lvl>
  </w:abstractNum>
  <w:abstractNum w:abstractNumId="8">
    <w:nsid w:val="6BAA347B"/>
    <w:multiLevelType w:val="hybridMultilevel"/>
    <w:tmpl w:val="7DF6EC6C"/>
    <w:lvl w:ilvl="0" w:tplc="F9861B44">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num w:numId="1">
    <w:abstractNumId w:val="3"/>
  </w:num>
  <w:num w:numId="2">
    <w:abstractNumId w:val="0"/>
  </w:num>
  <w:num w:numId="3">
    <w:abstractNumId w:val="8"/>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0F49"/>
    <w:rsid w:val="00006E64"/>
    <w:rsid w:val="00010DD9"/>
    <w:rsid w:val="000248CB"/>
    <w:rsid w:val="000332A1"/>
    <w:rsid w:val="00040131"/>
    <w:rsid w:val="0004032E"/>
    <w:rsid w:val="0004270D"/>
    <w:rsid w:val="000466FB"/>
    <w:rsid w:val="00071D5F"/>
    <w:rsid w:val="00071ECF"/>
    <w:rsid w:val="00072AE8"/>
    <w:rsid w:val="000760E9"/>
    <w:rsid w:val="00084503"/>
    <w:rsid w:val="000A561E"/>
    <w:rsid w:val="000B228A"/>
    <w:rsid w:val="000D3E43"/>
    <w:rsid w:val="000E2566"/>
    <w:rsid w:val="000E6CD9"/>
    <w:rsid w:val="000E7529"/>
    <w:rsid w:val="000F1393"/>
    <w:rsid w:val="001010C3"/>
    <w:rsid w:val="00103D0A"/>
    <w:rsid w:val="00123919"/>
    <w:rsid w:val="00136915"/>
    <w:rsid w:val="00156853"/>
    <w:rsid w:val="001662C5"/>
    <w:rsid w:val="00172547"/>
    <w:rsid w:val="001752D0"/>
    <w:rsid w:val="001777CA"/>
    <w:rsid w:val="001848C9"/>
    <w:rsid w:val="00185370"/>
    <w:rsid w:val="001911E5"/>
    <w:rsid w:val="00191228"/>
    <w:rsid w:val="00195179"/>
    <w:rsid w:val="001A5901"/>
    <w:rsid w:val="001B121C"/>
    <w:rsid w:val="001D3E40"/>
    <w:rsid w:val="001D4063"/>
    <w:rsid w:val="001D5453"/>
    <w:rsid w:val="001E0B2D"/>
    <w:rsid w:val="001E6900"/>
    <w:rsid w:val="0020091C"/>
    <w:rsid w:val="002069D7"/>
    <w:rsid w:val="00212B96"/>
    <w:rsid w:val="00215591"/>
    <w:rsid w:val="00215EFD"/>
    <w:rsid w:val="00216D3E"/>
    <w:rsid w:val="002230DB"/>
    <w:rsid w:val="002358B3"/>
    <w:rsid w:val="00237EAF"/>
    <w:rsid w:val="002433BA"/>
    <w:rsid w:val="00244C09"/>
    <w:rsid w:val="0024501B"/>
    <w:rsid w:val="002460FC"/>
    <w:rsid w:val="00247257"/>
    <w:rsid w:val="00252AEF"/>
    <w:rsid w:val="002828CB"/>
    <w:rsid w:val="0029075E"/>
    <w:rsid w:val="002A140D"/>
    <w:rsid w:val="002A6EAA"/>
    <w:rsid w:val="002B76A1"/>
    <w:rsid w:val="002B7A54"/>
    <w:rsid w:val="002C3F3A"/>
    <w:rsid w:val="002D11D4"/>
    <w:rsid w:val="002D48FB"/>
    <w:rsid w:val="002D73E9"/>
    <w:rsid w:val="002E0608"/>
    <w:rsid w:val="002E4894"/>
    <w:rsid w:val="002E4F18"/>
    <w:rsid w:val="002F1396"/>
    <w:rsid w:val="002F2D26"/>
    <w:rsid w:val="003044E3"/>
    <w:rsid w:val="003067AB"/>
    <w:rsid w:val="00313909"/>
    <w:rsid w:val="003204C8"/>
    <w:rsid w:val="00332726"/>
    <w:rsid w:val="00336DB3"/>
    <w:rsid w:val="00347589"/>
    <w:rsid w:val="003513E4"/>
    <w:rsid w:val="00351568"/>
    <w:rsid w:val="003A330F"/>
    <w:rsid w:val="003A6CB1"/>
    <w:rsid w:val="003A7CCF"/>
    <w:rsid w:val="003B091C"/>
    <w:rsid w:val="003C6196"/>
    <w:rsid w:val="003D03D6"/>
    <w:rsid w:val="003E314A"/>
    <w:rsid w:val="003E465B"/>
    <w:rsid w:val="003E60CE"/>
    <w:rsid w:val="003E6A95"/>
    <w:rsid w:val="003F2C24"/>
    <w:rsid w:val="00421183"/>
    <w:rsid w:val="00427057"/>
    <w:rsid w:val="004328FA"/>
    <w:rsid w:val="00434FFC"/>
    <w:rsid w:val="004375B9"/>
    <w:rsid w:val="00437D27"/>
    <w:rsid w:val="00441B0E"/>
    <w:rsid w:val="0044515F"/>
    <w:rsid w:val="004513F3"/>
    <w:rsid w:val="004563C3"/>
    <w:rsid w:val="0045684C"/>
    <w:rsid w:val="00467C34"/>
    <w:rsid w:val="00471209"/>
    <w:rsid w:val="004844E7"/>
    <w:rsid w:val="00485F97"/>
    <w:rsid w:val="004877C7"/>
    <w:rsid w:val="00487F52"/>
    <w:rsid w:val="004A1693"/>
    <w:rsid w:val="004A209B"/>
    <w:rsid w:val="004A37CA"/>
    <w:rsid w:val="004A507B"/>
    <w:rsid w:val="004A55F9"/>
    <w:rsid w:val="004A6AB9"/>
    <w:rsid w:val="004A7E20"/>
    <w:rsid w:val="004E1583"/>
    <w:rsid w:val="004E3DDA"/>
    <w:rsid w:val="004E5851"/>
    <w:rsid w:val="004F6C56"/>
    <w:rsid w:val="00506458"/>
    <w:rsid w:val="0050731A"/>
    <w:rsid w:val="00515471"/>
    <w:rsid w:val="0051615E"/>
    <w:rsid w:val="005242BE"/>
    <w:rsid w:val="0052471A"/>
    <w:rsid w:val="00525791"/>
    <w:rsid w:val="00537EA1"/>
    <w:rsid w:val="005422B0"/>
    <w:rsid w:val="00542631"/>
    <w:rsid w:val="0055154A"/>
    <w:rsid w:val="00554EAB"/>
    <w:rsid w:val="00557220"/>
    <w:rsid w:val="00570EF8"/>
    <w:rsid w:val="00570F4C"/>
    <w:rsid w:val="00584750"/>
    <w:rsid w:val="00592129"/>
    <w:rsid w:val="00596831"/>
    <w:rsid w:val="005973D3"/>
    <w:rsid w:val="005A6D30"/>
    <w:rsid w:val="005B1BBC"/>
    <w:rsid w:val="005B6A64"/>
    <w:rsid w:val="005C023A"/>
    <w:rsid w:val="005C2C78"/>
    <w:rsid w:val="005C351D"/>
    <w:rsid w:val="005D1503"/>
    <w:rsid w:val="005E453D"/>
    <w:rsid w:val="005E461E"/>
    <w:rsid w:val="005E7A68"/>
    <w:rsid w:val="005F5D23"/>
    <w:rsid w:val="005F7CA0"/>
    <w:rsid w:val="005F7CF9"/>
    <w:rsid w:val="0060246C"/>
    <w:rsid w:val="00603FFB"/>
    <w:rsid w:val="00613457"/>
    <w:rsid w:val="006145AC"/>
    <w:rsid w:val="00614B3B"/>
    <w:rsid w:val="0061666A"/>
    <w:rsid w:val="00622922"/>
    <w:rsid w:val="00626A5A"/>
    <w:rsid w:val="00644100"/>
    <w:rsid w:val="00651DEE"/>
    <w:rsid w:val="006546B4"/>
    <w:rsid w:val="0065509E"/>
    <w:rsid w:val="00657DA3"/>
    <w:rsid w:val="00672362"/>
    <w:rsid w:val="00674AF5"/>
    <w:rsid w:val="006755A9"/>
    <w:rsid w:val="006817ED"/>
    <w:rsid w:val="00681AFF"/>
    <w:rsid w:val="006863D9"/>
    <w:rsid w:val="006864CD"/>
    <w:rsid w:val="00687604"/>
    <w:rsid w:val="00696AB8"/>
    <w:rsid w:val="006A1275"/>
    <w:rsid w:val="006B48B7"/>
    <w:rsid w:val="006B5726"/>
    <w:rsid w:val="006D4EE9"/>
    <w:rsid w:val="006D54D0"/>
    <w:rsid w:val="006D614D"/>
    <w:rsid w:val="006F390A"/>
    <w:rsid w:val="006F5635"/>
    <w:rsid w:val="0070618E"/>
    <w:rsid w:val="007121CC"/>
    <w:rsid w:val="00720F49"/>
    <w:rsid w:val="00720FE3"/>
    <w:rsid w:val="00724E4A"/>
    <w:rsid w:val="00724FB3"/>
    <w:rsid w:val="0073050D"/>
    <w:rsid w:val="007406EB"/>
    <w:rsid w:val="007428B2"/>
    <w:rsid w:val="00752FB5"/>
    <w:rsid w:val="007612F7"/>
    <w:rsid w:val="007750E4"/>
    <w:rsid w:val="00775520"/>
    <w:rsid w:val="00787075"/>
    <w:rsid w:val="007A35F2"/>
    <w:rsid w:val="007A54B8"/>
    <w:rsid w:val="007A5ED6"/>
    <w:rsid w:val="007A6726"/>
    <w:rsid w:val="007A752D"/>
    <w:rsid w:val="007B4226"/>
    <w:rsid w:val="007C0C7C"/>
    <w:rsid w:val="007C469E"/>
    <w:rsid w:val="007C59A8"/>
    <w:rsid w:val="007C734F"/>
    <w:rsid w:val="007D0164"/>
    <w:rsid w:val="007D10A8"/>
    <w:rsid w:val="007D16FE"/>
    <w:rsid w:val="007E1AF7"/>
    <w:rsid w:val="007E33F2"/>
    <w:rsid w:val="007E3996"/>
    <w:rsid w:val="0080114B"/>
    <w:rsid w:val="00801E57"/>
    <w:rsid w:val="00815C03"/>
    <w:rsid w:val="00816114"/>
    <w:rsid w:val="00833BCB"/>
    <w:rsid w:val="0084128C"/>
    <w:rsid w:val="00847586"/>
    <w:rsid w:val="00847A8E"/>
    <w:rsid w:val="00852BC2"/>
    <w:rsid w:val="008559B4"/>
    <w:rsid w:val="00862599"/>
    <w:rsid w:val="008640B4"/>
    <w:rsid w:val="00871988"/>
    <w:rsid w:val="00872EF5"/>
    <w:rsid w:val="00877EBB"/>
    <w:rsid w:val="00885BCD"/>
    <w:rsid w:val="00885FCB"/>
    <w:rsid w:val="00895B8B"/>
    <w:rsid w:val="008A3669"/>
    <w:rsid w:val="008A7A96"/>
    <w:rsid w:val="008B3A31"/>
    <w:rsid w:val="008C14D1"/>
    <w:rsid w:val="008C19B2"/>
    <w:rsid w:val="008D231C"/>
    <w:rsid w:val="008D4732"/>
    <w:rsid w:val="008D51E1"/>
    <w:rsid w:val="008E1609"/>
    <w:rsid w:val="008E7D3F"/>
    <w:rsid w:val="00900914"/>
    <w:rsid w:val="009042B6"/>
    <w:rsid w:val="00904F3C"/>
    <w:rsid w:val="00907A01"/>
    <w:rsid w:val="009119BF"/>
    <w:rsid w:val="00913564"/>
    <w:rsid w:val="009147A4"/>
    <w:rsid w:val="00923646"/>
    <w:rsid w:val="009311FD"/>
    <w:rsid w:val="00931E06"/>
    <w:rsid w:val="009343BE"/>
    <w:rsid w:val="00936481"/>
    <w:rsid w:val="0094002B"/>
    <w:rsid w:val="00941948"/>
    <w:rsid w:val="0095028A"/>
    <w:rsid w:val="00951AC9"/>
    <w:rsid w:val="009557E2"/>
    <w:rsid w:val="009564F6"/>
    <w:rsid w:val="009606B8"/>
    <w:rsid w:val="00962D5E"/>
    <w:rsid w:val="00966E15"/>
    <w:rsid w:val="00972E13"/>
    <w:rsid w:val="009734F6"/>
    <w:rsid w:val="00974F44"/>
    <w:rsid w:val="00981778"/>
    <w:rsid w:val="00984029"/>
    <w:rsid w:val="00984B58"/>
    <w:rsid w:val="009B00E0"/>
    <w:rsid w:val="009C0201"/>
    <w:rsid w:val="009E1FE0"/>
    <w:rsid w:val="009E7566"/>
    <w:rsid w:val="009F1ADE"/>
    <w:rsid w:val="009F3A6F"/>
    <w:rsid w:val="00A008E7"/>
    <w:rsid w:val="00A033A1"/>
    <w:rsid w:val="00A06FDA"/>
    <w:rsid w:val="00A12BB0"/>
    <w:rsid w:val="00A17CE1"/>
    <w:rsid w:val="00A2181F"/>
    <w:rsid w:val="00A2388D"/>
    <w:rsid w:val="00A26352"/>
    <w:rsid w:val="00A269B1"/>
    <w:rsid w:val="00A31D65"/>
    <w:rsid w:val="00A35FCC"/>
    <w:rsid w:val="00A431AE"/>
    <w:rsid w:val="00A46381"/>
    <w:rsid w:val="00A47D0C"/>
    <w:rsid w:val="00A522B3"/>
    <w:rsid w:val="00A53207"/>
    <w:rsid w:val="00A55616"/>
    <w:rsid w:val="00A64E6F"/>
    <w:rsid w:val="00A66C33"/>
    <w:rsid w:val="00AA0AA5"/>
    <w:rsid w:val="00AA303B"/>
    <w:rsid w:val="00AA4293"/>
    <w:rsid w:val="00AA65A7"/>
    <w:rsid w:val="00AD1EEC"/>
    <w:rsid w:val="00AD3778"/>
    <w:rsid w:val="00AD3BF5"/>
    <w:rsid w:val="00B0143E"/>
    <w:rsid w:val="00B036B3"/>
    <w:rsid w:val="00B1099A"/>
    <w:rsid w:val="00B1248C"/>
    <w:rsid w:val="00B21380"/>
    <w:rsid w:val="00B25F22"/>
    <w:rsid w:val="00B31B3B"/>
    <w:rsid w:val="00B413D6"/>
    <w:rsid w:val="00B50FA7"/>
    <w:rsid w:val="00B53BDD"/>
    <w:rsid w:val="00B5488A"/>
    <w:rsid w:val="00B57505"/>
    <w:rsid w:val="00B6169B"/>
    <w:rsid w:val="00B66E61"/>
    <w:rsid w:val="00B75903"/>
    <w:rsid w:val="00B85DF4"/>
    <w:rsid w:val="00B9306F"/>
    <w:rsid w:val="00B973F5"/>
    <w:rsid w:val="00BA1B25"/>
    <w:rsid w:val="00BA2403"/>
    <w:rsid w:val="00BA4952"/>
    <w:rsid w:val="00BB3ACF"/>
    <w:rsid w:val="00BC29A3"/>
    <w:rsid w:val="00BC2DDC"/>
    <w:rsid w:val="00BD1FF0"/>
    <w:rsid w:val="00BE5CB9"/>
    <w:rsid w:val="00BF4546"/>
    <w:rsid w:val="00C07108"/>
    <w:rsid w:val="00C101CC"/>
    <w:rsid w:val="00C10F47"/>
    <w:rsid w:val="00C154DC"/>
    <w:rsid w:val="00C2518C"/>
    <w:rsid w:val="00C328B6"/>
    <w:rsid w:val="00C339EE"/>
    <w:rsid w:val="00C35F63"/>
    <w:rsid w:val="00C36EC4"/>
    <w:rsid w:val="00C415B1"/>
    <w:rsid w:val="00C4725D"/>
    <w:rsid w:val="00C4766F"/>
    <w:rsid w:val="00C55C9F"/>
    <w:rsid w:val="00C6047E"/>
    <w:rsid w:val="00C620C6"/>
    <w:rsid w:val="00C642F9"/>
    <w:rsid w:val="00C81434"/>
    <w:rsid w:val="00C90453"/>
    <w:rsid w:val="00C90619"/>
    <w:rsid w:val="00C92FDA"/>
    <w:rsid w:val="00C9631E"/>
    <w:rsid w:val="00CA2843"/>
    <w:rsid w:val="00CA435C"/>
    <w:rsid w:val="00CA4388"/>
    <w:rsid w:val="00CB2516"/>
    <w:rsid w:val="00CC2670"/>
    <w:rsid w:val="00CD3A7D"/>
    <w:rsid w:val="00CD73E8"/>
    <w:rsid w:val="00CE129F"/>
    <w:rsid w:val="00CE13AD"/>
    <w:rsid w:val="00CE24BF"/>
    <w:rsid w:val="00CE6A69"/>
    <w:rsid w:val="00CF0294"/>
    <w:rsid w:val="00CF16C9"/>
    <w:rsid w:val="00CF29F9"/>
    <w:rsid w:val="00CF4C46"/>
    <w:rsid w:val="00CF5510"/>
    <w:rsid w:val="00D12E89"/>
    <w:rsid w:val="00D16BFC"/>
    <w:rsid w:val="00D25AF8"/>
    <w:rsid w:val="00D36BE1"/>
    <w:rsid w:val="00D4035E"/>
    <w:rsid w:val="00D50FEC"/>
    <w:rsid w:val="00D54477"/>
    <w:rsid w:val="00D81BC8"/>
    <w:rsid w:val="00D81E12"/>
    <w:rsid w:val="00D82AE0"/>
    <w:rsid w:val="00D83315"/>
    <w:rsid w:val="00DA14AD"/>
    <w:rsid w:val="00DB6463"/>
    <w:rsid w:val="00DC0AC1"/>
    <w:rsid w:val="00DC15F8"/>
    <w:rsid w:val="00DC219E"/>
    <w:rsid w:val="00DD4860"/>
    <w:rsid w:val="00DD4991"/>
    <w:rsid w:val="00DD6E6E"/>
    <w:rsid w:val="00DE2EBF"/>
    <w:rsid w:val="00DF1C7B"/>
    <w:rsid w:val="00DF5E11"/>
    <w:rsid w:val="00E01BC6"/>
    <w:rsid w:val="00E01DD5"/>
    <w:rsid w:val="00E069CA"/>
    <w:rsid w:val="00E10C98"/>
    <w:rsid w:val="00E2715E"/>
    <w:rsid w:val="00E35025"/>
    <w:rsid w:val="00E40703"/>
    <w:rsid w:val="00E46A8A"/>
    <w:rsid w:val="00E478C0"/>
    <w:rsid w:val="00E5170E"/>
    <w:rsid w:val="00E536A9"/>
    <w:rsid w:val="00E70E6A"/>
    <w:rsid w:val="00E760FA"/>
    <w:rsid w:val="00E8726F"/>
    <w:rsid w:val="00E93307"/>
    <w:rsid w:val="00E96398"/>
    <w:rsid w:val="00E96FE3"/>
    <w:rsid w:val="00EB0517"/>
    <w:rsid w:val="00EB7705"/>
    <w:rsid w:val="00EC18F6"/>
    <w:rsid w:val="00EC33BD"/>
    <w:rsid w:val="00EC5A15"/>
    <w:rsid w:val="00EC7104"/>
    <w:rsid w:val="00ED5FD2"/>
    <w:rsid w:val="00ED6943"/>
    <w:rsid w:val="00EF4C97"/>
    <w:rsid w:val="00F072BC"/>
    <w:rsid w:val="00F15657"/>
    <w:rsid w:val="00F1567B"/>
    <w:rsid w:val="00F16B01"/>
    <w:rsid w:val="00F21D22"/>
    <w:rsid w:val="00F2307F"/>
    <w:rsid w:val="00F23D0F"/>
    <w:rsid w:val="00F25FE5"/>
    <w:rsid w:val="00F3285A"/>
    <w:rsid w:val="00F53AF3"/>
    <w:rsid w:val="00F729E5"/>
    <w:rsid w:val="00F72BED"/>
    <w:rsid w:val="00F8146C"/>
    <w:rsid w:val="00F81A58"/>
    <w:rsid w:val="00F8200D"/>
    <w:rsid w:val="00F87F20"/>
    <w:rsid w:val="00F90E27"/>
    <w:rsid w:val="00FA0AD5"/>
    <w:rsid w:val="00FB519F"/>
    <w:rsid w:val="00FC0DC5"/>
    <w:rsid w:val="00FC39D2"/>
    <w:rsid w:val="00FD0BE7"/>
    <w:rsid w:val="00FD2DF7"/>
    <w:rsid w:val="00FE2E6F"/>
    <w:rsid w:val="00FF2C15"/>
    <w:rsid w:val="00FF383B"/>
    <w:rsid w:val="00FF686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9B0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qFormat="1"/>
    <w:lsdException w:name="caption" w:qFormat="1"/>
    <w:lsdException w:name="footnote reference" w:uiPriority="99"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iPriority="22"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752D"/>
    <w:rPr>
      <w:sz w:val="24"/>
      <w:szCs w:val="24"/>
    </w:rPr>
  </w:style>
  <w:style w:type="paragraph" w:styleId="Heading1">
    <w:name w:val="heading 1"/>
    <w:basedOn w:val="Normal"/>
    <w:next w:val="Normal"/>
    <w:qFormat/>
    <w:rsid w:val="00674AF5"/>
    <w:pPr>
      <w:keepNext/>
      <w:outlineLvl w:val="0"/>
    </w:pPr>
    <w:rPr>
      <w:b/>
      <w:bCs/>
    </w:rPr>
  </w:style>
  <w:style w:type="paragraph" w:styleId="Heading2">
    <w:name w:val="heading 2"/>
    <w:basedOn w:val="Normal"/>
    <w:next w:val="Normal"/>
    <w:link w:val="Heading2Char"/>
    <w:semiHidden/>
    <w:unhideWhenUsed/>
    <w:qFormat/>
    <w:rsid w:val="0024501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turnAddress">
    <w:name w:val="Return Address"/>
    <w:basedOn w:val="Normal"/>
    <w:rsid w:val="005F5D23"/>
    <w:pPr>
      <w:keepLines/>
      <w:framePr w:w="3413" w:h="1022" w:hRule="exact" w:hSpace="187" w:wrap="notBeside" w:vAnchor="page" w:hAnchor="page" w:xAlign="right" w:y="721" w:anchorLock="1"/>
      <w:spacing w:line="200" w:lineRule="atLeast"/>
    </w:pPr>
    <w:rPr>
      <w:sz w:val="16"/>
      <w:szCs w:val="20"/>
    </w:rPr>
  </w:style>
  <w:style w:type="paragraph" w:customStyle="1" w:styleId="Slogan">
    <w:name w:val="Slogan"/>
    <w:basedOn w:val="Normal"/>
    <w:rsid w:val="005F5D23"/>
    <w:pPr>
      <w:framePr w:w="5170" w:h="1685" w:hRule="exact" w:hSpace="187" w:vSpace="187" w:wrap="around" w:vAnchor="page" w:hAnchor="page" w:x="966" w:yAlign="bottom" w:anchorLock="1"/>
    </w:pPr>
    <w:rPr>
      <w:i/>
      <w:spacing w:val="-6"/>
      <w:szCs w:val="20"/>
    </w:rPr>
  </w:style>
  <w:style w:type="paragraph" w:styleId="BalloonText">
    <w:name w:val="Balloon Text"/>
    <w:basedOn w:val="Normal"/>
    <w:semiHidden/>
    <w:rsid w:val="00570EF8"/>
    <w:rPr>
      <w:rFonts w:ascii="Tahoma" w:hAnsi="Tahoma" w:cs="Tahoma"/>
      <w:sz w:val="16"/>
      <w:szCs w:val="16"/>
    </w:rPr>
  </w:style>
  <w:style w:type="character" w:styleId="Hyperlink">
    <w:name w:val="Hyperlink"/>
    <w:basedOn w:val="DefaultParagraphFont"/>
    <w:rsid w:val="00674AF5"/>
    <w:rPr>
      <w:color w:val="0000FF"/>
      <w:u w:val="single"/>
    </w:rPr>
  </w:style>
  <w:style w:type="paragraph" w:styleId="BodyText">
    <w:name w:val="Body Text"/>
    <w:basedOn w:val="Normal"/>
    <w:rsid w:val="00AD1EEC"/>
    <w:rPr>
      <w:rFonts w:ascii="Arial" w:hAnsi="Arial"/>
      <w:szCs w:val="20"/>
    </w:rPr>
  </w:style>
  <w:style w:type="paragraph" w:styleId="Header">
    <w:name w:val="header"/>
    <w:basedOn w:val="Normal"/>
    <w:rsid w:val="00900914"/>
    <w:pPr>
      <w:tabs>
        <w:tab w:val="center" w:pos="4320"/>
        <w:tab w:val="right" w:pos="8640"/>
      </w:tabs>
    </w:pPr>
  </w:style>
  <w:style w:type="paragraph" w:styleId="Footer">
    <w:name w:val="footer"/>
    <w:basedOn w:val="Normal"/>
    <w:rsid w:val="00900914"/>
    <w:pPr>
      <w:tabs>
        <w:tab w:val="center" w:pos="4320"/>
        <w:tab w:val="right" w:pos="8640"/>
      </w:tabs>
    </w:pPr>
  </w:style>
  <w:style w:type="table" w:styleId="TableGrid">
    <w:name w:val="Table Grid"/>
    <w:basedOn w:val="TableNormal"/>
    <w:rsid w:val="00FF38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114B"/>
    <w:pPr>
      <w:ind w:left="720"/>
      <w:contextualSpacing/>
    </w:pPr>
  </w:style>
  <w:style w:type="paragraph" w:styleId="NormalWeb">
    <w:name w:val="Normal (Web)"/>
    <w:basedOn w:val="Normal"/>
    <w:uiPriority w:val="99"/>
    <w:unhideWhenUsed/>
    <w:rsid w:val="00CF29F9"/>
    <w:pPr>
      <w:spacing w:before="100" w:beforeAutospacing="1" w:after="100" w:afterAutospacing="1"/>
    </w:pPr>
    <w:rPr>
      <w:lang w:val="en-ZA" w:eastAsia="en-ZA"/>
    </w:rPr>
  </w:style>
  <w:style w:type="character" w:styleId="Strong">
    <w:name w:val="Strong"/>
    <w:basedOn w:val="DefaultParagraphFont"/>
    <w:uiPriority w:val="22"/>
    <w:qFormat/>
    <w:rsid w:val="00CE6A69"/>
    <w:rPr>
      <w:b/>
      <w:bCs/>
    </w:rPr>
  </w:style>
  <w:style w:type="character" w:customStyle="1" w:styleId="Heading2Char">
    <w:name w:val="Heading 2 Char"/>
    <w:basedOn w:val="DefaultParagraphFont"/>
    <w:link w:val="Heading2"/>
    <w:semiHidden/>
    <w:rsid w:val="0024501B"/>
    <w:rPr>
      <w:rFonts w:asciiTheme="majorHAnsi" w:eastAsiaTheme="majorEastAsia" w:hAnsiTheme="majorHAnsi" w:cstheme="majorBidi"/>
      <w:color w:val="365F91" w:themeColor="accent1" w:themeShade="BF"/>
      <w:sz w:val="26"/>
      <w:szCs w:val="26"/>
    </w:rPr>
  </w:style>
  <w:style w:type="character" w:customStyle="1" w:styleId="markedcontent">
    <w:name w:val="markedcontent"/>
    <w:basedOn w:val="DefaultParagraphFont"/>
    <w:rsid w:val="00C4766F"/>
  </w:style>
  <w:style w:type="character" w:customStyle="1" w:styleId="UnresolvedMention1">
    <w:name w:val="Unresolved Mention1"/>
    <w:basedOn w:val="DefaultParagraphFont"/>
    <w:uiPriority w:val="99"/>
    <w:semiHidden/>
    <w:unhideWhenUsed/>
    <w:rsid w:val="00EC18F6"/>
    <w:rPr>
      <w:color w:val="605E5C"/>
      <w:shd w:val="clear" w:color="auto" w:fill="E1DFDD"/>
    </w:rPr>
  </w:style>
  <w:style w:type="paragraph" w:styleId="FootnoteText">
    <w:name w:val="footnote text"/>
    <w:aliases w:val="Footnote Text Char Char,Footnote Text Char1 Char Char,Footnote Text Char Char Char Char,Footnote Text Char1 Char Char Char Char,Footnote Char Char Char Char Char,Footnote Text Char Char Char Char Char Char,Footnotes,fn,Footnote Text Char1"/>
    <w:basedOn w:val="Normal"/>
    <w:link w:val="FootnoteTextChar"/>
    <w:uiPriority w:val="99"/>
    <w:unhideWhenUsed/>
    <w:qFormat/>
    <w:rsid w:val="00DD4860"/>
    <w:rPr>
      <w:rFonts w:asciiTheme="minorHAnsi" w:hAnsiTheme="minorHAnsi"/>
      <w:sz w:val="20"/>
      <w:szCs w:val="20"/>
      <w:lang w:val="en-ZA"/>
    </w:rPr>
  </w:style>
  <w:style w:type="character" w:customStyle="1" w:styleId="FootnoteTextChar">
    <w:name w:val="Footnote Text Char"/>
    <w:aliases w:val="Footnote Text Char Char Char,Footnote Text Char1 Char Char Char,Footnote Text Char Char Char Char Char,Footnote Text Char1 Char Char Char Char Char,Footnote Char Char Char Char Char Char,Footnotes Char,fn Char,Footnote Text Char1 Char"/>
    <w:basedOn w:val="DefaultParagraphFont"/>
    <w:link w:val="FootnoteText"/>
    <w:uiPriority w:val="99"/>
    <w:rsid w:val="00DD4860"/>
    <w:rPr>
      <w:rFonts w:asciiTheme="minorHAnsi" w:hAnsiTheme="minorHAnsi"/>
      <w:lang w:val="en-ZA"/>
    </w:rPr>
  </w:style>
  <w:style w:type="character" w:styleId="FootnoteReference">
    <w:name w:val="footnote reference"/>
    <w:aliases w:val="Ref,de nota al pie,註腳內容,Footnote symbol,Style 12,(NECG) Footnote Reference,Footnotes refss,Appel note de bas de page,fr,Footnote Reference in text,Footnote Reference Superscript,Footnote Reference Number,Footnote Reference_LVL6,ftref"/>
    <w:basedOn w:val="DefaultParagraphFont"/>
    <w:uiPriority w:val="99"/>
    <w:unhideWhenUsed/>
    <w:qFormat/>
    <w:rsid w:val="00DD4860"/>
    <w:rPr>
      <w:rFonts w:cs="Times New Roman"/>
      <w:vertAlign w:val="superscript"/>
    </w:rPr>
  </w:style>
  <w:style w:type="paragraph" w:customStyle="1" w:styleId="Default">
    <w:name w:val="Default"/>
    <w:rsid w:val="00E01DD5"/>
    <w:pPr>
      <w:autoSpaceDE w:val="0"/>
      <w:autoSpaceDN w:val="0"/>
      <w:adjustRightInd w:val="0"/>
    </w:pPr>
    <w:rPr>
      <w:color w:val="000000"/>
      <w:sz w:val="24"/>
      <w:szCs w:val="24"/>
      <w:lang w:val="en-Z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qFormat="1"/>
    <w:lsdException w:name="caption" w:qFormat="1"/>
    <w:lsdException w:name="footnote reference" w:uiPriority="99"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iPriority="22"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752D"/>
    <w:rPr>
      <w:sz w:val="24"/>
      <w:szCs w:val="24"/>
    </w:rPr>
  </w:style>
  <w:style w:type="paragraph" w:styleId="Heading1">
    <w:name w:val="heading 1"/>
    <w:basedOn w:val="Normal"/>
    <w:next w:val="Normal"/>
    <w:qFormat/>
    <w:rsid w:val="00674AF5"/>
    <w:pPr>
      <w:keepNext/>
      <w:outlineLvl w:val="0"/>
    </w:pPr>
    <w:rPr>
      <w:b/>
      <w:bCs/>
    </w:rPr>
  </w:style>
  <w:style w:type="paragraph" w:styleId="Heading2">
    <w:name w:val="heading 2"/>
    <w:basedOn w:val="Normal"/>
    <w:next w:val="Normal"/>
    <w:link w:val="Heading2Char"/>
    <w:semiHidden/>
    <w:unhideWhenUsed/>
    <w:qFormat/>
    <w:rsid w:val="0024501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turnAddress">
    <w:name w:val="Return Address"/>
    <w:basedOn w:val="Normal"/>
    <w:rsid w:val="005F5D23"/>
    <w:pPr>
      <w:keepLines/>
      <w:framePr w:w="3413" w:h="1022" w:hRule="exact" w:hSpace="187" w:wrap="notBeside" w:vAnchor="page" w:hAnchor="page" w:xAlign="right" w:y="721" w:anchorLock="1"/>
      <w:spacing w:line="200" w:lineRule="atLeast"/>
    </w:pPr>
    <w:rPr>
      <w:sz w:val="16"/>
      <w:szCs w:val="20"/>
    </w:rPr>
  </w:style>
  <w:style w:type="paragraph" w:customStyle="1" w:styleId="Slogan">
    <w:name w:val="Slogan"/>
    <w:basedOn w:val="Normal"/>
    <w:rsid w:val="005F5D23"/>
    <w:pPr>
      <w:framePr w:w="5170" w:h="1685" w:hRule="exact" w:hSpace="187" w:vSpace="187" w:wrap="around" w:vAnchor="page" w:hAnchor="page" w:x="966" w:yAlign="bottom" w:anchorLock="1"/>
    </w:pPr>
    <w:rPr>
      <w:i/>
      <w:spacing w:val="-6"/>
      <w:szCs w:val="20"/>
    </w:rPr>
  </w:style>
  <w:style w:type="paragraph" w:styleId="BalloonText">
    <w:name w:val="Balloon Text"/>
    <w:basedOn w:val="Normal"/>
    <w:semiHidden/>
    <w:rsid w:val="00570EF8"/>
    <w:rPr>
      <w:rFonts w:ascii="Tahoma" w:hAnsi="Tahoma" w:cs="Tahoma"/>
      <w:sz w:val="16"/>
      <w:szCs w:val="16"/>
    </w:rPr>
  </w:style>
  <w:style w:type="character" w:styleId="Hyperlink">
    <w:name w:val="Hyperlink"/>
    <w:basedOn w:val="DefaultParagraphFont"/>
    <w:rsid w:val="00674AF5"/>
    <w:rPr>
      <w:color w:val="0000FF"/>
      <w:u w:val="single"/>
    </w:rPr>
  </w:style>
  <w:style w:type="paragraph" w:styleId="BodyText">
    <w:name w:val="Body Text"/>
    <w:basedOn w:val="Normal"/>
    <w:rsid w:val="00AD1EEC"/>
    <w:rPr>
      <w:rFonts w:ascii="Arial" w:hAnsi="Arial"/>
      <w:szCs w:val="20"/>
    </w:rPr>
  </w:style>
  <w:style w:type="paragraph" w:styleId="Header">
    <w:name w:val="header"/>
    <w:basedOn w:val="Normal"/>
    <w:rsid w:val="00900914"/>
    <w:pPr>
      <w:tabs>
        <w:tab w:val="center" w:pos="4320"/>
        <w:tab w:val="right" w:pos="8640"/>
      </w:tabs>
    </w:pPr>
  </w:style>
  <w:style w:type="paragraph" w:styleId="Footer">
    <w:name w:val="footer"/>
    <w:basedOn w:val="Normal"/>
    <w:rsid w:val="00900914"/>
    <w:pPr>
      <w:tabs>
        <w:tab w:val="center" w:pos="4320"/>
        <w:tab w:val="right" w:pos="8640"/>
      </w:tabs>
    </w:pPr>
  </w:style>
  <w:style w:type="table" w:styleId="TableGrid">
    <w:name w:val="Table Grid"/>
    <w:basedOn w:val="TableNormal"/>
    <w:rsid w:val="00FF38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114B"/>
    <w:pPr>
      <w:ind w:left="720"/>
      <w:contextualSpacing/>
    </w:pPr>
  </w:style>
  <w:style w:type="paragraph" w:styleId="NormalWeb">
    <w:name w:val="Normal (Web)"/>
    <w:basedOn w:val="Normal"/>
    <w:uiPriority w:val="99"/>
    <w:unhideWhenUsed/>
    <w:rsid w:val="00CF29F9"/>
    <w:pPr>
      <w:spacing w:before="100" w:beforeAutospacing="1" w:after="100" w:afterAutospacing="1"/>
    </w:pPr>
    <w:rPr>
      <w:lang w:val="en-ZA" w:eastAsia="en-ZA"/>
    </w:rPr>
  </w:style>
  <w:style w:type="character" w:styleId="Strong">
    <w:name w:val="Strong"/>
    <w:basedOn w:val="DefaultParagraphFont"/>
    <w:uiPriority w:val="22"/>
    <w:qFormat/>
    <w:rsid w:val="00CE6A69"/>
    <w:rPr>
      <w:b/>
      <w:bCs/>
    </w:rPr>
  </w:style>
  <w:style w:type="character" w:customStyle="1" w:styleId="Heading2Char">
    <w:name w:val="Heading 2 Char"/>
    <w:basedOn w:val="DefaultParagraphFont"/>
    <w:link w:val="Heading2"/>
    <w:semiHidden/>
    <w:rsid w:val="0024501B"/>
    <w:rPr>
      <w:rFonts w:asciiTheme="majorHAnsi" w:eastAsiaTheme="majorEastAsia" w:hAnsiTheme="majorHAnsi" w:cstheme="majorBidi"/>
      <w:color w:val="365F91" w:themeColor="accent1" w:themeShade="BF"/>
      <w:sz w:val="26"/>
      <w:szCs w:val="26"/>
    </w:rPr>
  </w:style>
  <w:style w:type="character" w:customStyle="1" w:styleId="markedcontent">
    <w:name w:val="markedcontent"/>
    <w:basedOn w:val="DefaultParagraphFont"/>
    <w:rsid w:val="00C4766F"/>
  </w:style>
  <w:style w:type="character" w:customStyle="1" w:styleId="UnresolvedMention1">
    <w:name w:val="Unresolved Mention1"/>
    <w:basedOn w:val="DefaultParagraphFont"/>
    <w:uiPriority w:val="99"/>
    <w:semiHidden/>
    <w:unhideWhenUsed/>
    <w:rsid w:val="00EC18F6"/>
    <w:rPr>
      <w:color w:val="605E5C"/>
      <w:shd w:val="clear" w:color="auto" w:fill="E1DFDD"/>
    </w:rPr>
  </w:style>
  <w:style w:type="paragraph" w:styleId="FootnoteText">
    <w:name w:val="footnote text"/>
    <w:aliases w:val="Footnote Text Char Char,Footnote Text Char1 Char Char,Footnote Text Char Char Char Char,Footnote Text Char1 Char Char Char Char,Footnote Char Char Char Char Char,Footnote Text Char Char Char Char Char Char,Footnotes,fn,Footnote Text Char1"/>
    <w:basedOn w:val="Normal"/>
    <w:link w:val="FootnoteTextChar"/>
    <w:uiPriority w:val="99"/>
    <w:unhideWhenUsed/>
    <w:qFormat/>
    <w:rsid w:val="00DD4860"/>
    <w:rPr>
      <w:rFonts w:asciiTheme="minorHAnsi" w:hAnsiTheme="minorHAnsi"/>
      <w:sz w:val="20"/>
      <w:szCs w:val="20"/>
      <w:lang w:val="en-ZA"/>
    </w:rPr>
  </w:style>
  <w:style w:type="character" w:customStyle="1" w:styleId="FootnoteTextChar">
    <w:name w:val="Footnote Text Char"/>
    <w:aliases w:val="Footnote Text Char Char Char,Footnote Text Char1 Char Char Char,Footnote Text Char Char Char Char Char,Footnote Text Char1 Char Char Char Char Char,Footnote Char Char Char Char Char Char,Footnotes Char,fn Char,Footnote Text Char1 Char"/>
    <w:basedOn w:val="DefaultParagraphFont"/>
    <w:link w:val="FootnoteText"/>
    <w:uiPriority w:val="99"/>
    <w:rsid w:val="00DD4860"/>
    <w:rPr>
      <w:rFonts w:asciiTheme="minorHAnsi" w:hAnsiTheme="minorHAnsi"/>
      <w:lang w:val="en-ZA"/>
    </w:rPr>
  </w:style>
  <w:style w:type="character" w:styleId="FootnoteReference">
    <w:name w:val="footnote reference"/>
    <w:aliases w:val="Ref,de nota al pie,註腳內容,Footnote symbol,Style 12,(NECG) Footnote Reference,Footnotes refss,Appel note de bas de page,fr,Footnote Reference in text,Footnote Reference Superscript,Footnote Reference Number,Footnote Reference_LVL6,ftref"/>
    <w:basedOn w:val="DefaultParagraphFont"/>
    <w:uiPriority w:val="99"/>
    <w:unhideWhenUsed/>
    <w:qFormat/>
    <w:rsid w:val="00DD4860"/>
    <w:rPr>
      <w:rFonts w:cs="Times New Roman"/>
      <w:vertAlign w:val="superscript"/>
    </w:rPr>
  </w:style>
  <w:style w:type="paragraph" w:customStyle="1" w:styleId="Default">
    <w:name w:val="Default"/>
    <w:rsid w:val="00E01DD5"/>
    <w:pPr>
      <w:autoSpaceDE w:val="0"/>
      <w:autoSpaceDN w:val="0"/>
      <w:adjustRightInd w:val="0"/>
    </w:pPr>
    <w:rPr>
      <w:color w:val="000000"/>
      <w:sz w:val="24"/>
      <w:szCs w:val="24"/>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973909">
      <w:bodyDiv w:val="1"/>
      <w:marLeft w:val="0"/>
      <w:marRight w:val="0"/>
      <w:marTop w:val="0"/>
      <w:marBottom w:val="0"/>
      <w:divBdr>
        <w:top w:val="none" w:sz="0" w:space="0" w:color="auto"/>
        <w:left w:val="none" w:sz="0" w:space="0" w:color="auto"/>
        <w:bottom w:val="none" w:sz="0" w:space="0" w:color="auto"/>
        <w:right w:val="none" w:sz="0" w:space="0" w:color="auto"/>
      </w:divBdr>
    </w:div>
    <w:div w:id="71045809">
      <w:bodyDiv w:val="1"/>
      <w:marLeft w:val="0"/>
      <w:marRight w:val="0"/>
      <w:marTop w:val="0"/>
      <w:marBottom w:val="0"/>
      <w:divBdr>
        <w:top w:val="none" w:sz="0" w:space="0" w:color="auto"/>
        <w:left w:val="none" w:sz="0" w:space="0" w:color="auto"/>
        <w:bottom w:val="none" w:sz="0" w:space="0" w:color="auto"/>
        <w:right w:val="none" w:sz="0" w:space="0" w:color="auto"/>
      </w:divBdr>
    </w:div>
    <w:div w:id="164247330">
      <w:bodyDiv w:val="1"/>
      <w:marLeft w:val="0"/>
      <w:marRight w:val="0"/>
      <w:marTop w:val="0"/>
      <w:marBottom w:val="0"/>
      <w:divBdr>
        <w:top w:val="none" w:sz="0" w:space="0" w:color="auto"/>
        <w:left w:val="none" w:sz="0" w:space="0" w:color="auto"/>
        <w:bottom w:val="none" w:sz="0" w:space="0" w:color="auto"/>
        <w:right w:val="none" w:sz="0" w:space="0" w:color="auto"/>
      </w:divBdr>
      <w:divsChild>
        <w:div w:id="1555391302">
          <w:marLeft w:val="0"/>
          <w:marRight w:val="0"/>
          <w:marTop w:val="0"/>
          <w:marBottom w:val="0"/>
          <w:divBdr>
            <w:top w:val="none" w:sz="0" w:space="0" w:color="auto"/>
            <w:left w:val="none" w:sz="0" w:space="0" w:color="auto"/>
            <w:bottom w:val="none" w:sz="0" w:space="0" w:color="auto"/>
            <w:right w:val="none" w:sz="0" w:space="0" w:color="auto"/>
          </w:divBdr>
          <w:divsChild>
            <w:div w:id="423192422">
              <w:marLeft w:val="0"/>
              <w:marRight w:val="0"/>
              <w:marTop w:val="0"/>
              <w:marBottom w:val="0"/>
              <w:divBdr>
                <w:top w:val="none" w:sz="0" w:space="0" w:color="auto"/>
                <w:left w:val="none" w:sz="0" w:space="0" w:color="auto"/>
                <w:bottom w:val="none" w:sz="0" w:space="0" w:color="auto"/>
                <w:right w:val="none" w:sz="0" w:space="0" w:color="auto"/>
              </w:divBdr>
              <w:divsChild>
                <w:div w:id="90028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244790">
      <w:bodyDiv w:val="1"/>
      <w:marLeft w:val="0"/>
      <w:marRight w:val="0"/>
      <w:marTop w:val="0"/>
      <w:marBottom w:val="0"/>
      <w:divBdr>
        <w:top w:val="none" w:sz="0" w:space="0" w:color="auto"/>
        <w:left w:val="none" w:sz="0" w:space="0" w:color="auto"/>
        <w:bottom w:val="none" w:sz="0" w:space="0" w:color="auto"/>
        <w:right w:val="none" w:sz="0" w:space="0" w:color="auto"/>
      </w:divBdr>
    </w:div>
    <w:div w:id="313993068">
      <w:bodyDiv w:val="1"/>
      <w:marLeft w:val="0"/>
      <w:marRight w:val="0"/>
      <w:marTop w:val="0"/>
      <w:marBottom w:val="0"/>
      <w:divBdr>
        <w:top w:val="none" w:sz="0" w:space="0" w:color="auto"/>
        <w:left w:val="none" w:sz="0" w:space="0" w:color="auto"/>
        <w:bottom w:val="none" w:sz="0" w:space="0" w:color="auto"/>
        <w:right w:val="none" w:sz="0" w:space="0" w:color="auto"/>
      </w:divBdr>
    </w:div>
    <w:div w:id="745760159">
      <w:bodyDiv w:val="1"/>
      <w:marLeft w:val="0"/>
      <w:marRight w:val="0"/>
      <w:marTop w:val="0"/>
      <w:marBottom w:val="0"/>
      <w:divBdr>
        <w:top w:val="none" w:sz="0" w:space="0" w:color="auto"/>
        <w:left w:val="none" w:sz="0" w:space="0" w:color="auto"/>
        <w:bottom w:val="none" w:sz="0" w:space="0" w:color="auto"/>
        <w:right w:val="none" w:sz="0" w:space="0" w:color="auto"/>
      </w:divBdr>
    </w:div>
    <w:div w:id="766148321">
      <w:bodyDiv w:val="1"/>
      <w:marLeft w:val="0"/>
      <w:marRight w:val="0"/>
      <w:marTop w:val="0"/>
      <w:marBottom w:val="0"/>
      <w:divBdr>
        <w:top w:val="none" w:sz="0" w:space="0" w:color="auto"/>
        <w:left w:val="none" w:sz="0" w:space="0" w:color="auto"/>
        <w:bottom w:val="none" w:sz="0" w:space="0" w:color="auto"/>
        <w:right w:val="none" w:sz="0" w:space="0" w:color="auto"/>
      </w:divBdr>
    </w:div>
    <w:div w:id="939753177">
      <w:bodyDiv w:val="1"/>
      <w:marLeft w:val="0"/>
      <w:marRight w:val="0"/>
      <w:marTop w:val="0"/>
      <w:marBottom w:val="0"/>
      <w:divBdr>
        <w:top w:val="none" w:sz="0" w:space="0" w:color="auto"/>
        <w:left w:val="none" w:sz="0" w:space="0" w:color="auto"/>
        <w:bottom w:val="none" w:sz="0" w:space="0" w:color="auto"/>
        <w:right w:val="none" w:sz="0" w:space="0" w:color="auto"/>
      </w:divBdr>
    </w:div>
    <w:div w:id="981469225">
      <w:bodyDiv w:val="1"/>
      <w:marLeft w:val="0"/>
      <w:marRight w:val="0"/>
      <w:marTop w:val="0"/>
      <w:marBottom w:val="0"/>
      <w:divBdr>
        <w:top w:val="none" w:sz="0" w:space="0" w:color="auto"/>
        <w:left w:val="none" w:sz="0" w:space="0" w:color="auto"/>
        <w:bottom w:val="none" w:sz="0" w:space="0" w:color="auto"/>
        <w:right w:val="none" w:sz="0" w:space="0" w:color="auto"/>
      </w:divBdr>
    </w:div>
    <w:div w:id="1264337340">
      <w:bodyDiv w:val="1"/>
      <w:marLeft w:val="0"/>
      <w:marRight w:val="0"/>
      <w:marTop w:val="0"/>
      <w:marBottom w:val="0"/>
      <w:divBdr>
        <w:top w:val="none" w:sz="0" w:space="0" w:color="auto"/>
        <w:left w:val="none" w:sz="0" w:space="0" w:color="auto"/>
        <w:bottom w:val="none" w:sz="0" w:space="0" w:color="auto"/>
        <w:right w:val="none" w:sz="0" w:space="0" w:color="auto"/>
      </w:divBdr>
    </w:div>
    <w:div w:id="1282302179">
      <w:bodyDiv w:val="1"/>
      <w:marLeft w:val="0"/>
      <w:marRight w:val="0"/>
      <w:marTop w:val="0"/>
      <w:marBottom w:val="0"/>
      <w:divBdr>
        <w:top w:val="none" w:sz="0" w:space="0" w:color="auto"/>
        <w:left w:val="none" w:sz="0" w:space="0" w:color="auto"/>
        <w:bottom w:val="none" w:sz="0" w:space="0" w:color="auto"/>
        <w:right w:val="none" w:sz="0" w:space="0" w:color="auto"/>
      </w:divBdr>
    </w:div>
    <w:div w:id="1685473953">
      <w:bodyDiv w:val="1"/>
      <w:marLeft w:val="0"/>
      <w:marRight w:val="0"/>
      <w:marTop w:val="0"/>
      <w:marBottom w:val="0"/>
      <w:divBdr>
        <w:top w:val="none" w:sz="0" w:space="0" w:color="auto"/>
        <w:left w:val="none" w:sz="0" w:space="0" w:color="auto"/>
        <w:bottom w:val="none" w:sz="0" w:space="0" w:color="auto"/>
        <w:right w:val="none" w:sz="0" w:space="0" w:color="auto"/>
      </w:divBdr>
    </w:div>
    <w:div w:id="1804617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FD6540-AA87-4AC9-978F-962A89AF4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8</Pages>
  <Words>2082</Words>
  <Characters>11871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r</Company>
  <LinksUpToDate>false</LinksUpToDate>
  <CharactersWithSpaces>13926</CharactersWithSpaces>
  <SharedDoc>false</SharedDoc>
  <HLinks>
    <vt:vector size="6" baseType="variant">
      <vt:variant>
        <vt:i4>5308448</vt:i4>
      </vt:variant>
      <vt:variant>
        <vt:i4>0</vt:i4>
      </vt:variant>
      <vt:variant>
        <vt:i4>0</vt:i4>
      </vt:variant>
      <vt:variant>
        <vt:i4>5</vt:i4>
      </vt:variant>
      <vt:variant>
        <vt:lpwstr>mailto:rod@sami.co.za</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8</cp:revision>
  <cp:lastPrinted>2026-09-14T12:22:00Z</cp:lastPrinted>
  <dcterms:created xsi:type="dcterms:W3CDTF">2026-09-16T10:24:00Z</dcterms:created>
  <dcterms:modified xsi:type="dcterms:W3CDTF">2026-09-16T11:59:00Z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